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cs="Calibri" w:cstheme="minorHAnsi"/>
        </w:rPr>
      </w:pPr>
      <w:r>
        <w:rPr>
          <w:rFonts w:cs="Calibri" w:cstheme="minorHAnsi"/>
          <w:b/>
          <w:bCs/>
        </w:rPr>
        <w:t>Smlouva o nájmu prostor určených k podnikání</w:t>
      </w:r>
    </w:p>
    <w:p>
      <w:pPr>
        <w:pStyle w:val="NoSpacing"/>
        <w:spacing w:lineRule="auto" w:line="276"/>
        <w:jc w:val="both"/>
        <w:rPr>
          <w:rFonts w:cs="Calibri" w:cstheme="minorHAnsi"/>
        </w:rPr>
      </w:pPr>
      <w:r>
        <w:rPr>
          <w:rFonts w:cs="Calibri" w:cstheme="minorHAnsi"/>
        </w:rPr>
      </w:r>
    </w:p>
    <w:p>
      <w:pPr>
        <w:pStyle w:val="Normal"/>
        <w:tabs>
          <w:tab w:val="clear" w:pos="708"/>
          <w:tab w:val="left" w:pos="851" w:leader="none"/>
        </w:tabs>
        <w:spacing w:lineRule="auto" w:line="276" w:before="0" w:after="0"/>
        <w:jc w:val="both"/>
        <w:rPr>
          <w:rFonts w:cs="Calibri" w:cstheme="minorHAnsi"/>
          <w:b/>
          <w:bCs/>
        </w:rPr>
      </w:pPr>
      <w:r>
        <w:rPr>
          <w:rFonts w:cs="Calibri" w:cstheme="minorHAnsi"/>
          <w:b/>
          <w:bCs/>
        </w:rPr>
        <w:t>A:</w:t>
        <w:tab/>
        <w:t>Pronajímatel</w:t>
      </w:r>
    </w:p>
    <w:p>
      <w:pPr>
        <w:pStyle w:val="Normal"/>
        <w:tabs>
          <w:tab w:val="clear" w:pos="708"/>
          <w:tab w:val="left" w:pos="851" w:leader="none"/>
        </w:tabs>
        <w:spacing w:lineRule="auto" w:line="276" w:before="0" w:after="0"/>
        <w:ind w:left="851" w:hanging="0"/>
        <w:jc w:val="both"/>
        <w:rPr>
          <w:rFonts w:cs="Calibri" w:cstheme="minorHAnsi"/>
          <w:b/>
          <w:bCs/>
        </w:rPr>
      </w:pPr>
      <w:r>
        <w:rPr>
          <w:rFonts w:cs="Calibri" w:cstheme="minorHAnsi"/>
        </w:rPr>
        <w:t>název:</w:t>
        <w:tab/>
        <w:tab/>
      </w:r>
      <w:r>
        <w:rPr>
          <w:rFonts w:cs="Calibri" w:cstheme="minorHAnsi"/>
          <w:b/>
          <w:bCs/>
        </w:rPr>
        <w:t>Technické služby města Nymburka</w:t>
      </w:r>
    </w:p>
    <w:p>
      <w:pPr>
        <w:pStyle w:val="Normal"/>
        <w:spacing w:lineRule="auto" w:line="276" w:before="0" w:after="0"/>
        <w:ind w:left="851" w:hanging="0"/>
        <w:jc w:val="both"/>
        <w:rPr>
          <w:rFonts w:cs="Calibri" w:cstheme="minorHAnsi"/>
        </w:rPr>
      </w:pPr>
      <w:r>
        <w:rPr>
          <w:rFonts w:cs="Calibri" w:cstheme="minorHAnsi"/>
        </w:rPr>
        <w:t xml:space="preserve">sídlo: </w:t>
        <w:tab/>
        <w:tab/>
        <w:tab/>
        <w:t xml:space="preserve">V Zahrádkách 1536/8, 288 02 Nymburk </w:t>
      </w:r>
    </w:p>
    <w:p>
      <w:pPr>
        <w:pStyle w:val="Normal"/>
        <w:spacing w:lineRule="auto" w:line="276" w:before="0" w:after="0"/>
        <w:ind w:left="851" w:hanging="0"/>
        <w:jc w:val="both"/>
        <w:rPr>
          <w:rFonts w:cs="Calibri" w:cstheme="minorHAnsi"/>
        </w:rPr>
      </w:pPr>
      <w:r>
        <w:rPr>
          <w:rFonts w:cs="Calibri" w:cstheme="minorHAnsi"/>
        </w:rPr>
        <w:t>IČ:</w:t>
        <w:tab/>
        <w:tab/>
        <w:tab/>
        <w:t>00067041</w:t>
      </w:r>
    </w:p>
    <w:p>
      <w:pPr>
        <w:pStyle w:val="Normal"/>
        <w:spacing w:lineRule="auto" w:line="276" w:before="0" w:after="0"/>
        <w:ind w:left="851" w:hanging="0"/>
        <w:jc w:val="both"/>
        <w:rPr>
          <w:rFonts w:cs="Calibri" w:cstheme="minorHAnsi"/>
        </w:rPr>
      </w:pPr>
      <w:r>
        <w:rPr>
          <w:rFonts w:cs="Calibri" w:cstheme="minorHAnsi"/>
        </w:rPr>
        <w:t xml:space="preserve">DIČ: </w:t>
        <w:tab/>
        <w:tab/>
        <w:tab/>
        <w:t>CZ00067041</w:t>
      </w:r>
    </w:p>
    <w:p>
      <w:pPr>
        <w:pStyle w:val="Normal"/>
        <w:tabs>
          <w:tab w:val="clear" w:pos="708"/>
          <w:tab w:val="left" w:pos="851" w:leader="none"/>
        </w:tabs>
        <w:spacing w:lineRule="auto" w:line="276" w:before="0" w:after="0"/>
        <w:ind w:left="851" w:hanging="0"/>
        <w:jc w:val="both"/>
        <w:rPr>
          <w:rFonts w:cs="Calibri" w:cstheme="minorHAnsi"/>
        </w:rPr>
      </w:pPr>
      <w:r>
        <w:rPr>
          <w:rFonts w:cs="Calibri" w:cstheme="minorHAnsi"/>
        </w:rPr>
        <w:t xml:space="preserve">právní forma: </w:t>
        <w:tab/>
        <w:tab/>
        <w:t>příspěvková organizace</w:t>
      </w:r>
    </w:p>
    <w:p>
      <w:pPr>
        <w:pStyle w:val="Normal"/>
        <w:tabs>
          <w:tab w:val="clear" w:pos="708"/>
          <w:tab w:val="left" w:pos="851" w:leader="none"/>
        </w:tabs>
        <w:spacing w:lineRule="auto" w:line="276" w:before="0" w:after="0"/>
        <w:ind w:left="851" w:hanging="0"/>
        <w:jc w:val="both"/>
        <w:rPr>
          <w:rFonts w:cs="Calibri" w:cstheme="minorHAnsi"/>
        </w:rPr>
      </w:pPr>
      <w:r>
        <w:rPr>
          <w:rFonts w:cs="Calibri" w:cstheme="minorHAnsi"/>
        </w:rPr>
        <w:t xml:space="preserve">zřizovatel: </w:t>
        <w:tab/>
        <w:tab/>
        <w:t>město Nymburk</w:t>
      </w:r>
    </w:p>
    <w:p>
      <w:pPr>
        <w:pStyle w:val="Normal"/>
        <w:spacing w:lineRule="auto" w:line="276" w:before="0" w:after="0"/>
        <w:ind w:left="851" w:hanging="0"/>
        <w:jc w:val="both"/>
        <w:rPr>
          <w:rFonts w:cs="Calibri" w:cstheme="minorHAnsi"/>
        </w:rPr>
      </w:pPr>
      <w:r>
        <w:rPr>
          <w:rFonts w:cs="Calibri" w:cstheme="minorHAnsi"/>
        </w:rPr>
        <w:t xml:space="preserve">zápis v obch. rejstř.: </w:t>
        <w:tab/>
        <w:t>Pr 1571 vedená u Městského soudu v Praze</w:t>
      </w:r>
    </w:p>
    <w:p>
      <w:pPr>
        <w:pStyle w:val="Normal"/>
        <w:spacing w:lineRule="auto" w:line="276" w:before="0" w:after="0"/>
        <w:ind w:left="851" w:hanging="0"/>
        <w:jc w:val="both"/>
        <w:rPr>
          <w:rFonts w:cs="Calibri" w:cstheme="minorHAnsi"/>
        </w:rPr>
      </w:pPr>
      <w:r>
        <w:rPr>
          <w:rFonts w:cs="Calibri" w:cstheme="minorHAnsi"/>
        </w:rPr>
        <w:t xml:space="preserve">zastupuje: </w:t>
        <w:tab/>
        <w:tab/>
        <w:t>Bc. Josef Kubiš, ředitel</w:t>
      </w:r>
    </w:p>
    <w:p>
      <w:pPr>
        <w:pStyle w:val="Normal"/>
        <w:spacing w:lineRule="auto" w:line="276" w:before="0" w:after="0"/>
        <w:ind w:left="851" w:hanging="0"/>
        <w:jc w:val="both"/>
        <w:rPr>
          <w:rFonts w:cs="Calibri" w:cstheme="minorHAnsi"/>
        </w:rPr>
      </w:pPr>
      <w:r>
        <w:rPr>
          <w:rFonts w:cs="Calibri" w:cstheme="minorHAnsi"/>
        </w:rPr>
      </w:r>
    </w:p>
    <w:p>
      <w:pPr>
        <w:pStyle w:val="Normal"/>
        <w:spacing w:lineRule="auto" w:line="276" w:before="0" w:after="0"/>
        <w:ind w:left="851" w:hanging="0"/>
        <w:jc w:val="both"/>
        <w:rPr>
          <w:rFonts w:cs="Calibri" w:cstheme="minorHAnsi"/>
        </w:rPr>
      </w:pPr>
      <w:r>
        <w:rPr>
          <w:rFonts w:cs="Calibri" w:cstheme="minorHAnsi"/>
        </w:rPr>
        <w:t>(dále jen „</w:t>
      </w:r>
      <w:r>
        <w:rPr>
          <w:rFonts w:cs="Calibri" w:cstheme="minorHAnsi"/>
          <w:b/>
          <w:bCs/>
        </w:rPr>
        <w:t>Pronajímatel</w:t>
      </w:r>
      <w:r>
        <w:rPr>
          <w:rFonts w:cs="Calibri" w:cstheme="minorHAnsi"/>
        </w:rPr>
        <w:t>“)</w:t>
      </w:r>
    </w:p>
    <w:p>
      <w:pPr>
        <w:pStyle w:val="NoSpacing"/>
        <w:spacing w:lineRule="auto" w:line="276"/>
        <w:rPr>
          <w:rFonts w:cs="Calibri" w:cstheme="minorHAnsi"/>
        </w:rPr>
      </w:pPr>
      <w:r>
        <w:rPr>
          <w:rFonts w:cs="Calibri" w:cstheme="minorHAnsi"/>
        </w:rPr>
      </w:r>
    </w:p>
    <w:p>
      <w:pPr>
        <w:pStyle w:val="Normal"/>
        <w:tabs>
          <w:tab w:val="clear" w:pos="708"/>
          <w:tab w:val="left" w:pos="851" w:leader="none"/>
          <w:tab w:val="left" w:pos="993" w:leader="none"/>
        </w:tabs>
        <w:spacing w:lineRule="auto" w:line="276" w:before="0" w:after="0"/>
        <w:jc w:val="both"/>
        <w:rPr>
          <w:rFonts w:cs="Calibri" w:cstheme="minorHAnsi"/>
          <w:b/>
          <w:bCs/>
        </w:rPr>
      </w:pPr>
      <w:r>
        <w:rPr>
          <w:rFonts w:cs="Calibri" w:cstheme="minorHAnsi"/>
          <w:b/>
          <w:bCs/>
        </w:rPr>
        <w:t>B:</w:t>
        <w:tab/>
        <w:t>Nájemce</w:t>
      </w:r>
    </w:p>
    <w:p>
      <w:pPr>
        <w:pStyle w:val="Normal"/>
        <w:tabs>
          <w:tab w:val="clear" w:pos="708"/>
          <w:tab w:val="left" w:pos="851" w:leader="none"/>
        </w:tabs>
        <w:spacing w:lineRule="auto" w:line="276" w:before="0" w:after="0"/>
        <w:jc w:val="both"/>
        <w:rPr>
          <w:rFonts w:cs="Calibri" w:cstheme="minorHAnsi"/>
        </w:rPr>
      </w:pPr>
      <w:r>
        <w:rPr>
          <w:rFonts w:cs="Calibri" w:cstheme="minorHAnsi"/>
        </w:rPr>
        <w:t xml:space="preserve"> </w:t>
      </w:r>
      <w:r>
        <w:rPr>
          <w:rFonts w:cs="Calibri" w:cstheme="minorHAnsi"/>
        </w:rPr>
        <w:tab/>
        <w:t>jméno a příjmení</w:t>
        <w:tab/>
        <w:t>Jana Stehlíková</w:t>
      </w:r>
    </w:p>
    <w:p>
      <w:pPr>
        <w:pStyle w:val="Normal"/>
        <w:spacing w:before="0" w:after="0"/>
        <w:rPr>
          <w:rFonts w:cs="Calibri" w:cstheme="minorHAnsi"/>
        </w:rPr>
      </w:pPr>
      <w:r>
        <w:rPr>
          <w:rFonts w:cs="Calibri" w:cstheme="minorHAnsi"/>
        </w:rPr>
        <w:t xml:space="preserve">                 </w:t>
      </w:r>
      <w:r>
        <w:rPr>
          <w:rFonts w:cs="Calibri" w:cstheme="minorHAnsi"/>
        </w:rPr>
        <w:t>sídlo:</w:t>
        <w:tab/>
        <w:tab/>
        <w:tab/>
        <w:t>Vagónka 2302, 288 02 Nymburk</w:t>
      </w:r>
    </w:p>
    <w:p>
      <w:pPr>
        <w:pStyle w:val="Normal"/>
        <w:spacing w:before="0" w:after="0"/>
        <w:rPr>
          <w:rFonts w:cs="Calibri" w:cstheme="minorHAnsi"/>
        </w:rPr>
      </w:pPr>
      <w:r>
        <w:rPr>
          <w:rFonts w:cs="Calibri" w:cstheme="minorHAnsi"/>
        </w:rPr>
        <w:tab/>
        <w:t xml:space="preserve">   IČ: </w:t>
        <w:tab/>
        <w:tab/>
        <w:tab/>
        <w:t>73782564</w:t>
      </w:r>
    </w:p>
    <w:p>
      <w:pPr>
        <w:pStyle w:val="Normal"/>
        <w:spacing w:before="0" w:after="0"/>
        <w:rPr>
          <w:rFonts w:cs="Calibri" w:cstheme="minorHAnsi"/>
        </w:rPr>
      </w:pPr>
      <w:r>
        <w:rPr>
          <w:rFonts w:cs="Calibri" w:cstheme="minorHAnsi"/>
        </w:rPr>
        <w:tab/>
        <w:t xml:space="preserve">   tel.č.: </w:t>
        <w:tab/>
        <w:tab/>
        <w:tab/>
      </w:r>
      <w:r>
        <w:rPr>
          <w:rFonts w:cs="Calibri" w:cstheme="minorHAnsi"/>
        </w:rPr>
        <w:t>XXXXXXXXXXX</w:t>
      </w:r>
    </w:p>
    <w:p>
      <w:pPr>
        <w:pStyle w:val="Normal"/>
        <w:spacing w:lineRule="auto" w:line="276" w:before="0" w:after="0"/>
        <w:ind w:left="851" w:hanging="0"/>
        <w:jc w:val="both"/>
        <w:rPr>
          <w:rFonts w:cs="Calibri" w:cstheme="minorHAnsi"/>
        </w:rPr>
      </w:pPr>
      <w:r>
        <w:rPr>
          <w:rFonts w:cs="Calibri" w:cstheme="minorHAnsi"/>
        </w:rPr>
      </w:r>
    </w:p>
    <w:p>
      <w:pPr>
        <w:pStyle w:val="Normal"/>
        <w:spacing w:lineRule="auto" w:line="276" w:before="0" w:after="0"/>
        <w:ind w:left="851" w:hanging="0"/>
        <w:jc w:val="both"/>
        <w:rPr>
          <w:rFonts w:cs="Calibri" w:cstheme="minorHAnsi"/>
        </w:rPr>
      </w:pPr>
      <w:r>
        <w:rPr>
          <w:rFonts w:cs="Calibri" w:cstheme="minorHAnsi"/>
        </w:rPr>
        <w:t>(dále jen „</w:t>
      </w:r>
      <w:r>
        <w:rPr>
          <w:rFonts w:cs="Calibri" w:cstheme="minorHAnsi"/>
          <w:b/>
          <w:bCs/>
        </w:rPr>
        <w:t>Nájemce</w:t>
      </w:r>
      <w:r>
        <w:rPr>
          <w:rFonts w:cs="Calibri" w:cstheme="minorHAnsi"/>
        </w:rPr>
        <w:t>“, společně s Pronajímatelem dále jen „</w:t>
      </w:r>
      <w:r>
        <w:rPr>
          <w:rFonts w:cs="Calibri" w:cstheme="minorHAnsi"/>
          <w:b/>
          <w:bCs/>
        </w:rPr>
        <w:t>Strany</w:t>
      </w:r>
      <w:r>
        <w:rPr>
          <w:rFonts w:cs="Calibri" w:cstheme="minorHAnsi"/>
        </w:rPr>
        <w:t>“)</w:t>
      </w:r>
    </w:p>
    <w:p>
      <w:pPr>
        <w:pStyle w:val="NoSpacing"/>
        <w:spacing w:lineRule="auto" w:line="276"/>
        <w:rPr>
          <w:rFonts w:cs="Calibri" w:cstheme="minorHAnsi"/>
        </w:rPr>
      </w:pPr>
      <w:r>
        <w:rPr>
          <w:rFonts w:cs="Calibri" w:cstheme="minorHAnsi"/>
        </w:rPr>
      </w:r>
    </w:p>
    <w:p>
      <w:pPr>
        <w:pStyle w:val="NoSpacing"/>
        <w:spacing w:lineRule="auto" w:line="276"/>
        <w:rPr>
          <w:rFonts w:cs="Calibri" w:cstheme="minorHAnsi"/>
        </w:rPr>
      </w:pPr>
      <w:r>
        <w:rPr>
          <w:rFonts w:cs="Calibri" w:cstheme="minorHAnsi"/>
        </w:rPr>
      </w:r>
    </w:p>
    <w:p>
      <w:pPr>
        <w:pStyle w:val="NoSpacing"/>
        <w:spacing w:lineRule="auto" w:line="276"/>
        <w:jc w:val="center"/>
        <w:rPr>
          <w:rFonts w:cs="Calibri" w:cstheme="minorHAnsi"/>
          <w:b/>
          <w:bCs/>
        </w:rPr>
      </w:pPr>
      <w:r>
        <w:rPr>
          <w:rFonts w:cs="Calibri" w:cstheme="minorHAnsi"/>
          <w:b/>
          <w:bCs/>
        </w:rPr>
        <w:t>Strany uzavírají tuto smlouvu o nájmu prostor určených k podnikání</w:t>
      </w:r>
    </w:p>
    <w:p>
      <w:pPr>
        <w:pStyle w:val="NoSpacing"/>
        <w:spacing w:lineRule="auto" w:line="276"/>
        <w:jc w:val="center"/>
        <w:rPr>
          <w:rFonts w:cs="Calibri" w:cstheme="minorHAnsi"/>
        </w:rPr>
      </w:pPr>
      <w:r>
        <w:rPr>
          <w:rFonts w:cs="Calibri" w:cstheme="minorHAnsi"/>
        </w:rPr>
        <w:t>(dále jen „</w:t>
      </w:r>
      <w:r>
        <w:rPr>
          <w:rFonts w:cs="Calibri" w:cstheme="minorHAnsi"/>
          <w:b/>
          <w:bCs/>
        </w:rPr>
        <w:t>Smlouva</w:t>
      </w:r>
      <w:r>
        <w:rPr>
          <w:rFonts w:cs="Calibri" w:cstheme="minorHAnsi"/>
        </w:rPr>
        <w:t>“)</w:t>
      </w:r>
    </w:p>
    <w:p>
      <w:pPr>
        <w:pStyle w:val="NoSpacing"/>
        <w:spacing w:lineRule="auto" w:line="276"/>
        <w:jc w:val="center"/>
        <w:rPr>
          <w:rFonts w:cs="Calibri" w:cstheme="minorHAnsi"/>
        </w:rPr>
      </w:pPr>
      <w:r>
        <w:rPr>
          <w:rFonts w:cs="Calibri" w:cstheme="minorHAnsi"/>
        </w:rPr>
      </w:r>
    </w:p>
    <w:p>
      <w:pPr>
        <w:pStyle w:val="NoSpacing"/>
        <w:spacing w:lineRule="auto" w:line="276"/>
        <w:jc w:val="center"/>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bookmarkStart w:id="0" w:name="_Hlk125114516"/>
      <w:r>
        <w:rPr>
          <w:rFonts w:cs="Calibri" w:cstheme="minorHAnsi"/>
          <w:b/>
          <w:bCs/>
        </w:rPr>
        <w:t>Úvodní ustanovení</w:t>
      </w:r>
      <w:bookmarkEnd w:id="0"/>
    </w:p>
    <w:p>
      <w:pPr>
        <w:pStyle w:val="Normal"/>
        <w:spacing w:lineRule="auto" w:line="276" w:before="0" w:after="0"/>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Pronajímatel prohlašuje, že je zřizovací listinou města Nymburk pověřen právem hospodaření a pronájmu prostorů v budově čp. 1536, jiná stavba, nacházející se na adrese </w:t>
      </w:r>
      <w:bookmarkStart w:id="1" w:name="_Hlk131596728"/>
      <w:r>
        <w:rPr>
          <w:rFonts w:cs="Calibri" w:cstheme="minorHAnsi"/>
        </w:rPr>
        <w:t>V Zahrádkách 1536/8</w:t>
      </w:r>
      <w:bookmarkEnd w:id="1"/>
      <w:r>
        <w:rPr>
          <w:rFonts w:cs="Calibri" w:cstheme="minorHAnsi"/>
        </w:rPr>
        <w:t xml:space="preserve"> (dále jen „</w:t>
      </w:r>
      <w:r>
        <w:rPr>
          <w:rFonts w:cs="Calibri" w:cstheme="minorHAnsi"/>
          <w:b/>
          <w:bCs/>
        </w:rPr>
        <w:t>Budova</w:t>
      </w:r>
      <w:r>
        <w:rPr>
          <w:rFonts w:cs="Calibri" w:cstheme="minorHAnsi"/>
        </w:rPr>
        <w:t>“), která je součástí pozemku parc. č. st. 3385 v k.ú. Nymburk (dále jen „</w:t>
      </w:r>
      <w:r>
        <w:rPr>
          <w:rFonts w:cs="Calibri" w:cstheme="minorHAnsi"/>
          <w:b/>
          <w:bCs/>
        </w:rPr>
        <w:t>Nemovitost</w:t>
      </w:r>
      <w:r>
        <w:rPr>
          <w:rFonts w:cs="Calibri" w:cstheme="minorHAnsi"/>
        </w:rPr>
        <w:t>“).</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Předmětem nájmu podle této Smlouvy jsou administrativní prostory o celkové výměře 17,93 m</w:t>
      </w:r>
      <w:r>
        <w:rPr>
          <w:rFonts w:cs="Calibri" w:cstheme="minorHAnsi"/>
          <w:vertAlign w:val="superscript"/>
        </w:rPr>
        <w:t>2</w:t>
      </w:r>
      <w:r>
        <w:rPr>
          <w:rFonts w:cs="Calibri" w:cstheme="minorHAnsi"/>
        </w:rPr>
        <w:t xml:space="preserve"> nacházející se v budově Technických služeb města Nymburka, V zahrádkách 1536/8, Nymburk, I. patře kancelář. č. 214 (dále jen „</w:t>
      </w:r>
      <w:r>
        <w:rPr>
          <w:rFonts w:cs="Calibri" w:cstheme="minorHAnsi"/>
          <w:b/>
          <w:bCs/>
        </w:rPr>
        <w:t>Předmět nájmu</w:t>
      </w:r>
      <w:r>
        <w:rPr>
          <w:rFonts w:cs="Calibri" w:cstheme="minorHAnsi"/>
        </w:rPr>
        <w:t>“).</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bookmarkStart w:id="2" w:name="_Hlk125114620"/>
      <w:r>
        <w:rPr>
          <w:rFonts w:cs="Calibri" w:cstheme="minorHAnsi"/>
        </w:rPr>
        <w:t>Nájemce prohlašuje, že má zájem o pronájem Předmětu nájmu za účelem využití tohoto prostoru pro účely své podnikatelské činnosti Nájemce. Pronajímatel prohlašuje, že má zájem za podmínek této Smlouvy Předmět nájmu Nájemci pronajmout.</w:t>
      </w:r>
      <w:bookmarkEnd w:id="2"/>
    </w:p>
    <w:p>
      <w:pPr>
        <w:pStyle w:val="NoSpacing"/>
        <w:spacing w:lineRule="auto" w:line="360"/>
        <w:rPr>
          <w:rFonts w:cs="Calibri" w:cstheme="minorHAnsi"/>
        </w:rPr>
      </w:pPr>
      <w:r>
        <w:rPr>
          <w:rFonts w:cs="Calibri" w:cstheme="minorHAnsi"/>
        </w:rPr>
      </w:r>
    </w:p>
    <w:p>
      <w:pPr>
        <w:pStyle w:val="NoSpacing"/>
        <w:spacing w:lineRule="auto" w:line="360"/>
        <w:rPr>
          <w:rFonts w:cs="Calibri" w:cstheme="minorHAnsi"/>
        </w:rPr>
      </w:pPr>
      <w:r>
        <w:rPr>
          <w:rFonts w:cs="Calibri" w:cstheme="minorHAnsi"/>
        </w:rPr>
      </w:r>
    </w:p>
    <w:p>
      <w:pPr>
        <w:pStyle w:val="NoSpacing"/>
        <w:spacing w:lineRule="auto" w:line="360"/>
        <w:rPr>
          <w:rFonts w:cs="Calibri" w:cstheme="minorHAnsi"/>
        </w:rPr>
      </w:pPr>
      <w:r>
        <w:rPr>
          <w:rFonts w:cs="Calibri" w:cstheme="minorHAnsi"/>
        </w:rPr>
      </w:r>
    </w:p>
    <w:p>
      <w:pPr>
        <w:pStyle w:val="NoSpacing"/>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Předmět smlouvy</w:t>
      </w:r>
    </w:p>
    <w:p>
      <w:pPr>
        <w:pStyle w:val="NoSpacing"/>
        <w:spacing w:lineRule="auto" w:line="276"/>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tímto pronajímá Předmět nájmu Nájemci a Nájemce Předmět nájmu do svého nájmu přijímá a zavazuje se za její nájem hradit Nájemné, jak je definováno níže (dále jen „</w:t>
      </w:r>
      <w:r>
        <w:rPr>
          <w:rFonts w:cs="Calibri" w:cstheme="minorHAnsi"/>
          <w:b/>
          <w:bCs/>
        </w:rPr>
        <w:t>Nájem</w:t>
      </w:r>
      <w:r>
        <w:rPr>
          <w:rFonts w:cs="Calibri" w:cstheme="minorHAnsi"/>
        </w:rPr>
        <w:t>“).</w:t>
      </w:r>
    </w:p>
    <w:p>
      <w:pPr>
        <w:pStyle w:val="ListParagraph"/>
        <w:spacing w:lineRule="auto" w:line="276" w:before="0" w:after="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Pronajímatel se zavazuje zajistit Nájemci přístup do Předmětu nájmu. </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bookmarkStart w:id="3" w:name="_Ref126158707"/>
      <w:r>
        <w:rPr>
          <w:rFonts w:cs="Calibri" w:cstheme="minorHAnsi"/>
          <w:b/>
          <w:bCs/>
        </w:rPr>
        <w:t>Účel nájmu</w:t>
      </w:r>
      <w:bookmarkEnd w:id="3"/>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Účelem nájmu je užívání Předmětu nájmu k podnikatelské činnosti Nájemce.</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se podpisem této Smlouvy zavazuje, že nebude bez vědomí a předchozího písemného souhlasu Pronajímatele užívat Předmět nájmu k jinému než dohodnutému účelu.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Oprávněnost výkonu činností dle tohoto článku dokládá Nájemce výpisem ze živnostenského příp. obchodního rejstříku, který tvoří přílohu č. 1 smlouvy.</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Vybavení Předmětu nájmu se zavazuje zajistit Nájemce, a to s písemným souhlasem Pronajímatele.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Změna využití Předmětu nájmu je možná pouze po předchozím písemném souhlasu Pronajímatele. Náklady spojené s provedením Pronajímatelem schválené změny ve využití Předmětu nájmu nese Nájemce. K žádosti Nájemce o změnu ve využití Předmětu nájmu nebo o další vybavení Předmětu nájmu je Pronajímatel povinen se vyjádřit písemně nejpozději do patnácti dnů ode dne doručení takové žádosti.</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Doba Nájmu a možnosti jeho ukončení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 se sjednává od 1.1.2026 (dále jen „</w:t>
      </w:r>
      <w:r>
        <w:rPr>
          <w:rFonts w:cs="Calibri" w:cstheme="minorHAnsi"/>
          <w:b/>
          <w:bCs/>
        </w:rPr>
        <w:t>Den zahájení</w:t>
      </w:r>
      <w:r>
        <w:rPr>
          <w:rFonts w:cs="Calibri" w:cstheme="minorHAnsi"/>
        </w:rPr>
        <w:t>“) na dobu neurčitou.</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Tuto Smlouvu je možné ukončit písemnou dohodou Stran, nebo písemnou výpovědí jedné ze Stran doručené druhé Straně na adresu sídla s výpovědní dobou tří (3) měsíců. Výpovědní doba počíná běžet od prvního dne měsíce následujícího po měsíci, kdy byla doručena výpověď této Smlouvy druhé Straně.</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Pronajímatel je oprávněn tuto Smlouvu vypovědět okamžitou výpovědí, pokud na straně Nájemce nastalo porušení povinností z této Smlouvy podstatným způsobem. Za takový případ se považuje zejména případ prodlení Nájemce s hrazením Nájemného, a to i ohledně části Nájemného, o více, než dva (2) měsíce nebo porušení povinností Nájemce dle čl. </w:t>
      </w:r>
      <w:r>
        <w:rPr>
          <w:rFonts w:cs="Calibri" w:cstheme="minorHAnsi"/>
        </w:rPr>
        <w:fldChar w:fldCharType="begin"/>
      </w:r>
      <w:r>
        <w:rPr>
          <w:rFonts w:cs="Calibri"/>
        </w:rPr>
        <w:instrText xml:space="preserve"> REF _Ref131599688 \r \h </w:instrText>
      </w:r>
      <w:r>
        <w:rPr>
          <w:rFonts w:cs="Calibri"/>
        </w:rPr>
        <w:fldChar w:fldCharType="separate"/>
      </w:r>
      <w:r>
        <w:rPr>
          <w:rFonts w:cs="Calibri"/>
        </w:rPr>
        <w:t>6.3</w:t>
      </w:r>
      <w:r>
        <w:rPr>
          <w:rFonts w:cs="Calibri"/>
        </w:rPr>
        <w:fldChar w:fldCharType="end"/>
      </w:r>
      <w:r>
        <w:rPr>
          <w:rFonts w:cs="Calibri" w:cstheme="minorHAnsi"/>
        </w:rPr>
        <w:t xml:space="preserve"> této Smlouvy. Pronajímatel je oprávněn tuto Smlouvu vypovědět okamžitou výpovědí též, pokud bude zahájeno insolvenční řízení proti Nájemci.</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případě skončení Nájmu z kteréhokoliv z výše uvedených důvodů je Nájemce povinen předat Pronajímateli Předmět nájmu vyklizený, vyčištěný, nově vymalovaný a ve stavu, v jakém jej převzal, s přihlédnutím k běžnému a obvyklému opotřebení a nezbytným opravám v souladu s užíváním Předmětu nájmu řádným způsobem a s náležitou péčí během doby trvání Nájmu. Nájemce je na svůj náklad povinen odstranit též jakékoliv stavební a jiné úpravy Předmětu nájmu, ledaže se s Pronajímatelem písemně dohodne jinak.</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Nájemce je povinen vyklizený Předmět nájmu odevzdat Pronajímateli nejpozději ke dni skončení Nájmu. Nesplní-li Nájemce tuto povinnost, je povinen uhradit Pronajímateli za každý, byť započatý, den prodlení s řádným předáním Předmětu nájmu smluvní pokutu ve výši </w:t>
      </w:r>
      <w:r>
        <w:rPr>
          <w:rFonts w:cs="Calibri" w:cstheme="minorHAnsi"/>
          <w:shd w:fill="FFFFFF" w:val="clear"/>
        </w:rPr>
        <w:t xml:space="preserve">1% </w:t>
      </w:r>
      <w:r>
        <w:rPr>
          <w:rFonts w:cs="Calibri" w:cstheme="minorHAnsi"/>
        </w:rPr>
        <w:t>z celkové roční výše Nájemného. Tím není dotčena povinnost náhrady škody v plné výši.</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 předání a převzetí Předmětu nájmu Pronajímateli bude Stranami sepsán a podepsán písemný protokol. Případné závady a poškození Předmětu nájmu či souvisejících společných prostor, které způsobí Nájemce, nebo osoby, za které nese Nájemce odpovědnost, je povinen Nájemce odstranit. Nestane-li se tak, má Pronajímatel právo po předchozím upozornění Nájemce závady a poškození na náklady Nájemce odstranit. V případě, že Nájemce Předmět nájmu nevyklidí a neodevzdá ani do 24 hodin po skončení Nájmu, je Pronajímatel oprávněn vstoupit do Předmětu nájmu, na náklady Nájemce jej vyklidit a věci, které v Předmětu nájmu Nájemce ponechal uskladnit na náklady Nájemce v jiných prostorech. V případě, že si Nájemce nevyzvedne své věci do 2 měsíců od skončení Nájmu, je Pronajímatel oprávněn věci prodat k za účelem uspokojení pohledávek za Nájemcem, popřípadě ekologicky zlikvidovat dle platných norem a nařízení na náklady Nájemce. Na vyklizení a likvidaci věcí Nájemce bude vystavena Nájemci faktura, kterou se Nájemce zavazuje uhradit.</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období třech měsíců před skončením Nájmu je Nájemce povinen umožnit dalšímu zájemci o pronájem Předmětu nájmu prohlídku těchto prostor v přítomnosti zástupce Pronajímatele a Nájemce, během běžné provozní doby Nájemce.</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Nájemné a úhrada za služby spojené s užíváním Předmětu nájmu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Strany se dohodly na nájemném za užívání Předmětu nájmu společně s poplatky za užívání Předmětu nájmu ve výši 1.720 Kč/m</w:t>
      </w:r>
      <w:r>
        <w:rPr>
          <w:rFonts w:cs="Calibri" w:cstheme="minorHAnsi"/>
          <w:vertAlign w:val="superscript"/>
        </w:rPr>
        <w:t>2</w:t>
      </w:r>
      <w:r>
        <w:rPr>
          <w:rFonts w:cs="Calibri" w:cstheme="minorHAnsi"/>
        </w:rPr>
        <w:t>/rok, tj. :</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0"/>
          <w:numId w:val="4"/>
        </w:numPr>
        <w:spacing w:lineRule="auto" w:line="276" w:before="0" w:after="0"/>
        <w:contextualSpacing/>
        <w:jc w:val="both"/>
        <w:rPr>
          <w:rFonts w:cs="Calibri" w:cstheme="minorHAnsi"/>
        </w:rPr>
      </w:pPr>
      <w:r>
        <w:rPr>
          <w:rFonts w:cs="Calibri" w:cstheme="minorHAnsi"/>
        </w:rPr>
        <w:t>celkem ve výši 30 839,6</w:t>
      </w:r>
      <w:r>
        <w:rPr>
          <w:rFonts w:cs="Calibri" w:cstheme="minorHAnsi"/>
          <w:shd w:fill="FFFFFF" w:val="clear"/>
        </w:rPr>
        <w:t xml:space="preserve"> Kč/rok, </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spacing w:lineRule="auto" w:line="276" w:before="0" w:after="0"/>
        <w:ind w:left="851" w:hanging="0"/>
        <w:contextualSpacing/>
        <w:jc w:val="both"/>
        <w:rPr>
          <w:rFonts w:cs="Calibri" w:cstheme="minorHAnsi"/>
        </w:rPr>
      </w:pPr>
      <w:r>
        <w:rPr>
          <w:rFonts w:cs="Calibri" w:cstheme="minorHAnsi"/>
        </w:rPr>
        <w:t>(dále jen „</w:t>
      </w:r>
      <w:r>
        <w:rPr>
          <w:rFonts w:cs="Calibri" w:cstheme="minorHAnsi"/>
          <w:b/>
          <w:bCs/>
        </w:rPr>
        <w:t>Nájemné</w:t>
      </w:r>
      <w:r>
        <w:rPr>
          <w:rFonts w:cs="Calibri" w:cstheme="minorHAnsi"/>
        </w:rPr>
        <w:t>“).</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Nájemné je dle §51 odst. 1 písm. g) Zákona o DPH osvobozen od DPH</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povinen hradit sjednané Nájemné na základě daňového dokladu (faktury) vydaného Pronajímatelem za každý měsíc, a to na bankovní účet pronajímatele uvedený na příslušné faktuře se splatností</w:t>
      </w:r>
      <w:r>
        <w:rPr>
          <w:rFonts w:cs="Calibri" w:cstheme="minorHAnsi"/>
          <w:shd w:fill="FFFFFF" w:val="clear"/>
        </w:rPr>
        <w:t xml:space="preserve"> 14 dnů</w:t>
      </w:r>
      <w:r>
        <w:rPr>
          <w:rFonts w:cs="Calibri" w:cstheme="minorHAnsi"/>
        </w:rPr>
        <w:t xml:space="preserve"> od doručení faktury. Za den úhrady se považuje den připsání platby na účet Pronajímatele. Nájemné bude hrazeno bezhotovostním převodem z bankovního účtu Nájemce na bankovní účet Pronajímatele. Fakturace nájemného bude zaokrouhlena na celé koruny.</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případě prodlení s placením Nájemného se Nájemce zavazuje zaplatit Pronajímateli smluvní pokutu ve výši 0,05 % z dlužné částky za každý, byť započatý, den prodlení. Smluvní pokuta je splatná do pěti pracovních dní ode dne, kdy Pronajímatel Nájemci doručí písemné vyúčtování této smluvní pokuty s výzvou k jejímu uhrazení. Tím není dotčena povinnost Nájemce nahradit škodu.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Počínaje dnem 1.1.2027 a každý následující rok bude Nájemné automaticky zvýšeno o částku odpovídající míře inflace vyjádřené průměrným ročním přírůstkem indexu spotřebitelských cen oznámeným Českým statistickým úřadem za předchozí rok. Výši inflace je povinen zjistit Pronajímatel a její výši uvést na daňovém dokladu za měsíc leden příslušného roku. V případě, že Český statistický úřad oznámí míru inflace za uplynulý rok až později, je Pronajímatel oprávněn doúčtovat zvýšení Nájemného zpětně k 01.01. daného roku.</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Práva a povinnosti Stran</w:t>
      </w:r>
    </w:p>
    <w:p>
      <w:pPr>
        <w:pStyle w:val="ListParagraph"/>
        <w:spacing w:lineRule="auto" w:line="276" w:before="0" w:after="0"/>
        <w:ind w:left="851" w:hanging="0"/>
        <w:contextualSpacing/>
        <w:jc w:val="both"/>
        <w:rPr>
          <w:rFonts w:cs="Calibri" w:cstheme="minorHAnsi"/>
          <w:b/>
          <w:bCs/>
        </w:rPr>
      </w:pPr>
      <w:r>
        <w:rPr>
          <w:rFonts w:cs="Calibri" w:cstheme="minorHAnsi"/>
          <w:b/>
          <w:bCs/>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se zavazuje:</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umožnit Nájemci výkon jeho práv dle této Smlouvy po celou dobu jejího trvání;</w:t>
      </w:r>
    </w:p>
    <w:p>
      <w:pPr>
        <w:pStyle w:val="ListParagraph"/>
        <w:spacing w:lineRule="auto" w:line="276" w:before="0" w:after="0"/>
        <w:ind w:left="1276" w:hanging="0"/>
        <w:contextualSpacing/>
        <w:jc w:val="bot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zajistit, že Předmět nájmu bude způsobilý užívání ve smyslu této Smlouvy po celou dobu trvání Nájmu;</w:t>
      </w:r>
    </w:p>
    <w:p>
      <w:pPr>
        <w:pStyle w:val="ListParagraph"/>
        <w:spacing w:before="0" w:after="0"/>
        <w:contextualSpacing/>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předat Nájemci Předmět nájmu nejpozději v Den zahájení společně s jedním vyhotovením klíčů od Předmětu nájmu, o čemž bude mezi Stranami sepsán písemný předávací protokol. V předávací protokolu budou uvedeny všechny případné vady Předmětu nájmu v okamžiku předání Nájemci;</w:t>
      </w:r>
    </w:p>
    <w:p>
      <w:pPr>
        <w:pStyle w:val="ListParagraph"/>
        <w:spacing w:before="0" w:after="0"/>
        <w:contextualSpacing/>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zajišťovat revize rozvodů pevně spojených s budovou, v níž je umístěn Předmět nájmu;</w:t>
      </w:r>
    </w:p>
    <w:p>
      <w:pPr>
        <w:pStyle w:val="ListParagrap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 xml:space="preserve">provádět opravy Předmětu nájmu přesahující běžnou údržbu, v přiměřené lhůtě tak, aby Nájemce byl při užívání Předmětu nájmu omezen nebo rušen co nejméně. Za opravy nepřesahující běžnou údržbu a drobné úpravy se považují veškeré opravy, jestliže náklad na jednu opravu nepřesáhne částku </w:t>
      </w:r>
      <w:r>
        <w:rPr>
          <w:rFonts w:cs="Calibri" w:cstheme="minorHAnsi"/>
          <w:shd w:fill="FFFFFF" w:val="clear"/>
        </w:rPr>
        <w:t xml:space="preserve">1.000,- </w:t>
      </w:r>
      <w:r>
        <w:rPr>
          <w:rFonts w:cs="Calibri" w:cstheme="minorHAnsi"/>
        </w:rPr>
        <w:t>Kč;</w:t>
      </w:r>
    </w:p>
    <w:p>
      <w:pPr>
        <w:pStyle w:val="ListParagrap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zajistit na své náklady svoz tříděného a netříděného odpadu od Budovy v míře přiměřené.</w:t>
      </w:r>
    </w:p>
    <w:p>
      <w:pPr>
        <w:pStyle w:val="Normal"/>
        <w:spacing w:before="0" w:after="0"/>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povinen:</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hradit řádně a včas Nájemné včetně úhrad s nájmem Předmětu nájmu souvisejících;</w:t>
      </w:r>
    </w:p>
    <w:p>
      <w:pPr>
        <w:pStyle w:val="ListParagraph"/>
        <w:spacing w:lineRule="auto" w:line="276" w:before="0" w:after="0"/>
        <w:ind w:left="1276" w:hanging="0"/>
        <w:contextualSpacing/>
        <w:jc w:val="bot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užívat Předmět nájmu pouze v souladu s touto Smlouvou a obecně závaznými právními předpisy;</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neprodleně oznámit Pronajímateli jakékoliv závady na Předmětu nájmu, případně Pronajímateli nahlásit potřebu provedení oprav, přesahujících běžnou údržbu a drobné opravy Předmětu nájmu;</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zajišťovat na své náklady revize spotřebičů a elektrických zařízení Nájemce v Předmětu nájmu a tyto Pronajímateli doložit;</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provádět běžnou údržbu a drobné opravy uvnitř Předmětu nájmu (např. vymalování předmětu nájmu, výměnu žárovek či zářivek, výměna klik a kování, výměna termohlavic na topení, čištění podlah, umývání oken apod.);</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provádět stavební úpravy v Předmětu nájmu pouze po předchozím písemném souhlasu Pronajímatele;</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v Předmětu nájmu neinstalovat a nepoužívat elektrická topná zařízení (přímotopy, akumulační kamna apod.) bez předchozího písemného souhlasu Pronajímatele;</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užíváním Předmětu nájmu rušit nad míru přiměřenou poměrům uživatele sousedních prostorů a nesmí jim bránit ve výkonu jejich práv, zejména je nesmí rušit nadměrným hlukem, zápachem, otřesy či jinou svou činností;</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dodržovat při užívání Předmětu nájmu obvyklá bezpečnostní a protipožární opatření a dodržovat obecně závazné právní předpisy na úseku bezpečnosti a ochrany zdraví při práci a protipožární ochrany, vztahující se ke způsobu užíváni Předmětu nájmu. Nájemce je povinen poučit své zaměstnance, partnery či třetí osoby nacházející se v Předmětu nájmu o bezpečnostních a protipožárních předpisech, s nimiž byl při předání Předmětu nájmu Pronajímatelem řádně seznámen, což svým podpisem této Smlouvy potvrzuje;</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likvidovat Nájemcem vzniklé odpady (mimo běžného a tříděného odpadu, jehož odvoz zajišťuje Pronajímatel odvoz) na vlastní náklady dle platných norem a nařízení pro likvidaci odpadů z podnikatelské činnosti, což bude schopen prokázat úřadu pověřenému ke kontrole likvidace odpadů;</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sjednat pojištění Předmětu nájmu a movitých věcí Nájemce v Předmětu nájmu v minimálním rozsahu pro případ požáru a krádeže, s přiměřeným krytím;</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dodržovat provozní řád Pronajímatele, který je zveřejněn ve vývěsní skříňce a zajistit jeho dodržování zaměstnanci nájemce, jeho partnery i jeho zákazníky;</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ke dni skončení Nájmu Předmět nájmu vyklizený předat Pronajímateli.</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bookmarkStart w:id="4" w:name="_Ref131599688"/>
      <w:r>
        <w:rPr>
          <w:rFonts w:cs="Calibri" w:cstheme="minorHAnsi"/>
        </w:rPr>
        <w:t>Nájemce není oprávněn bez předchozího písemného souhlasu Pronajímatele přenechat Předmět nájmu do podnájmu třetí osobě.</w:t>
      </w:r>
      <w:bookmarkEnd w:id="4"/>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Nájemce prohlašuje, že si Předmět nájmu prohlédl, je srozuměn s jeho stavem a prohlašuje, že Předmět nájmu je vhodný k účelu nájmu dle této Smlouvy. Předmět nájmu je samostatně uzamykatelný. </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je za účelem kontroly, zda je Předmět nájmu Nájemcem užíván v souladu s touto smlouvou, za přítomnosti Nájemce nebo jeho zástupce oprávněn vstupovat do Předmětu nájmu v běžných provozních hodinách Nájemce, a to vždy po předchozím ohlášení. Jestliže existuje nebezpečí havarijního stavu či poškození Předmětu nájmu, má Pronajímatel právo vstoupit kdykoliv do Předmětu nájmu a je povinen o tom ihned informovat Nájemce.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odpovídá Pronajímateli za každé poškození Předmětu nájmu a společných prostor, zejména za škody vzniklé nedbalým zacházením s vodou, elektrickým proudem a topnými zařízeními, pokud škoda vznikla zaviněním Nájemce, jeho zaměstnanců, zákazníků, klientů nebo třetích osob, které se v pronajatých prostorách nacházely, nebo tím, že ke škodě došlo na základě nedostatečné péče o svěřené prostory.</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oprávněn vybavit Předmět nájmu movitým zařízením, které odpovídá účelu Nájmu, a to zejména nábytkem, datovým a telekomunikačním zařízením, vzorky výrobků apod. Toto movité zařízení musí splňovat podmínky stanovené výrobcem pro jejich instalaci, musí splňovat zákonné podmínky pro instalaci tohoto druhu zařízení a musí být umístěno tak, aby byly dodrženy bezpečnostní, požární předpisy a obecně závazné právní předpisy. Náklady na vnitřní vybavení včetně veškerých veřejnoprávních či jiných povolení v Předmětu nájmu hradí a zajišťuje Nájemce.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oprávněn s předchozím souhlasem Pronajímatele umístit na Budovu, své označení.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se vzdává všech nároky z titulu výpadků přívodu vody, elektrické energie, tepla, telefonních vedení a datových sítí apod. do Předmětu nájmu.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Investice Nájemce (zhodnocení) do Předmětu nájmu provedených se souhlasem Pronajímatele, které nemohou být odstraněny bez poškození, resp. bez hospodářské újmy pro Předmět nájmu a pro objekt, ve kterém se nacházejí pronajaté prostory, přecházejí po ukončení Nájmu bez náhrady do vlastnictví Pronajímatele.</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Odpovědnost za škodu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neodpovídá za škody na movitém majetku Nájemce umístěném v Předmětu nájmu a neodpovídá ani za jiné škody, které by Nájemci, jeho pracovníkům, obchodním partnerům, zákazníkům či jiným třetím osobám vznikly v souvislosti s užíváním Předmětu nájmu, s výjimkou případů prokazatelně zaviněných Pronajímatelem.</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Ochrana veškerého movitého majetku Nájemce umístěného v Předmětu nájmu před ztrátou, poškozením nebo zničením a jeho pojištění je výlučně odpovědností Nájemce a jeho nákladů.</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odpovídá Pronajímateli za veškeré škody způsobené Nájemcem, jeho obchodními partnery, či zákazníky na Předmětu nájmu i na společných prostorách Nemovitostí během trvání Nájmu a v souvislosti s ním. Nájemce odpovídá za pracovní úrazy svých zaměstnanců a partnerů, úplnost a technickou způsobilost používaných technických zařízení, včetně zařízení pronajatých a odpovídá za dodržování obecně závazných předpisů týkajících se bezpečnosti a ochrany zdraví při práci a zajištění požární ochrany v Předmětu nájmu.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dále odpovídá ostatním nájemcům v Budově za veškeré jím zaviněné škody způsobené na jejich majetku.</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Ostatní a závěrečná ustanovení</w:t>
      </w:r>
    </w:p>
    <w:p>
      <w:pPr>
        <w:pStyle w:val="ListParagraph"/>
        <w:spacing w:lineRule="auto" w:line="276" w:before="0" w:after="0"/>
        <w:ind w:left="851" w:hanging="0"/>
        <w:contextualSpacing/>
        <w:jc w:val="both"/>
        <w:rPr>
          <w:rFonts w:cs="Calibri" w:cstheme="minorHAnsi"/>
          <w:b/>
          <w:bCs/>
        </w:rPr>
      </w:pPr>
      <w:r>
        <w:rPr>
          <w:rFonts w:cs="Calibri" w:cstheme="minorHAnsi"/>
          <w:b/>
          <w:bCs/>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Strany sjednávají, že veškerá korespondence bude zasílána na adresy uvedené v záhlaví této Smlouvy. V případě, že dojde ke změně adresy, zavazuje se Strana, které se změna adresy týká, písemně upozornit s dostatečným předstihem druhou Stranu na tuto změnu. Do doby oznámení nové adresy je pro druhou Stranu závazná původní adresa.</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bere na vědomí, že Pronajímatel pro plnění svých zákonných povinností bude po nezbytnou dobu a ve stanoveném rozsahu zpracovávat osobní údaje Nájemce v souladu s příslušnými předpisy na ochranu osobních údajů.</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prohlašuje, že veškeré údaje, které poskytl Pronajímateli v souvislosti s uzavřením této Smlouvy, jsou pravdivé a aktuální.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bere na vědomí, že Pronajímatel je povinným subjektem ve smyslu ust. § 2 odst. 1 zák. č. 106/1999 Sb., o svobodném přístupu k informacím, ve znění pozdějších předpisů, a že v důsledku tohoto svého postavení je povinen na žádost poskytnout informace o skutečnostech uvedených v této Smlouvě, resp. o samotném jejím uzavření. Nájemce dále bere na vědomí, že tato Smlouva bude ve smyslu ustanovení zák. č. 340/2015 Sb., o registru smluv, ve znění pozdějších předpisů, zveřejněna v registru smluv. Pro tyto případy Nájemce výslovně prohlašuje, že žádný údaj uvedený v této Smlouvě ani samotnou skutečnost, že byla uzavřena, nepokládá za své obchodní tajemství a uděluje tak souhlas s jejich zveřejněním v registru smluv.</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otázkách neupravených touto Smlouvou se použijí ustanovení obecně závazných právních předpisů České republiky, zejména občanského zákoníku.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Všechny spory vznikající z této Smlouvy a v souvislosti s ní budou rozhodovány s konečnou platností u věcně a místně příslušnými soudy v České republice.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Stane-li se některé ustanovení této Smlouvy v budoucnu neplatným nebo bude příslušným způsobem prohlášeno za neplatné či neúčinné, nezakládá tato skutečnost neplatnost Smlouvy jako celku. V takovém případě jsou Strany povinny nahradit neplatné či neúčinné ustanovení novým ustanovením odpovídající jejich vůli při uzavření této Smlouvy.</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Změny a doplnění této Smlouvy jsou možné pouze v písemné podobě a na základě vzájemné dohody obou Stran na základě vzestupně číslovaných dodatků.</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Práva a povinnosti z této Smlouvy nemůže Nájemce postoupit na třetí osobu bez předchozího písemného souhlasu Pronajímatele a nepřecházejí na právního nástupce Nájemce.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Jestliže kterákoli ze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Stranou, která takové vzdání činí.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Tato Smlouva byla vyhotovena ve dvou stejnopisech s platností originálu, z nichž jedno obdrží Nájemce a jedno Pronajímatel. </w:t>
      </w:r>
      <w:bookmarkStart w:id="5" w:name="_Hlk125130766"/>
      <w:r>
        <w:rPr>
          <w:rFonts w:cs="Calibri" w:cstheme="minorHAnsi"/>
        </w:rPr>
        <w:t>Změny a doplnění této Smlouvy jsou možné pouze v písemné podobě a na základě vzájemné dohody obou Stran.</w:t>
      </w:r>
      <w:bookmarkEnd w:id="5"/>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Tato Smlouva nabývá platnosti dnem podpisu oběma Stranami a účinnosti dnem jejího zveřejnění v registru smluv.</w:t>
      </w:r>
    </w:p>
    <w:p>
      <w:pPr>
        <w:pStyle w:val="ListParagraph"/>
        <w:rPr>
          <w:rFonts w:cs="Calibri" w:cstheme="minorHAnsi"/>
        </w:rPr>
      </w:pPr>
      <w:r>
        <w:rPr>
          <w:rFonts w:cs="Calibri" w:cstheme="minorHAnsi"/>
        </w:rPr>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Přílohami této Smlouvy jsou:</w:t>
      </w:r>
    </w:p>
    <w:p>
      <w:pPr>
        <w:pStyle w:val="ListParagraph"/>
        <w:rPr>
          <w:rFonts w:cs="Calibri" w:cstheme="minorHAnsi"/>
        </w:rPr>
      </w:pPr>
      <w:r>
        <w:rPr>
          <w:rFonts w:cs="Calibri" w:cstheme="minorHAnsi"/>
        </w:rPr>
      </w:r>
    </w:p>
    <w:p>
      <w:pPr>
        <w:pStyle w:val="Normal"/>
        <w:spacing w:lineRule="auto" w:line="276" w:before="0" w:after="0"/>
        <w:ind w:left="143" w:firstLine="708"/>
        <w:jc w:val="both"/>
        <w:rPr>
          <w:rFonts w:cs="Calibri" w:cstheme="minorHAnsi"/>
        </w:rPr>
      </w:pPr>
      <w:bookmarkStart w:id="6" w:name="_Hlk125130795"/>
      <w:r>
        <w:rPr>
          <w:rFonts w:cs="Calibri" w:cstheme="minorHAnsi"/>
        </w:rPr>
        <w:t>I. Výpis ze živnostenského příp. obchodního rejstříku Nájemce;</w:t>
      </w:r>
      <w:bookmarkEnd w:id="6"/>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Obě Strany podepisují Smlouvu na důkaz souhlasu a jejím obsahem a prohlašují, že s jejímu obsahu zcela rozumí a že s ním bezvýhradně souhlasí.</w:t>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t xml:space="preserve">V Nymburce, dne </w:t>
      </w:r>
      <w:r>
        <w:rPr>
          <w:rFonts w:cs="Calibri" w:cstheme="minorHAnsi"/>
        </w:rPr>
        <w:t>10.11.2025</w:t>
      </w:r>
      <w:r>
        <w:rPr>
          <w:rFonts w:cs="Calibri" w:cstheme="minorHAnsi"/>
        </w:rPr>
        <w:tab/>
        <w:tab/>
        <w:tab/>
        <w:tab/>
        <w:t xml:space="preserve">V Nymburce, dne </w:t>
      </w:r>
      <w:r>
        <w:rPr>
          <w:rFonts w:cs="Calibri" w:cstheme="minorHAnsi"/>
        </w:rPr>
        <w:t>10.11.2025</w:t>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t>Pronajímatel:</w:t>
        <w:tab/>
        <w:tab/>
        <w:tab/>
        <w:tab/>
        <w:tab/>
        <w:tab/>
        <w:t>Nájemce:</w:t>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t>_________________________________</w:t>
        <w:tab/>
        <w:tab/>
        <w:t>_________________________________</w:t>
      </w:r>
    </w:p>
    <w:p>
      <w:pPr>
        <w:pStyle w:val="Normal"/>
        <w:spacing w:lineRule="auto" w:line="276" w:before="0" w:after="0"/>
        <w:jc w:val="both"/>
        <w:rPr>
          <w:rFonts w:cs="Calibri" w:cstheme="minorHAnsi"/>
        </w:rPr>
      </w:pPr>
      <w:r>
        <w:rPr>
          <w:rFonts w:cs="Calibri" w:cstheme="minorHAnsi"/>
          <w:b/>
          <w:bCs/>
        </w:rPr>
        <w:t>Technické služby města Nymburka</w:t>
      </w:r>
      <w:r>
        <w:rPr>
          <w:rFonts w:cs="Calibri" w:cstheme="minorHAnsi"/>
        </w:rPr>
        <w:tab/>
        <w:tab/>
        <w:tab/>
      </w:r>
    </w:p>
    <w:p>
      <w:pPr>
        <w:pStyle w:val="ListParagraph"/>
        <w:spacing w:lineRule="auto" w:line="276" w:before="0" w:after="0"/>
        <w:ind w:left="0" w:hanging="0"/>
        <w:contextualSpacing/>
        <w:jc w:val="both"/>
        <w:rPr>
          <w:rFonts w:cs="Calibri" w:cstheme="minorHAnsi"/>
        </w:rPr>
      </w:pPr>
      <w:bookmarkStart w:id="7" w:name="_Hlk125130964"/>
      <w:r>
        <w:rPr>
          <w:rFonts w:cs="Calibri" w:cstheme="minorHAnsi"/>
        </w:rPr>
        <w:t>zast. Bc. Josef Kubiš, ředitel</w:t>
      </w:r>
      <w:bookmarkEnd w:id="7"/>
      <w:r>
        <w:rPr>
          <w:rFonts w:cs="Calibri" w:cstheme="minorHAnsi"/>
        </w:rPr>
        <w:tab/>
        <w:tab/>
        <w:tab/>
        <w:tab/>
        <w:t xml:space="preserve">Jana Stehlíková </w:t>
      </w:r>
    </w:p>
    <w:sectPr>
      <w:footerReference w:type="default" r:id="rId2"/>
      <w:type w:val="nextPage"/>
      <w:pgSz w:w="11906" w:h="16838"/>
      <w:pgMar w:left="1417" w:right="1417" w:gutter="0" w:header="0" w:top="1276" w:footer="708"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06027343"/>
    </w:sdtPr>
    <w:sdtContent>
      <w:p>
        <w:pPr>
          <w:pStyle w:val="Zpat"/>
          <w:jc w:val="center"/>
          <w:rPr/>
        </w:pPr>
        <w:r>
          <w:rPr/>
          <w:fldChar w:fldCharType="begin"/>
        </w:r>
        <w:r>
          <w:rPr/>
          <w:instrText xml:space="preserve"> PAGE </w:instrText>
        </w:r>
        <w:r>
          <w:rPr/>
          <w:fldChar w:fldCharType="separate"/>
        </w:r>
        <w:r>
          <w:rPr/>
          <w:t>1</w:t>
        </w:r>
        <w:r>
          <w:rPr/>
          <w:fldChar w:fldCharType="end"/>
        </w:r>
      </w:p>
    </w:sdtContent>
  </w:sdt>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numFmt w:val="bullet"/>
      <w:lvlText w:val="-"/>
      <w:lvlJc w:val="left"/>
      <w:pPr>
        <w:tabs>
          <w:tab w:val="num" w:pos="0"/>
        </w:tabs>
        <w:ind w:left="1211" w:hanging="360"/>
      </w:pPr>
      <w:rPr>
        <w:rFonts w:ascii="Times New Roman" w:hAnsi="Times New Roman" w:cs="Times New Roman" w:hint="default"/>
        <w:rFonts w:eastAsiaTheme="minorHAnsi"/>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249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Hyperlink"/>
    <w:basedOn w:val="DefaultParagraphFont"/>
    <w:uiPriority w:val="99"/>
    <w:semiHidden/>
    <w:unhideWhenUsed/>
    <w:rsid w:val="00b073b4"/>
    <w:rPr>
      <w:color w:val="0000FF"/>
      <w:u w:val="single"/>
    </w:rPr>
  </w:style>
  <w:style w:type="character" w:styleId="ZhlavChar" w:customStyle="1">
    <w:name w:val="Záhlaví Char"/>
    <w:basedOn w:val="DefaultParagraphFont"/>
    <w:uiPriority w:val="99"/>
    <w:qFormat/>
    <w:rsid w:val="00d8663e"/>
    <w:rPr/>
  </w:style>
  <w:style w:type="character" w:styleId="ZpatChar" w:customStyle="1">
    <w:name w:val="Zápatí Char"/>
    <w:basedOn w:val="DefaultParagraphFont"/>
    <w:uiPriority w:val="99"/>
    <w:qFormat/>
    <w:rsid w:val="00d8663e"/>
    <w:rPr/>
  </w:style>
  <w:style w:type="character" w:styleId="Annotationreference">
    <w:name w:val="annotation reference"/>
    <w:basedOn w:val="DefaultParagraphFont"/>
    <w:uiPriority w:val="99"/>
    <w:semiHidden/>
    <w:unhideWhenUsed/>
    <w:qFormat/>
    <w:rsid w:val="008b71a8"/>
    <w:rPr>
      <w:sz w:val="16"/>
      <w:szCs w:val="16"/>
    </w:rPr>
  </w:style>
  <w:style w:type="character" w:styleId="TextkomenteChar" w:customStyle="1">
    <w:name w:val="Text komentáře Char"/>
    <w:basedOn w:val="DefaultParagraphFont"/>
    <w:link w:val="Annotationtext"/>
    <w:uiPriority w:val="99"/>
    <w:semiHidden/>
    <w:qFormat/>
    <w:rsid w:val="008b71a8"/>
    <w:rPr>
      <w:sz w:val="20"/>
      <w:szCs w:val="20"/>
    </w:rPr>
  </w:style>
  <w:style w:type="character" w:styleId="PedmtkomenteChar" w:customStyle="1">
    <w:name w:val="Předmět komentáře Char"/>
    <w:basedOn w:val="TextkomenteChar"/>
    <w:link w:val="Annotationsubject"/>
    <w:uiPriority w:val="99"/>
    <w:semiHidden/>
    <w:qFormat/>
    <w:rsid w:val="008b71a8"/>
    <w:rPr>
      <w:b/>
      <w:bCs/>
      <w:sz w:val="20"/>
      <w:szCs w:val="20"/>
    </w:rPr>
  </w:style>
  <w:style w:type="character" w:styleId="Strong">
    <w:name w:val="Strong"/>
    <w:qFormat/>
    <w:rPr>
      <w:b/>
      <w:bCs/>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paragraph" w:styleId="Nadpis" w:customStyle="1">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fb2728"/>
    <w:pPr>
      <w:spacing w:before="0" w:after="160"/>
      <w:ind w:left="720" w:hanging="0"/>
      <w:contextualSpacing/>
    </w:pPr>
    <w:rPr/>
  </w:style>
  <w:style w:type="paragraph" w:styleId="Zhlavazpat" w:customStyle="1">
    <w:name w:val="Záhlaví a zápatí"/>
    <w:basedOn w:val="Normal"/>
    <w:qFormat/>
    <w:pPr/>
    <w:rPr/>
  </w:style>
  <w:style w:type="paragraph" w:styleId="Zhlav">
    <w:name w:val="Header"/>
    <w:basedOn w:val="Normal"/>
    <w:link w:val="ZhlavChar"/>
    <w:uiPriority w:val="99"/>
    <w:unhideWhenUsed/>
    <w:rsid w:val="00d8663e"/>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d8663e"/>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xtkomenteChar"/>
    <w:uiPriority w:val="99"/>
    <w:semiHidden/>
    <w:unhideWhenUsed/>
    <w:qFormat/>
    <w:rsid w:val="008b71a8"/>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8b71a8"/>
    <w:pPr/>
    <w:rPr>
      <w:b/>
      <w:bCs/>
    </w:rPr>
  </w:style>
  <w:style w:type="paragraph" w:styleId="NoSpacing">
    <w:name w:val="No Spacing"/>
    <w:uiPriority w:val="1"/>
    <w:qFormat/>
    <w:rsid w:val="005f249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Revision">
    <w:name w:val="Revision"/>
    <w:uiPriority w:val="99"/>
    <w:semiHidden/>
    <w:qFormat/>
    <w:rsid w:val="008506f8"/>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475B-06FB-4431-BB59-2E710BF8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Application>LibreOffice/7.5.4.2$Windows_X86_64 LibreOffice_project/36ccfdc35048b057fd9854c757a8b67ec53977b6</Application>
  <AppVersion>15.0000</AppVersion>
  <Pages>8</Pages>
  <Words>1502</Words>
  <Characters>8922</Characters>
  <CharactersWithSpaces>10337</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2025-09-11T05:51:00Z</dcterms:created>
  <dc:creator>Barbora Benakova - OHBS</dc:creator>
  <dc:description/>
  <dc:language>cs-CZ</dc:language>
  <cp:lastModifiedBy/>
  <cp:lastPrinted>2025-11-10T07:58:04Z</cp:lastPrinted>
  <dcterms:modified xsi:type="dcterms:W3CDTF">2025-11-10T07:58:59Z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