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CD3F0C3" w14:textId="77777777" w:rsidR="00314664" w:rsidRPr="000A6455" w:rsidRDefault="00314664" w:rsidP="00314664">
      <w:pPr>
        <w:rPr>
          <w:b/>
        </w:rPr>
      </w:pPr>
      <w:r w:rsidRPr="000A6455">
        <w:rPr>
          <w:b/>
        </w:rPr>
        <w:t xml:space="preserve">MADISSON, s.r.o. </w:t>
      </w:r>
    </w:p>
    <w:p w14:paraId="59C8350A" w14:textId="77777777" w:rsidR="00314664" w:rsidRDefault="00314664" w:rsidP="00314664">
      <w:r w:rsidRPr="000A6455">
        <w:t>IČ: 26124637</w:t>
      </w:r>
    </w:p>
    <w:p w14:paraId="70A7B66B" w14:textId="77777777" w:rsidR="00314664" w:rsidRPr="00512AB9" w:rsidRDefault="00314664" w:rsidP="00314664">
      <w:r>
        <w:t>DIČ: CZ</w:t>
      </w:r>
      <w:r w:rsidRPr="000A6455">
        <w:t>26124637</w:t>
      </w:r>
    </w:p>
    <w:p w14:paraId="6D0E1563" w14:textId="77777777" w:rsidR="00314664" w:rsidRDefault="00314664" w:rsidP="00314664">
      <w:r>
        <w:t>se sídlem</w:t>
      </w:r>
      <w:r w:rsidRPr="00512AB9">
        <w:t xml:space="preserve">: </w:t>
      </w:r>
      <w:r w:rsidRPr="000A6455">
        <w:t xml:space="preserve">Praha 10 - Uhříněves, Soumarská 1541/8, PSČ 10400 </w:t>
      </w:r>
    </w:p>
    <w:p w14:paraId="5057742B" w14:textId="77777777" w:rsidR="00314664" w:rsidRDefault="00314664" w:rsidP="00314664">
      <w:r>
        <w:t>zastoupena:</w:t>
      </w:r>
      <w:r w:rsidRPr="000A6455">
        <w:t xml:space="preserve"> Mgr. Robert Vojtíšek, MBA, </w:t>
      </w:r>
      <w:proofErr w:type="spellStart"/>
      <w:r w:rsidRPr="000A6455">
        <w:t>Executive</w:t>
      </w:r>
      <w:proofErr w:type="spellEnd"/>
      <w:r w:rsidRPr="000A6455">
        <w:t xml:space="preserve"> DBA</w:t>
      </w:r>
    </w:p>
    <w:p w14:paraId="4610838A" w14:textId="77777777" w:rsidR="00314664" w:rsidRDefault="00314664" w:rsidP="00314664">
      <w:r w:rsidRPr="00512AB9">
        <w:t xml:space="preserve">bankovní spojení: </w:t>
      </w:r>
      <w:r w:rsidRPr="000A6455">
        <w:t>Č</w:t>
      </w:r>
      <w:r>
        <w:t>SOB a.s.</w:t>
      </w:r>
    </w:p>
    <w:p w14:paraId="029330E2" w14:textId="77777777" w:rsidR="00314664" w:rsidRPr="00512AB9" w:rsidRDefault="00314664" w:rsidP="00314664">
      <w:r w:rsidRPr="00512AB9">
        <w:t xml:space="preserve">číslo účtu: </w:t>
      </w:r>
      <w:r w:rsidRPr="000A6455">
        <w:t>174621392</w:t>
      </w:r>
      <w:r>
        <w:t>/0300</w:t>
      </w:r>
    </w:p>
    <w:p w14:paraId="63C70938" w14:textId="77777777" w:rsidR="00314664" w:rsidRPr="00512AB9" w:rsidRDefault="00314664" w:rsidP="00314664">
      <w:r>
        <w:t>z</w:t>
      </w:r>
      <w:r w:rsidRPr="00512AB9">
        <w:t>apsán</w:t>
      </w:r>
      <w:r>
        <w:t>a</w:t>
      </w:r>
      <w:r w:rsidRPr="00512AB9">
        <w:t xml:space="preserve"> v obchodním rejstříku vedeném </w:t>
      </w:r>
      <w:r>
        <w:t xml:space="preserve">u </w:t>
      </w:r>
      <w:r w:rsidRPr="000A6455">
        <w:t xml:space="preserve">Městského </w:t>
      </w:r>
      <w:r w:rsidRPr="00652864">
        <w:t>soud</w:t>
      </w:r>
      <w:r>
        <w:t>u</w:t>
      </w:r>
      <w:r w:rsidRPr="00652864">
        <w:t xml:space="preserve"> v </w:t>
      </w:r>
      <w:r>
        <w:t>Praze</w:t>
      </w:r>
      <w:r w:rsidRPr="00652864">
        <w:t xml:space="preserve">, oddíl </w:t>
      </w:r>
      <w:r>
        <w:t>C</w:t>
      </w:r>
      <w:r w:rsidRPr="00652864">
        <w:t xml:space="preserve">, vložka </w:t>
      </w:r>
      <w:r w:rsidRPr="000A6455">
        <w:t>72284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A23CBB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26F3E">
        <w:t>Přístrojové vybavení DRHO II</w:t>
      </w:r>
      <w:r>
        <w:t xml:space="preserve">“, část </w:t>
      </w:r>
      <w:r w:rsidR="004B3124">
        <w:t>1</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26F3E">
        <w:t>„</w:t>
      </w:r>
      <w:r w:rsidR="00B26F3E" w:rsidRPr="00E5089D">
        <w:t>Zvýšení kvality a dostupnosti léčebně rehabilitační péče ve FN Brno</w:t>
      </w:r>
      <w:r w:rsidR="00B26F3E">
        <w:t xml:space="preserve">“ </w:t>
      </w:r>
      <w:r w:rsidR="00B26F3E" w:rsidRPr="008C2D96">
        <w:t>registrační číslo projektu</w:t>
      </w:r>
      <w:r w:rsidR="00B26F3E">
        <w:t xml:space="preserve"> </w:t>
      </w:r>
      <w:r w:rsidR="00B26F3E" w:rsidRPr="0054698E">
        <w:t>„CZ.31.7.0/0.0/0.0/2</w:t>
      </w:r>
      <w:r w:rsidR="00B26F3E">
        <w:t>3</w:t>
      </w:r>
      <w:r w:rsidR="00B26F3E" w:rsidRPr="0054698E">
        <w:t>_</w:t>
      </w:r>
      <w:r w:rsidR="00B26F3E">
        <w:t>064/0</w:t>
      </w:r>
      <w:r w:rsidR="00B26F3E" w:rsidRPr="0054698E">
        <w:t>00</w:t>
      </w:r>
      <w:r w:rsidR="00B26F3E">
        <w:t>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76033DAC"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w:t>
      </w:r>
      <w:r w:rsidR="00751CA8">
        <w:t>tak činit po celou Záruční dobu.</w:t>
      </w:r>
    </w:p>
    <w:p w14:paraId="7561DD8D" w14:textId="77777777" w:rsidR="00751CA8" w:rsidRDefault="00751CA8" w:rsidP="00751CA8"/>
    <w:p w14:paraId="4BF4870F" w14:textId="0A6903D4" w:rsidR="009A7E08" w:rsidRDefault="00BA5EEC" w:rsidP="00751CA8">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sidRPr="00751CA8">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751CA8">
        <w:rPr>
          <w:b/>
        </w:rPr>
        <w:t>Instruktáž</w:t>
      </w:r>
      <w:r w:rsidRPr="00D231CC">
        <w:t xml:space="preserve">“). Plnění podle tohoto odstavce smlouvy je Prodávající povinen poskytnout </w:t>
      </w:r>
      <w:r w:rsidRPr="00751CA8">
        <w:rPr>
          <w:b/>
          <w:u w:val="single"/>
        </w:rPr>
        <w:t>bezplatně</w:t>
      </w:r>
      <w:r w:rsidR="00751CA8">
        <w:t>.</w:t>
      </w:r>
      <w:r w:rsidRPr="00D231CC">
        <w:t xml:space="preserve"> </w:t>
      </w:r>
      <w:bookmarkStart w:id="0" w:name="_Ref496264709"/>
      <w:bookmarkStart w:id="1" w:name="_Ref25667426"/>
      <w:bookmarkStart w:id="2" w:name="_Ref42077377"/>
    </w:p>
    <w:p w14:paraId="503EA91C" w14:textId="77777777" w:rsidR="00751CA8" w:rsidRDefault="00751CA8" w:rsidP="00751CA8">
      <w:pPr>
        <w:pStyle w:val="Odstavecsmlouvy"/>
        <w:numPr>
          <w:ilvl w:val="0"/>
          <w:numId w:val="0"/>
        </w:numPr>
      </w:pPr>
    </w:p>
    <w:p w14:paraId="262FC22F" w14:textId="0BC2F664" w:rsidR="009A7E08" w:rsidRDefault="00236BD3" w:rsidP="009A7E08">
      <w:pPr>
        <w:pStyle w:val="Odstavecsmlouvy"/>
        <w:numPr>
          <w:ilvl w:val="1"/>
          <w:numId w:val="2"/>
        </w:numPr>
      </w:pPr>
      <w:bookmarkStart w:id="3" w:name="_Ref98508647"/>
      <w:bookmarkEnd w:id="0"/>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1C8C1A6D" w14:textId="77777777" w:rsidR="00B26F3E" w:rsidRDefault="00142BD2" w:rsidP="00D859C2">
      <w:pPr>
        <w:pStyle w:val="Odstavecsmlouvy"/>
      </w:pPr>
      <w:r w:rsidRPr="00D859C2">
        <w:t xml:space="preserve">Prodávající se zavazuje dodat </w:t>
      </w:r>
      <w:r w:rsidR="00ED3A3E" w:rsidRPr="00D859C2">
        <w:t>Kupujícímu</w:t>
      </w:r>
      <w:r w:rsidR="009E1C26" w:rsidRPr="00D859C2">
        <w:t xml:space="preserve"> </w:t>
      </w:r>
    </w:p>
    <w:p w14:paraId="004F1E87" w14:textId="77777777" w:rsidR="00B26F3E" w:rsidRPr="00B26F3E" w:rsidRDefault="00B26F3E" w:rsidP="00B26F3E">
      <w:pPr>
        <w:pStyle w:val="Odstavecsmlouvy"/>
        <w:numPr>
          <w:ilvl w:val="0"/>
          <w:numId w:val="0"/>
        </w:numPr>
        <w:ind w:left="567"/>
        <w:rPr>
          <w:sz w:val="16"/>
          <w:szCs w:val="16"/>
        </w:rPr>
      </w:pPr>
    </w:p>
    <w:p w14:paraId="50A49A4D" w14:textId="77777777" w:rsidR="007E1A50" w:rsidRPr="00B26F3E" w:rsidRDefault="007E1A50" w:rsidP="007E1A50">
      <w:pPr>
        <w:rPr>
          <w:b/>
          <w:u w:val="single"/>
        </w:rPr>
      </w:pPr>
      <w:r w:rsidRPr="00B26F3E">
        <w:rPr>
          <w:b/>
          <w:u w:val="single"/>
        </w:rPr>
        <w:t>Část č. 1 – Kombinovaný přístroj pro elektroterapii a ultrazvuk, 1 ks</w:t>
      </w:r>
    </w:p>
    <w:p w14:paraId="55C0561C" w14:textId="2A9C67C8" w:rsidR="007E1A50" w:rsidRPr="009C3BB4" w:rsidRDefault="00056126" w:rsidP="007E1A50">
      <w:pPr>
        <w:rPr>
          <w:i/>
        </w:rPr>
      </w:pPr>
      <w:proofErr w:type="spellStart"/>
      <w:r w:rsidRPr="00056126">
        <w:t>Intelect</w:t>
      </w:r>
      <w:proofErr w:type="spellEnd"/>
      <w:r w:rsidRPr="00056126">
        <w:t xml:space="preserve"> Neo </w:t>
      </w:r>
      <w:proofErr w:type="spellStart"/>
      <w:r w:rsidRPr="00056126">
        <w:t>Clinical</w:t>
      </w:r>
      <w:proofErr w:type="spellEnd"/>
      <w:r w:rsidRPr="00056126">
        <w:t xml:space="preserve"> </w:t>
      </w:r>
      <w:proofErr w:type="spellStart"/>
      <w:r w:rsidRPr="00056126">
        <w:t>Therapy</w:t>
      </w:r>
      <w:proofErr w:type="spellEnd"/>
      <w:r w:rsidRPr="00056126">
        <w:t xml:space="preserve"> Systém</w:t>
      </w:r>
      <w:r w:rsidR="007E1A50" w:rsidRPr="009C3BB4">
        <w:t xml:space="preserve">, výrobce </w:t>
      </w:r>
      <w:r w:rsidRPr="00056126">
        <w:t>DJO France SAS</w:t>
      </w:r>
    </w:p>
    <w:p w14:paraId="45392438" w14:textId="77777777" w:rsidR="00B26F3E" w:rsidRPr="009C3BB4" w:rsidRDefault="00B26F3E" w:rsidP="00B26F3E">
      <w:pPr>
        <w:rPr>
          <w:i/>
        </w:rPr>
      </w:pPr>
    </w:p>
    <w:p w14:paraId="75136A5F" w14:textId="058E5DC6" w:rsidR="00D86891" w:rsidRPr="00D859C2" w:rsidRDefault="00142BD2" w:rsidP="00B26F3E">
      <w:pPr>
        <w:pStyle w:val="Odstavecsmlouvy"/>
        <w:numPr>
          <w:ilvl w:val="0"/>
          <w:numId w:val="0"/>
        </w:numPr>
        <w:ind w:left="567"/>
      </w:pP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42331F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26F3E">
        <w:rPr>
          <w:b/>
        </w:rPr>
        <w:t xml:space="preserve">do </w:t>
      </w:r>
      <w:r w:rsidR="00B26F3E" w:rsidRPr="00B26F3E">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538FB2A" w14:textId="77777777" w:rsidR="00B26F3E" w:rsidRPr="00D859C2" w:rsidRDefault="003F7B02" w:rsidP="00B26F3E">
      <w:pPr>
        <w:pStyle w:val="Odstavecsmlouvy"/>
        <w:numPr>
          <w:ilvl w:val="1"/>
          <w:numId w:val="2"/>
        </w:numPr>
      </w:pPr>
      <w:r w:rsidRPr="00D859C2">
        <w:t xml:space="preserve">Místem dodání Zboží </w:t>
      </w:r>
      <w:r w:rsidR="00D50BBE" w:rsidRPr="00D859C2">
        <w:t xml:space="preserve">je </w:t>
      </w:r>
      <w:r w:rsidR="00B26F3E">
        <w:t>Dětské rehabilitační oddělení, Fakultní nemocníce Brno, pracoviště Dětská nemocnice, Černopolní 9, 613 00 Brno</w:t>
      </w:r>
      <w:r w:rsidR="00B26F3E"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5F71CF50" w14:textId="53A018DE" w:rsidR="002F4967" w:rsidRDefault="009A3D16" w:rsidP="00672779">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proofErr w:type="spellStart"/>
      <w:r w:rsidR="003F35F5">
        <w:t>xxx</w:t>
      </w:r>
      <w:proofErr w:type="spellEnd"/>
      <w:r w:rsidR="00D93A73">
        <w:t xml:space="preserve">, tel.: </w:t>
      </w:r>
      <w:proofErr w:type="spellStart"/>
      <w:r w:rsidR="003F35F5">
        <w:t>xxx</w:t>
      </w:r>
      <w:proofErr w:type="spellEnd"/>
      <w:r w:rsidR="00D93A73">
        <w:t xml:space="preserve"> a písemně na e-mail: </w:t>
      </w:r>
      <w:proofErr w:type="spellStart"/>
      <w:r w:rsidR="003F35F5">
        <w:t>xxx</w:t>
      </w:r>
      <w:proofErr w:type="spellEnd"/>
      <w:r w:rsidRPr="00D859C2">
        <w:t>. Bez tohoto oznámení není Kupující povinen Zboží převzít.</w:t>
      </w:r>
    </w:p>
    <w:p w14:paraId="75136A6F" w14:textId="2C2B1DD5" w:rsidR="00D82704" w:rsidRPr="002F4967" w:rsidRDefault="00B91037" w:rsidP="002F4967">
      <w:pPr>
        <w:pStyle w:val="Odstavecsmlouvy"/>
        <w:numPr>
          <w:ilvl w:val="0"/>
          <w:numId w:val="0"/>
        </w:numPr>
        <w:tabs>
          <w:tab w:val="left" w:pos="709"/>
        </w:tabs>
        <w:ind w:left="567"/>
      </w:pPr>
      <w:r w:rsidRPr="00D859C2">
        <w:t xml:space="preserve"> </w:t>
      </w: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w:t>
      </w:r>
      <w:r w:rsidRPr="009A7E08">
        <w:lastRenderedPageBreak/>
        <w:t xml:space="preserve">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1A71DE" w:rsidRPr="00D93A73" w14:paraId="025E7B77" w14:textId="77777777" w:rsidTr="00D3298D">
        <w:tc>
          <w:tcPr>
            <w:tcW w:w="8363" w:type="dxa"/>
            <w:gridSpan w:val="2"/>
          </w:tcPr>
          <w:p w14:paraId="0463C3E3" w14:textId="77777777" w:rsidR="001A71DE" w:rsidRPr="00D93A73" w:rsidRDefault="001A71DE" w:rsidP="00D3298D">
            <w:pPr>
              <w:pStyle w:val="Zkladntext3"/>
              <w:rPr>
                <w:sz w:val="22"/>
                <w:szCs w:val="22"/>
                <w:u w:val="single"/>
              </w:rPr>
            </w:pPr>
            <w:r w:rsidRPr="005E0750">
              <w:rPr>
                <w:sz w:val="22"/>
                <w:szCs w:val="22"/>
                <w:u w:val="single"/>
              </w:rPr>
              <w:t xml:space="preserve">Část č. </w:t>
            </w:r>
            <w:r>
              <w:rPr>
                <w:sz w:val="22"/>
                <w:szCs w:val="22"/>
                <w:u w:val="single"/>
              </w:rPr>
              <w:t>1</w:t>
            </w:r>
            <w:r w:rsidRPr="005E0750">
              <w:rPr>
                <w:sz w:val="22"/>
                <w:szCs w:val="22"/>
                <w:u w:val="single"/>
              </w:rPr>
              <w:t xml:space="preserve"> – </w:t>
            </w:r>
            <w:r w:rsidRPr="00D93A73">
              <w:rPr>
                <w:sz w:val="22"/>
                <w:szCs w:val="22"/>
                <w:u w:val="single"/>
              </w:rPr>
              <w:t>Kombinovaný přístroj pro elektroterapii a ultrazvuk</w:t>
            </w:r>
          </w:p>
        </w:tc>
      </w:tr>
      <w:tr w:rsidR="001A71DE" w:rsidRPr="007678B5" w14:paraId="04D3F098" w14:textId="77777777" w:rsidTr="00D3298D">
        <w:tc>
          <w:tcPr>
            <w:tcW w:w="4575" w:type="dxa"/>
          </w:tcPr>
          <w:p w14:paraId="7DB326D8" w14:textId="77777777" w:rsidR="001A71DE" w:rsidRPr="005B49AA" w:rsidRDefault="001A71DE" w:rsidP="00D3298D">
            <w:pPr>
              <w:pStyle w:val="Zkladntext3"/>
              <w:rPr>
                <w:b/>
                <w:sz w:val="22"/>
                <w:szCs w:val="22"/>
              </w:rPr>
            </w:pPr>
            <w:r w:rsidRPr="005B49AA">
              <w:rPr>
                <w:b/>
                <w:sz w:val="22"/>
                <w:szCs w:val="22"/>
              </w:rPr>
              <w:t>Kupní cena bez DPH:</w:t>
            </w:r>
          </w:p>
        </w:tc>
        <w:tc>
          <w:tcPr>
            <w:tcW w:w="3788" w:type="dxa"/>
          </w:tcPr>
          <w:p w14:paraId="5CE62986" w14:textId="5BD1F0D4" w:rsidR="001A71DE" w:rsidRPr="007678B5" w:rsidRDefault="001A71DE" w:rsidP="00D3298D">
            <w:pPr>
              <w:pStyle w:val="Zkladntext3"/>
              <w:rPr>
                <w:b/>
                <w:sz w:val="22"/>
                <w:szCs w:val="22"/>
                <w:highlight w:val="yellow"/>
              </w:rPr>
            </w:pPr>
            <w:r>
              <w:rPr>
                <w:b/>
                <w:sz w:val="22"/>
                <w:szCs w:val="22"/>
              </w:rPr>
              <w:t>221 800</w:t>
            </w:r>
            <w:r w:rsidRPr="005B49AA">
              <w:rPr>
                <w:b/>
                <w:sz w:val="22"/>
                <w:szCs w:val="22"/>
              </w:rPr>
              <w:t xml:space="preserve"> Kč</w:t>
            </w:r>
          </w:p>
        </w:tc>
      </w:tr>
      <w:tr w:rsidR="001A71DE" w:rsidRPr="007678B5" w14:paraId="7DD8D3DE" w14:textId="77777777" w:rsidTr="00D3298D">
        <w:tc>
          <w:tcPr>
            <w:tcW w:w="4575" w:type="dxa"/>
          </w:tcPr>
          <w:p w14:paraId="51C1B4CF" w14:textId="1993920F" w:rsidR="001A71DE" w:rsidRPr="005B49AA" w:rsidRDefault="001A71DE" w:rsidP="00D3298D">
            <w:pPr>
              <w:pStyle w:val="Zkladntext3"/>
              <w:rPr>
                <w:b/>
                <w:sz w:val="22"/>
                <w:szCs w:val="22"/>
              </w:rPr>
            </w:pPr>
            <w:r w:rsidRPr="005B49AA">
              <w:rPr>
                <w:b/>
                <w:sz w:val="22"/>
                <w:szCs w:val="22"/>
              </w:rPr>
              <w:t xml:space="preserve">DPH </w:t>
            </w:r>
            <w:proofErr w:type="gramStart"/>
            <w:r>
              <w:rPr>
                <w:b/>
                <w:sz w:val="22"/>
                <w:szCs w:val="22"/>
              </w:rPr>
              <w:t>21</w:t>
            </w:r>
            <w:r w:rsidRPr="005B49AA">
              <w:rPr>
                <w:b/>
                <w:sz w:val="22"/>
                <w:szCs w:val="22"/>
              </w:rPr>
              <w:t>%</w:t>
            </w:r>
            <w:proofErr w:type="gramEnd"/>
            <w:r w:rsidRPr="005B49AA">
              <w:rPr>
                <w:b/>
                <w:sz w:val="22"/>
                <w:szCs w:val="22"/>
              </w:rPr>
              <w:t>:</w:t>
            </w:r>
          </w:p>
        </w:tc>
        <w:tc>
          <w:tcPr>
            <w:tcW w:w="3788" w:type="dxa"/>
          </w:tcPr>
          <w:p w14:paraId="0F424EE1" w14:textId="0AE00F02" w:rsidR="001A71DE" w:rsidRPr="007678B5" w:rsidRDefault="001A71DE" w:rsidP="00D3298D">
            <w:pPr>
              <w:pStyle w:val="Zkladntext3"/>
              <w:rPr>
                <w:b/>
                <w:sz w:val="22"/>
                <w:szCs w:val="22"/>
                <w:highlight w:val="yellow"/>
              </w:rPr>
            </w:pPr>
            <w:r>
              <w:rPr>
                <w:b/>
                <w:sz w:val="22"/>
                <w:szCs w:val="22"/>
              </w:rPr>
              <w:t>46 578</w:t>
            </w:r>
            <w:r w:rsidRPr="005B49AA">
              <w:rPr>
                <w:b/>
                <w:sz w:val="22"/>
                <w:szCs w:val="22"/>
              </w:rPr>
              <w:t xml:space="preserve"> Kč</w:t>
            </w:r>
          </w:p>
        </w:tc>
      </w:tr>
      <w:tr w:rsidR="001A71DE" w:rsidRPr="007678B5" w14:paraId="5F1F295F" w14:textId="77777777" w:rsidTr="00D3298D">
        <w:tc>
          <w:tcPr>
            <w:tcW w:w="4575" w:type="dxa"/>
          </w:tcPr>
          <w:p w14:paraId="0244EC74" w14:textId="77777777" w:rsidR="001A71DE" w:rsidRPr="005B49AA" w:rsidRDefault="001A71DE" w:rsidP="00D3298D">
            <w:pPr>
              <w:pStyle w:val="Zkladntext3"/>
              <w:rPr>
                <w:b/>
                <w:sz w:val="22"/>
                <w:szCs w:val="22"/>
              </w:rPr>
            </w:pPr>
            <w:r w:rsidRPr="005B49AA">
              <w:rPr>
                <w:b/>
                <w:sz w:val="22"/>
                <w:szCs w:val="22"/>
              </w:rPr>
              <w:t>Kupní cena včetně DPH:</w:t>
            </w:r>
          </w:p>
        </w:tc>
        <w:tc>
          <w:tcPr>
            <w:tcW w:w="3788" w:type="dxa"/>
          </w:tcPr>
          <w:p w14:paraId="292FDAE9" w14:textId="1D50DC6F" w:rsidR="001A71DE" w:rsidRDefault="001A71DE" w:rsidP="00D3298D">
            <w:pPr>
              <w:pStyle w:val="Zkladntext3"/>
              <w:rPr>
                <w:b/>
                <w:sz w:val="22"/>
                <w:szCs w:val="22"/>
              </w:rPr>
            </w:pPr>
            <w:r>
              <w:rPr>
                <w:b/>
                <w:sz w:val="22"/>
                <w:szCs w:val="22"/>
              </w:rPr>
              <w:t>268 378</w:t>
            </w:r>
            <w:r w:rsidRPr="005B49AA">
              <w:rPr>
                <w:b/>
                <w:sz w:val="22"/>
                <w:szCs w:val="22"/>
              </w:rPr>
              <w:t xml:space="preserve"> Kč</w:t>
            </w:r>
          </w:p>
          <w:p w14:paraId="2BEDDC0A" w14:textId="77777777" w:rsidR="001A71DE" w:rsidRPr="007678B5" w:rsidRDefault="001A71DE" w:rsidP="00D3298D">
            <w:pPr>
              <w:pStyle w:val="Zkladntext3"/>
              <w:rPr>
                <w:b/>
                <w:sz w:val="22"/>
                <w:szCs w:val="22"/>
                <w:highlight w:val="yellow"/>
              </w:rPr>
            </w:pPr>
          </w:p>
        </w:tc>
      </w:tr>
    </w:tbl>
    <w:p w14:paraId="5873373A" w14:textId="77777777" w:rsidR="00D93A73" w:rsidRPr="00102A22" w:rsidRDefault="00D93A73" w:rsidP="00D93A73">
      <w:pPr>
        <w:spacing w:after="80"/>
        <w:ind w:left="709"/>
        <w:rPr>
          <w:b/>
          <w:u w:val="single"/>
        </w:rPr>
      </w:pPr>
      <w:r>
        <w:t xml:space="preserve">  </w:t>
      </w:r>
      <w:r w:rsidRPr="00102A22">
        <w:rPr>
          <w:b/>
          <w:u w:val="single"/>
        </w:rPr>
        <w:t>Celkem za všechny položky</w:t>
      </w:r>
    </w:p>
    <w:tbl>
      <w:tblPr>
        <w:tblW w:w="0" w:type="auto"/>
        <w:tblInd w:w="709" w:type="dxa"/>
        <w:tblLook w:val="04A0" w:firstRow="1" w:lastRow="0" w:firstColumn="1" w:lastColumn="0" w:noHBand="0" w:noVBand="1"/>
      </w:tblPr>
      <w:tblGrid>
        <w:gridCol w:w="4575"/>
        <w:gridCol w:w="3788"/>
      </w:tblGrid>
      <w:tr w:rsidR="00D93A73" w:rsidRPr="005B49AA" w14:paraId="504182A0" w14:textId="77777777" w:rsidTr="008A1A87">
        <w:tc>
          <w:tcPr>
            <w:tcW w:w="4575" w:type="dxa"/>
          </w:tcPr>
          <w:p w14:paraId="571A829D" w14:textId="77777777" w:rsidR="00D93A73" w:rsidRPr="005B49AA" w:rsidRDefault="00D93A73" w:rsidP="008A1A87">
            <w:pPr>
              <w:pStyle w:val="Zkladntext3"/>
              <w:rPr>
                <w:b/>
                <w:sz w:val="22"/>
                <w:szCs w:val="22"/>
              </w:rPr>
            </w:pPr>
            <w:r w:rsidRPr="005B49AA">
              <w:rPr>
                <w:b/>
                <w:sz w:val="22"/>
                <w:szCs w:val="22"/>
              </w:rPr>
              <w:t>Kupní cena bez DPH:</w:t>
            </w:r>
          </w:p>
        </w:tc>
        <w:tc>
          <w:tcPr>
            <w:tcW w:w="3788" w:type="dxa"/>
          </w:tcPr>
          <w:p w14:paraId="2F119302" w14:textId="700CC427" w:rsidR="00D93A73" w:rsidRPr="005B49AA" w:rsidRDefault="00CD6F98" w:rsidP="008A1A87">
            <w:pPr>
              <w:pStyle w:val="Zkladntext3"/>
              <w:rPr>
                <w:b/>
                <w:sz w:val="22"/>
                <w:szCs w:val="22"/>
              </w:rPr>
            </w:pPr>
            <w:r>
              <w:rPr>
                <w:b/>
                <w:sz w:val="22"/>
                <w:szCs w:val="22"/>
              </w:rPr>
              <w:t>221 800</w:t>
            </w:r>
            <w:r w:rsidR="00D93A73" w:rsidRPr="005B49AA">
              <w:rPr>
                <w:b/>
                <w:sz w:val="22"/>
                <w:szCs w:val="22"/>
              </w:rPr>
              <w:t xml:space="preserve"> Kč</w:t>
            </w:r>
          </w:p>
        </w:tc>
      </w:tr>
      <w:tr w:rsidR="00D93A73" w:rsidRPr="005B49AA" w14:paraId="370B89E7" w14:textId="77777777" w:rsidTr="008A1A87">
        <w:tc>
          <w:tcPr>
            <w:tcW w:w="4575" w:type="dxa"/>
          </w:tcPr>
          <w:p w14:paraId="7C3D183A" w14:textId="26A9ADD1" w:rsidR="00D93A73" w:rsidRPr="005B49AA" w:rsidRDefault="00D93A73" w:rsidP="008A1A87">
            <w:pPr>
              <w:pStyle w:val="Zkladntext3"/>
              <w:rPr>
                <w:b/>
                <w:sz w:val="22"/>
                <w:szCs w:val="22"/>
              </w:rPr>
            </w:pPr>
            <w:r w:rsidRPr="005B49AA">
              <w:rPr>
                <w:b/>
                <w:sz w:val="22"/>
                <w:szCs w:val="22"/>
              </w:rPr>
              <w:t xml:space="preserve">DPH </w:t>
            </w:r>
            <w:proofErr w:type="gramStart"/>
            <w:r w:rsidR="002B0224">
              <w:rPr>
                <w:b/>
                <w:sz w:val="22"/>
                <w:szCs w:val="22"/>
              </w:rPr>
              <w:t>21</w:t>
            </w:r>
            <w:r w:rsidRPr="005B49AA">
              <w:rPr>
                <w:b/>
                <w:sz w:val="22"/>
                <w:szCs w:val="22"/>
              </w:rPr>
              <w:t>%</w:t>
            </w:r>
            <w:proofErr w:type="gramEnd"/>
            <w:r w:rsidRPr="005B49AA">
              <w:rPr>
                <w:b/>
                <w:sz w:val="22"/>
                <w:szCs w:val="22"/>
              </w:rPr>
              <w:t>:</w:t>
            </w:r>
          </w:p>
        </w:tc>
        <w:tc>
          <w:tcPr>
            <w:tcW w:w="3788" w:type="dxa"/>
          </w:tcPr>
          <w:p w14:paraId="4ED75CAF" w14:textId="58679ACE" w:rsidR="00D93A73" w:rsidRPr="005B49AA" w:rsidRDefault="00CD6F98" w:rsidP="008A1A87">
            <w:pPr>
              <w:pStyle w:val="Zkladntext3"/>
              <w:rPr>
                <w:b/>
                <w:sz w:val="22"/>
                <w:szCs w:val="22"/>
              </w:rPr>
            </w:pPr>
            <w:r>
              <w:rPr>
                <w:b/>
                <w:sz w:val="22"/>
                <w:szCs w:val="22"/>
              </w:rPr>
              <w:t>46 578</w:t>
            </w:r>
            <w:r w:rsidR="00D93A73" w:rsidRPr="005B49AA">
              <w:rPr>
                <w:b/>
                <w:sz w:val="22"/>
                <w:szCs w:val="22"/>
              </w:rPr>
              <w:t xml:space="preserve"> Kč</w:t>
            </w:r>
          </w:p>
        </w:tc>
      </w:tr>
      <w:tr w:rsidR="00D93A73" w:rsidRPr="005B49AA" w14:paraId="6330C1E5" w14:textId="77777777" w:rsidTr="008A1A87">
        <w:tc>
          <w:tcPr>
            <w:tcW w:w="4575" w:type="dxa"/>
          </w:tcPr>
          <w:p w14:paraId="50B64513" w14:textId="77777777" w:rsidR="00D93A73" w:rsidRPr="005B49AA" w:rsidRDefault="00D93A73" w:rsidP="008A1A87">
            <w:pPr>
              <w:pStyle w:val="Zkladntext3"/>
              <w:rPr>
                <w:b/>
                <w:sz w:val="22"/>
                <w:szCs w:val="22"/>
              </w:rPr>
            </w:pPr>
            <w:r w:rsidRPr="005B49AA">
              <w:rPr>
                <w:b/>
                <w:sz w:val="22"/>
                <w:szCs w:val="22"/>
              </w:rPr>
              <w:t>Kupní cena včetně DPH:</w:t>
            </w:r>
          </w:p>
        </w:tc>
        <w:tc>
          <w:tcPr>
            <w:tcW w:w="3788" w:type="dxa"/>
          </w:tcPr>
          <w:p w14:paraId="7B84C1CA" w14:textId="625FA7FB" w:rsidR="00D93A73" w:rsidRDefault="00CD6F98" w:rsidP="008A1A87">
            <w:pPr>
              <w:pStyle w:val="Zkladntext3"/>
              <w:rPr>
                <w:b/>
                <w:sz w:val="22"/>
                <w:szCs w:val="22"/>
              </w:rPr>
            </w:pPr>
            <w:r>
              <w:rPr>
                <w:b/>
                <w:sz w:val="22"/>
                <w:szCs w:val="22"/>
              </w:rPr>
              <w:t>268 378</w:t>
            </w:r>
            <w:r w:rsidR="00D93A73" w:rsidRPr="005B49AA">
              <w:rPr>
                <w:b/>
                <w:sz w:val="22"/>
                <w:szCs w:val="22"/>
              </w:rPr>
              <w:t xml:space="preserve"> Kč</w:t>
            </w:r>
          </w:p>
          <w:p w14:paraId="2F0B650F" w14:textId="77777777" w:rsidR="00D93A73" w:rsidRPr="005B49AA" w:rsidRDefault="00D93A73" w:rsidP="008A1A87">
            <w:pPr>
              <w:pStyle w:val="Zkladntext3"/>
              <w:rPr>
                <w:b/>
                <w:sz w:val="22"/>
                <w:szCs w:val="22"/>
              </w:rPr>
            </w:pP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14CDC77F"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7D1F7A">
        <w:t>3</w:t>
      </w:r>
      <w:r w:rsidRPr="00D859C2">
        <w:t xml:space="preserve">0 dnů od </w:t>
      </w:r>
      <w:r>
        <w:t xml:space="preserve">jejího </w:t>
      </w:r>
      <w:r w:rsidRPr="00D859C2">
        <w:t>vystavení.</w:t>
      </w:r>
      <w:r w:rsidR="00A32135">
        <w:t xml:space="preserve"> </w:t>
      </w:r>
      <w:r w:rsidRPr="00D859C2">
        <w:t xml:space="preserve"> </w:t>
      </w:r>
      <w:r w:rsidR="00A32135" w:rsidRPr="00A32135">
        <w:t>Nesmí být vystaveny zálohové faktury.</w:t>
      </w:r>
      <w:r w:rsidR="00A32135">
        <w:t xml:space="preserve"> </w:t>
      </w:r>
      <w:r w:rsidRPr="00D859C2">
        <w:t xml:space="preserve">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rsidR="00CC6A8F">
        <w:t>, Projekt, Číslo Projektu</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67DBD9F1" w:rsidR="00183727" w:rsidRDefault="00A32135" w:rsidP="00094B12">
      <w:pPr>
        <w:pStyle w:val="Odstavecsmlouvy"/>
      </w:pPr>
      <w:r w:rsidRPr="00A32135">
        <w:lastRenderedPageBreak/>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r>
        <w:t>.</w:t>
      </w:r>
    </w:p>
    <w:p w14:paraId="2A571E66" w14:textId="77777777" w:rsidR="00A32135" w:rsidRDefault="00A32135" w:rsidP="00944425">
      <w:pPr>
        <w:pStyle w:val="Odstavecseseznamem"/>
      </w:pPr>
    </w:p>
    <w:p w14:paraId="63EA3098" w14:textId="6068F0A2" w:rsidR="00A32135" w:rsidRDefault="00A32135" w:rsidP="00094B12">
      <w:pPr>
        <w:pStyle w:val="Odstavecsmlouvy"/>
      </w:pPr>
      <w:r w:rsidRPr="00A32135">
        <w:t>Pro účely této smlouvy se vylučuje postoupení smlouvy dle § 1895 zákona č. 89/2012 Sb., občanského zákoníku, v platném znění, tj. žádná ze smluvních stran není oprávněna postoupit svá práva a povinnosti z této smlouvy nebo její části třetí osobě</w:t>
      </w:r>
      <w:r>
        <w:t>.</w:t>
      </w:r>
    </w:p>
    <w:p w14:paraId="2F1717A8" w14:textId="77777777" w:rsidR="00A32135" w:rsidRDefault="00A32135" w:rsidP="00944425">
      <w:pPr>
        <w:pStyle w:val="Odstavecseseznamem"/>
      </w:pPr>
    </w:p>
    <w:p w14:paraId="7E20101D" w14:textId="402C32D8" w:rsidR="00A32135" w:rsidRPr="00D859C2" w:rsidRDefault="00A32135" w:rsidP="00094B12">
      <w:pPr>
        <w:pStyle w:val="Odstavecsmlouvy"/>
      </w:pPr>
      <w:r w:rsidRPr="00A32135">
        <w:t>Prodávající je oprávněn započítat své peněžité pohledávky za Kupujícím výhradně na základě písemné dohody obou smluvních stran, jinak je započtení pohledávek neplatné</w:t>
      </w:r>
      <w:r>
        <w:t>.</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lastRenderedPageBreak/>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7E0AB2C1" w14:textId="77777777" w:rsidR="00AD0348" w:rsidRPr="00D859C2" w:rsidRDefault="00AD0348" w:rsidP="00D859C2">
      <w:pPr>
        <w:spacing w:line="240" w:lineRule="auto"/>
        <w:jc w:val="center"/>
        <w:rPr>
          <w:b/>
          <w:bCs/>
        </w:rPr>
      </w:pPr>
    </w:p>
    <w:p w14:paraId="75136ABF" w14:textId="77777777" w:rsidR="00B733E1" w:rsidRPr="00D859C2" w:rsidRDefault="00B733E1" w:rsidP="00094B12">
      <w:pPr>
        <w:pStyle w:val="Nadpis1"/>
      </w:pPr>
      <w:r w:rsidRPr="00D859C2">
        <w:lastRenderedPageBreak/>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lastRenderedPageBreak/>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w:t>
      </w:r>
      <w:r>
        <w:lastRenderedPageBreak/>
        <w:t>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lastRenderedPageBreak/>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BCA4FE7" w:rsidR="00327588" w:rsidRPr="00D859C2" w:rsidRDefault="00244E95" w:rsidP="00094B12">
      <w:pPr>
        <w:pStyle w:val="Odstavecsmlouvy"/>
        <w:rPr>
          <w:snapToGrid w:val="0"/>
        </w:rPr>
      </w:pPr>
      <w:r>
        <w:rPr>
          <w:snapToGrid w:val="0"/>
        </w:rPr>
        <w:t>Tato smlouva je sepsána ve dvou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652F3FF9" w14:textId="77777777" w:rsidR="002D0A1B" w:rsidRDefault="002D0A1B" w:rsidP="0096600E">
      <w:pPr>
        <w:pStyle w:val="Odstavecsmlouvy"/>
        <w:numPr>
          <w:ilvl w:val="0"/>
          <w:numId w:val="0"/>
        </w:numPr>
        <w:ind w:left="567"/>
      </w:pPr>
    </w:p>
    <w:p w14:paraId="45FD4DB1" w14:textId="77777777" w:rsidR="002D0A1B" w:rsidRDefault="002D0A1B" w:rsidP="0096600E">
      <w:pPr>
        <w:pStyle w:val="Odstavecsmlouvy"/>
        <w:numPr>
          <w:ilvl w:val="0"/>
          <w:numId w:val="0"/>
        </w:numPr>
        <w:ind w:left="567"/>
      </w:pPr>
    </w:p>
    <w:p w14:paraId="38E1D12F" w14:textId="77777777" w:rsidR="002D0A1B" w:rsidRDefault="002D0A1B" w:rsidP="0096600E">
      <w:pPr>
        <w:pStyle w:val="Odstavecsmlouvy"/>
        <w:numPr>
          <w:ilvl w:val="0"/>
          <w:numId w:val="0"/>
        </w:numPr>
        <w:ind w:left="567"/>
      </w:pPr>
    </w:p>
    <w:p w14:paraId="31FBF0CA" w14:textId="77777777" w:rsidR="002D0A1B" w:rsidRDefault="002D0A1B" w:rsidP="0096600E">
      <w:pPr>
        <w:pStyle w:val="Odstavecsmlouvy"/>
        <w:numPr>
          <w:ilvl w:val="0"/>
          <w:numId w:val="0"/>
        </w:numPr>
        <w:ind w:left="567"/>
      </w:pPr>
    </w:p>
    <w:p w14:paraId="2C67F144" w14:textId="77777777" w:rsidR="002D0A1B" w:rsidRDefault="002D0A1B"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tcPr>
          <w:p w14:paraId="69B3B101" w14:textId="3A6A3EE6"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2D0A1B">
              <w:rPr>
                <w:sz w:val="22"/>
                <w:szCs w:val="22"/>
              </w:rPr>
              <w:t>Praze</w:t>
            </w:r>
            <w:r w:rsidRPr="001150C5">
              <w:rPr>
                <w:sz w:val="22"/>
                <w:szCs w:val="22"/>
              </w:rPr>
              <w:t xml:space="preserve"> dne</w:t>
            </w:r>
            <w:r w:rsidR="002D0A1B">
              <w:rPr>
                <w:sz w:val="22"/>
                <w:szCs w:val="22"/>
              </w:rPr>
              <w:t xml:space="preserve"> </w:t>
            </w:r>
            <w:r w:rsidR="003F35F5">
              <w:rPr>
                <w:sz w:val="22"/>
                <w:szCs w:val="22"/>
              </w:rPr>
              <w:t>5. 11. 2025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32E1C322"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3F35F5">
              <w:rPr>
                <w:sz w:val="22"/>
                <w:szCs w:val="22"/>
              </w:rPr>
              <w:t xml:space="preserve"> 7. 11. 2025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644C39DC" w14:textId="77777777" w:rsidR="002D0A1B" w:rsidRDefault="002D0A1B" w:rsidP="002D0A1B">
            <w:pPr>
              <w:pStyle w:val="slovn"/>
              <w:numPr>
                <w:ilvl w:val="0"/>
                <w:numId w:val="0"/>
              </w:numPr>
              <w:tabs>
                <w:tab w:val="num" w:pos="567"/>
              </w:tabs>
              <w:spacing w:after="0" w:line="280" w:lineRule="atLeast"/>
              <w:jc w:val="center"/>
              <w:rPr>
                <w:b/>
                <w:sz w:val="22"/>
                <w:szCs w:val="22"/>
              </w:rPr>
            </w:pPr>
            <w:r w:rsidRPr="004E725A">
              <w:rPr>
                <w:b/>
                <w:sz w:val="22"/>
                <w:szCs w:val="22"/>
              </w:rPr>
              <w:t>MADISSON, s.r.o.</w:t>
            </w:r>
          </w:p>
          <w:p w14:paraId="17D23793" w14:textId="5B549F90" w:rsidR="00094B12" w:rsidRPr="00D722DC" w:rsidRDefault="002D0A1B" w:rsidP="002D0A1B">
            <w:pPr>
              <w:pStyle w:val="slovn"/>
              <w:numPr>
                <w:ilvl w:val="0"/>
                <w:numId w:val="0"/>
              </w:numPr>
              <w:tabs>
                <w:tab w:val="num" w:pos="567"/>
              </w:tabs>
              <w:spacing w:after="0" w:line="280" w:lineRule="atLeast"/>
              <w:jc w:val="center"/>
              <w:rPr>
                <w:sz w:val="22"/>
                <w:szCs w:val="22"/>
              </w:rPr>
            </w:pPr>
            <w:r w:rsidRPr="004E725A">
              <w:rPr>
                <w:bCs/>
                <w:sz w:val="22"/>
                <w:szCs w:val="22"/>
              </w:rPr>
              <w:t>Mgr. Robert Vojtíšek, MBA,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08E63008" w14:textId="3D4F8116" w:rsidR="00FD1F58" w:rsidRDefault="00094B12" w:rsidP="00FD1F58">
      <w:pPr>
        <w:jc w:val="center"/>
        <w:rPr>
          <w:b/>
        </w:rPr>
      </w:pPr>
      <w:r w:rsidRPr="000729CF">
        <w:rPr>
          <w:b/>
        </w:rPr>
        <w:lastRenderedPageBreak/>
        <w:t>PŘÍLOHA Č. 1</w:t>
      </w:r>
      <w:r w:rsidR="00FD1F58" w:rsidRPr="00FD1F58">
        <w:rPr>
          <w:b/>
        </w:rPr>
        <w:t xml:space="preserve"> </w:t>
      </w:r>
      <w:r w:rsidR="00FD1F58" w:rsidRPr="000729CF">
        <w:rPr>
          <w:b/>
        </w:rPr>
        <w:t xml:space="preserve">Detailní specifikace </w:t>
      </w:r>
      <w:r w:rsidR="00FD1F58">
        <w:rPr>
          <w:b/>
        </w:rPr>
        <w:t>Zboží</w:t>
      </w:r>
    </w:p>
    <w:p w14:paraId="5869C330" w14:textId="01CD5556" w:rsidR="00094B12" w:rsidRPr="000729CF" w:rsidRDefault="00094B12" w:rsidP="00094B12">
      <w:pPr>
        <w:jc w:val="center"/>
        <w:rPr>
          <w:b/>
        </w:rPr>
      </w:pPr>
    </w:p>
    <w:p w14:paraId="6C71EEB6" w14:textId="77777777" w:rsidR="00094B12" w:rsidRPr="000729CF" w:rsidRDefault="00094B12" w:rsidP="00094B12">
      <w:pPr>
        <w:jc w:val="center"/>
        <w:rPr>
          <w:b/>
        </w:rPr>
      </w:pPr>
    </w:p>
    <w:p w14:paraId="46EF4B78" w14:textId="77777777" w:rsidR="00094B12" w:rsidRDefault="00094B12" w:rsidP="00094B12"/>
    <w:p w14:paraId="3F806710" w14:textId="77777777" w:rsidR="00A05D45" w:rsidRDefault="00A05D45" w:rsidP="00094B12">
      <w:pPr>
        <w:ind w:left="284" w:hanging="5"/>
      </w:pPr>
    </w:p>
    <w:p w14:paraId="48B54BB0" w14:textId="77777777" w:rsidR="00FD1F58" w:rsidRDefault="00FD1F58" w:rsidP="00094B12">
      <w:pPr>
        <w:ind w:left="284" w:hanging="5"/>
      </w:pPr>
    </w:p>
    <w:tbl>
      <w:tblPr>
        <w:tblpPr w:leftFromText="141" w:rightFromText="141" w:horzAnchor="margin" w:tblpY="449"/>
        <w:tblW w:w="990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3472"/>
        <w:gridCol w:w="3798"/>
        <w:gridCol w:w="2638"/>
      </w:tblGrid>
      <w:tr w:rsidR="00FD1F58" w:rsidRPr="003C40F2" w14:paraId="72AEB3A8" w14:textId="77777777" w:rsidTr="00D3298D">
        <w:trPr>
          <w:trHeight w:val="425"/>
        </w:trPr>
        <w:tc>
          <w:tcPr>
            <w:tcW w:w="9908" w:type="dxa"/>
            <w:gridSpan w:val="3"/>
            <w:tcBorders>
              <w:bottom w:val="single" w:sz="8" w:space="0" w:color="A6A6A6"/>
            </w:tcBorders>
            <w:shd w:val="clear" w:color="auto" w:fill="2E74B5"/>
            <w:vAlign w:val="center"/>
          </w:tcPr>
          <w:p w14:paraId="6A0E0A00" w14:textId="77777777" w:rsidR="00FD1F58" w:rsidRDefault="00FD1F58" w:rsidP="00D3298D">
            <w:pPr>
              <w:pStyle w:val="Normln0"/>
              <w:spacing w:line="240" w:lineRule="auto"/>
              <w:rPr>
                <w:rFonts w:ascii="Arial" w:hAnsi="Arial" w:cs="Arial"/>
                <w:b/>
                <w:bCs/>
                <w:color w:val="FFFFFF"/>
                <w:sz w:val="20"/>
              </w:rPr>
            </w:pPr>
            <w:proofErr w:type="spellStart"/>
            <w:r w:rsidRPr="00F0146A">
              <w:rPr>
                <w:rFonts w:ascii="Arial" w:hAnsi="Arial" w:cs="Arial"/>
                <w:b/>
                <w:bCs/>
                <w:color w:val="FFFFFF"/>
              </w:rPr>
              <w:t>Intelect</w:t>
            </w:r>
            <w:proofErr w:type="spellEnd"/>
            <w:r w:rsidRPr="00F0146A">
              <w:rPr>
                <w:rFonts w:ascii="Arial" w:hAnsi="Arial" w:cs="Arial"/>
                <w:b/>
                <w:bCs/>
                <w:color w:val="FFFFFF"/>
              </w:rPr>
              <w:t xml:space="preserve"> </w:t>
            </w:r>
            <w:r>
              <w:rPr>
                <w:rFonts w:ascii="Arial" w:hAnsi="Arial" w:cs="Arial"/>
                <w:b/>
                <w:bCs/>
                <w:color w:val="FFFFFF"/>
              </w:rPr>
              <w:t>NEO</w:t>
            </w:r>
            <w:r w:rsidRPr="003C40F2">
              <w:rPr>
                <w:rFonts w:ascii="Arial" w:hAnsi="Arial" w:cs="Arial"/>
                <w:b/>
                <w:bCs/>
                <w:color w:val="FFFFFF"/>
                <w:sz w:val="20"/>
              </w:rPr>
              <w:t xml:space="preserve"> </w:t>
            </w:r>
            <w:proofErr w:type="spellStart"/>
            <w:r>
              <w:rPr>
                <w:rFonts w:ascii="Arial" w:hAnsi="Arial" w:cs="Arial"/>
                <w:b/>
                <w:bCs/>
                <w:color w:val="FFFFFF"/>
                <w:sz w:val="20"/>
              </w:rPr>
              <w:t>Clinical</w:t>
            </w:r>
            <w:proofErr w:type="spellEnd"/>
            <w:r>
              <w:rPr>
                <w:rFonts w:ascii="Arial" w:hAnsi="Arial" w:cs="Arial"/>
                <w:b/>
                <w:bCs/>
                <w:color w:val="FFFFFF"/>
                <w:sz w:val="20"/>
              </w:rPr>
              <w:t xml:space="preserve"> </w:t>
            </w:r>
            <w:proofErr w:type="spellStart"/>
            <w:r>
              <w:rPr>
                <w:rFonts w:ascii="Arial" w:hAnsi="Arial" w:cs="Arial"/>
                <w:b/>
                <w:bCs/>
                <w:color w:val="FFFFFF"/>
                <w:sz w:val="20"/>
              </w:rPr>
              <w:t>Therapy</w:t>
            </w:r>
            <w:proofErr w:type="spellEnd"/>
            <w:r>
              <w:rPr>
                <w:rFonts w:ascii="Arial" w:hAnsi="Arial" w:cs="Arial"/>
                <w:b/>
                <w:bCs/>
                <w:color w:val="FFFFFF"/>
                <w:sz w:val="20"/>
              </w:rPr>
              <w:t xml:space="preserve"> </w:t>
            </w:r>
            <w:proofErr w:type="spellStart"/>
            <w:r>
              <w:rPr>
                <w:rFonts w:ascii="Arial" w:hAnsi="Arial" w:cs="Arial"/>
                <w:b/>
                <w:bCs/>
                <w:color w:val="FFFFFF"/>
                <w:sz w:val="20"/>
              </w:rPr>
              <w:t>System</w:t>
            </w:r>
            <w:proofErr w:type="spellEnd"/>
          </w:p>
          <w:p w14:paraId="37A29158" w14:textId="77777777" w:rsidR="00FD1F58" w:rsidRPr="003C40F2" w:rsidRDefault="00FD1F58" w:rsidP="00D3298D">
            <w:pPr>
              <w:pStyle w:val="Normln0"/>
              <w:spacing w:line="240" w:lineRule="auto"/>
              <w:rPr>
                <w:rFonts w:ascii="Arial" w:hAnsi="Arial" w:cs="Arial"/>
                <w:b/>
                <w:color w:val="FFFFFF"/>
                <w:sz w:val="16"/>
                <w:szCs w:val="16"/>
              </w:rPr>
            </w:pPr>
            <w:r>
              <w:rPr>
                <w:rFonts w:ascii="Arial" w:hAnsi="Arial" w:cs="Arial"/>
                <w:b/>
                <w:color w:val="FFFFFF"/>
                <w:sz w:val="20"/>
                <w:szCs w:val="20"/>
              </w:rPr>
              <w:t>modulární</w:t>
            </w:r>
            <w:r w:rsidRPr="00613528">
              <w:rPr>
                <w:rFonts w:ascii="Arial" w:hAnsi="Arial" w:cs="Arial"/>
                <w:b/>
                <w:color w:val="FFFFFF"/>
                <w:sz w:val="20"/>
                <w:szCs w:val="20"/>
              </w:rPr>
              <w:t xml:space="preserve"> kombinovaný přístroj pro fyzikální terapii</w:t>
            </w:r>
          </w:p>
        </w:tc>
      </w:tr>
      <w:tr w:rsidR="00FD1F58" w:rsidRPr="00D66F6A" w14:paraId="24A37760" w14:textId="77777777" w:rsidTr="00D3298D">
        <w:trPr>
          <w:trHeight w:val="5852"/>
        </w:trPr>
        <w:tc>
          <w:tcPr>
            <w:tcW w:w="3472" w:type="dxa"/>
            <w:tcBorders>
              <w:top w:val="single" w:sz="8" w:space="0" w:color="A6A6A6"/>
              <w:left w:val="single" w:sz="8" w:space="0" w:color="A6A6A6"/>
              <w:bottom w:val="single" w:sz="8" w:space="0" w:color="A6A6A6"/>
              <w:right w:val="single" w:sz="8" w:space="0" w:color="A6A6A6"/>
            </w:tcBorders>
          </w:tcPr>
          <w:p w14:paraId="332F3A4E" w14:textId="77777777" w:rsidR="00FD1F58" w:rsidRPr="00273C1B" w:rsidRDefault="00FD1F58" w:rsidP="00D3298D">
            <w:pPr>
              <w:spacing w:after="40"/>
            </w:pPr>
            <w:r>
              <w:rPr>
                <w:noProof/>
              </w:rPr>
              <w:drawing>
                <wp:anchor distT="0" distB="0" distL="114300" distR="114300" simplePos="0" relativeHeight="251659264" behindDoc="0" locked="0" layoutInCell="1" allowOverlap="1" wp14:anchorId="09DF9CC3" wp14:editId="628DAB0C">
                  <wp:simplePos x="0" y="0"/>
                  <wp:positionH relativeFrom="column">
                    <wp:posOffset>473710</wp:posOffset>
                  </wp:positionH>
                  <wp:positionV relativeFrom="paragraph">
                    <wp:posOffset>2564130</wp:posOffset>
                  </wp:positionV>
                  <wp:extent cx="1219923" cy="2606040"/>
                  <wp:effectExtent l="0" t="0" r="0" b="3810"/>
                  <wp:wrapNone/>
                  <wp:docPr id="13" name="Obrázek 13" descr="Vectra_Neo_US_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ctra_Neo_US_909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86" r="16508" b="13851"/>
                          <a:stretch/>
                        </pic:blipFill>
                        <pic:spPr bwMode="auto">
                          <a:xfrm>
                            <a:off x="0" y="0"/>
                            <a:ext cx="1219923" cy="2606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FE7CCC3" wp14:editId="1F256E18">
                  <wp:simplePos x="0" y="0"/>
                  <wp:positionH relativeFrom="column">
                    <wp:posOffset>29845</wp:posOffset>
                  </wp:positionH>
                  <wp:positionV relativeFrom="paragraph">
                    <wp:posOffset>72390</wp:posOffset>
                  </wp:positionV>
                  <wp:extent cx="2029460" cy="2371725"/>
                  <wp:effectExtent l="0" t="0" r="8890" b="9525"/>
                  <wp:wrapNone/>
                  <wp:docPr id="4" name="Obrázek 4" descr="Obsah obrázku Elektronické zařízení, elektronika, přístroj, multimédi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lektronické zařízení, elektronika, přístroj, multimédia&#10;&#10;Obsah generovaný pomocí AI může být nesprávný."/>
                          <pic:cNvPicPr/>
                        </pic:nvPicPr>
                        <pic:blipFill rotWithShape="1">
                          <a:blip r:embed="rId14" cstate="print">
                            <a:extLst>
                              <a:ext uri="{28A0092B-C50C-407E-A947-70E740481C1C}">
                                <a14:useLocalDpi xmlns:a14="http://schemas.microsoft.com/office/drawing/2010/main" val="0"/>
                              </a:ext>
                            </a:extLst>
                          </a:blip>
                          <a:srcRect l="9340" r="9076"/>
                          <a:stretch/>
                        </pic:blipFill>
                        <pic:spPr bwMode="auto">
                          <a:xfrm>
                            <a:off x="0" y="0"/>
                            <a:ext cx="2029460" cy="2371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tc>
        <w:tc>
          <w:tcPr>
            <w:tcW w:w="6436" w:type="dxa"/>
            <w:gridSpan w:val="2"/>
            <w:tcBorders>
              <w:top w:val="single" w:sz="8" w:space="0" w:color="A6A6A6"/>
              <w:left w:val="single" w:sz="8" w:space="0" w:color="A6A6A6"/>
              <w:bottom w:val="single" w:sz="8" w:space="0" w:color="A6A6A6"/>
              <w:right w:val="single" w:sz="8" w:space="0" w:color="A6A6A6"/>
            </w:tcBorders>
            <w:vAlign w:val="center"/>
          </w:tcPr>
          <w:p w14:paraId="35DC88FF" w14:textId="77777777" w:rsidR="00FD1F58" w:rsidRDefault="00FD1F58" w:rsidP="00D3298D">
            <w:pPr>
              <w:pStyle w:val="Normln0"/>
              <w:spacing w:after="120" w:line="240" w:lineRule="auto"/>
              <w:ind w:left="527"/>
              <w:rPr>
                <w:rFonts w:ascii="Arial" w:hAnsi="Arial" w:cs="Arial"/>
                <w:b/>
                <w:sz w:val="16"/>
                <w:szCs w:val="16"/>
              </w:rPr>
            </w:pPr>
          </w:p>
          <w:p w14:paraId="68805D20" w14:textId="77777777" w:rsidR="00FD1F58" w:rsidRPr="0061352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Pr>
                <w:rFonts w:ascii="Arial" w:hAnsi="Arial"/>
                <w:sz w:val="16"/>
                <w:szCs w:val="16"/>
              </w:rPr>
              <w:t xml:space="preserve">barevný </w:t>
            </w:r>
            <w:r w:rsidRPr="00613528">
              <w:rPr>
                <w:rFonts w:ascii="Arial" w:hAnsi="Arial"/>
                <w:sz w:val="16"/>
                <w:szCs w:val="16"/>
              </w:rPr>
              <w:t>10,4“</w:t>
            </w:r>
            <w:r>
              <w:rPr>
                <w:rFonts w:ascii="Arial" w:hAnsi="Arial"/>
                <w:sz w:val="16"/>
                <w:szCs w:val="16"/>
              </w:rPr>
              <w:t xml:space="preserve"> dotykový</w:t>
            </w:r>
            <w:r w:rsidRPr="00613528">
              <w:rPr>
                <w:rFonts w:ascii="Arial" w:hAnsi="Arial"/>
                <w:sz w:val="16"/>
                <w:szCs w:val="16"/>
              </w:rPr>
              <w:t xml:space="preserve"> LCD displej </w:t>
            </w:r>
          </w:p>
          <w:p w14:paraId="1F818133" w14:textId="77777777" w:rsidR="00FD1F58" w:rsidRPr="00483866" w:rsidRDefault="00FD1F58" w:rsidP="00FD1F58">
            <w:pPr>
              <w:pStyle w:val="Odstavecseseznamem"/>
              <w:numPr>
                <w:ilvl w:val="0"/>
                <w:numId w:val="18"/>
              </w:numPr>
              <w:spacing w:after="0" w:line="240" w:lineRule="auto"/>
              <w:ind w:left="639" w:hanging="283"/>
              <w:contextualSpacing w:val="0"/>
              <w:jc w:val="left"/>
              <w:rPr>
                <w:rFonts w:ascii="Arial" w:hAnsi="Arial"/>
                <w:b/>
                <w:bCs/>
                <w:sz w:val="16"/>
                <w:szCs w:val="16"/>
              </w:rPr>
            </w:pPr>
            <w:r w:rsidRPr="00483866">
              <w:rPr>
                <w:rFonts w:ascii="Arial" w:hAnsi="Arial"/>
                <w:b/>
                <w:bCs/>
                <w:sz w:val="16"/>
                <w:szCs w:val="16"/>
              </w:rPr>
              <w:t xml:space="preserve">otočná a naklápěcí hlava přístroje </w:t>
            </w:r>
          </w:p>
          <w:p w14:paraId="46463C92" w14:textId="77777777" w:rsidR="00FD1F58" w:rsidRPr="00500DB1"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74338A">
              <w:rPr>
                <w:rFonts w:ascii="Arial" w:hAnsi="Arial"/>
                <w:sz w:val="16"/>
                <w:szCs w:val="16"/>
              </w:rPr>
              <w:t>možnost přenesení dat a terapií na USB</w:t>
            </w:r>
          </w:p>
          <w:p w14:paraId="0F8E8BFA"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613528">
              <w:rPr>
                <w:rFonts w:ascii="Arial" w:hAnsi="Arial"/>
                <w:sz w:val="16"/>
                <w:szCs w:val="16"/>
              </w:rPr>
              <w:t>sestavení přístroje dle jednotlivých modulů dle potřeb zákazníka</w:t>
            </w:r>
          </w:p>
          <w:p w14:paraId="6A9CAE9D"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b/>
                <w:bCs/>
                <w:sz w:val="16"/>
                <w:szCs w:val="16"/>
              </w:rPr>
            </w:pPr>
            <w:r w:rsidRPr="009172AA">
              <w:rPr>
                <w:rFonts w:ascii="Arial" w:hAnsi="Arial"/>
                <w:b/>
                <w:bCs/>
                <w:sz w:val="16"/>
                <w:szCs w:val="16"/>
              </w:rPr>
              <w:t>možnost použití zpětnovazebního EMG modulu s následnou stimulací</w:t>
            </w:r>
          </w:p>
          <w:p w14:paraId="17E3B11A"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9D6CB7">
              <w:rPr>
                <w:rFonts w:ascii="Arial" w:hAnsi="Arial"/>
                <w:sz w:val="16"/>
                <w:szCs w:val="16"/>
              </w:rPr>
              <w:t>základní výbava</w:t>
            </w:r>
          </w:p>
          <w:p w14:paraId="150DF3C9" w14:textId="77777777" w:rsidR="00FD1F58" w:rsidRDefault="00FD1F58" w:rsidP="00FD1F58">
            <w:pPr>
              <w:pStyle w:val="Normln0"/>
              <w:numPr>
                <w:ilvl w:val="1"/>
                <w:numId w:val="16"/>
              </w:numPr>
              <w:spacing w:after="40" w:line="240" w:lineRule="auto"/>
              <w:ind w:left="639" w:hanging="283"/>
              <w:rPr>
                <w:rFonts w:ascii="Arial" w:hAnsi="Arial" w:cs="Arial"/>
                <w:sz w:val="16"/>
                <w:szCs w:val="16"/>
              </w:rPr>
            </w:pPr>
            <w:r w:rsidRPr="000270C4">
              <w:rPr>
                <w:rFonts w:ascii="Arial" w:hAnsi="Arial" w:cs="Arial"/>
                <w:sz w:val="16"/>
                <w:szCs w:val="16"/>
              </w:rPr>
              <w:t>podrobný praktický průvodce</w:t>
            </w:r>
            <w:r>
              <w:rPr>
                <w:rFonts w:ascii="Arial" w:hAnsi="Arial" w:cs="Arial"/>
                <w:sz w:val="16"/>
                <w:szCs w:val="16"/>
              </w:rPr>
              <w:t xml:space="preserve"> s nápovědou, uvedený přístroj nese označení CE</w:t>
            </w:r>
          </w:p>
          <w:p w14:paraId="534E287B" w14:textId="77777777" w:rsidR="00FD1F58" w:rsidRDefault="00FD1F58" w:rsidP="00FD1F58">
            <w:pPr>
              <w:pStyle w:val="Normln0"/>
              <w:numPr>
                <w:ilvl w:val="1"/>
                <w:numId w:val="16"/>
              </w:numPr>
              <w:spacing w:after="40" w:line="240" w:lineRule="auto"/>
              <w:ind w:left="639" w:hanging="283"/>
              <w:rPr>
                <w:rFonts w:ascii="Arial" w:hAnsi="Arial" w:cs="Arial"/>
                <w:sz w:val="16"/>
                <w:szCs w:val="16"/>
              </w:rPr>
            </w:pPr>
            <w:r>
              <w:rPr>
                <w:rFonts w:ascii="Arial" w:hAnsi="Arial" w:cs="Arial"/>
                <w:sz w:val="16"/>
                <w:szCs w:val="16"/>
              </w:rPr>
              <w:t>bezplatná instruktáž</w:t>
            </w:r>
          </w:p>
          <w:p w14:paraId="7873D4F1" w14:textId="77777777" w:rsidR="00FD1F58" w:rsidRPr="000270C4" w:rsidRDefault="00FD1F58" w:rsidP="00FD1F58">
            <w:pPr>
              <w:pStyle w:val="Normln0"/>
              <w:numPr>
                <w:ilvl w:val="1"/>
                <w:numId w:val="16"/>
              </w:numPr>
              <w:spacing w:after="40" w:line="240" w:lineRule="auto"/>
              <w:ind w:left="639" w:hanging="283"/>
              <w:rPr>
                <w:rFonts w:ascii="Arial" w:hAnsi="Arial" w:cs="Arial"/>
                <w:sz w:val="16"/>
                <w:szCs w:val="16"/>
              </w:rPr>
            </w:pPr>
            <w:r>
              <w:rPr>
                <w:rFonts w:ascii="Arial" w:hAnsi="Arial" w:cs="Arial"/>
                <w:sz w:val="16"/>
                <w:szCs w:val="16"/>
              </w:rPr>
              <w:t>manuál v CZ a prohlášení o shodě</w:t>
            </w:r>
          </w:p>
          <w:p w14:paraId="0EBD0EBA" w14:textId="77777777" w:rsidR="00FD1F58" w:rsidRPr="009D6CB7" w:rsidRDefault="00FD1F58" w:rsidP="00D3298D">
            <w:pPr>
              <w:pStyle w:val="Odstavecseseznamem"/>
              <w:spacing w:after="0" w:line="240" w:lineRule="auto"/>
              <w:ind w:left="639"/>
              <w:contextualSpacing w:val="0"/>
              <w:rPr>
                <w:rFonts w:ascii="Arial" w:hAnsi="Arial"/>
                <w:sz w:val="16"/>
                <w:szCs w:val="16"/>
              </w:rPr>
            </w:pPr>
          </w:p>
          <w:p w14:paraId="05EA9BB6" w14:textId="77777777" w:rsidR="00FD1F58" w:rsidRPr="00F0146A" w:rsidRDefault="00FD1F58" w:rsidP="00D3298D">
            <w:pPr>
              <w:pStyle w:val="Odstavecseseznamem"/>
              <w:spacing w:before="80" w:after="0" w:line="240" w:lineRule="auto"/>
              <w:ind w:left="0"/>
              <w:contextualSpacing w:val="0"/>
              <w:rPr>
                <w:rFonts w:ascii="Arial" w:hAnsi="Arial"/>
                <w:sz w:val="16"/>
                <w:szCs w:val="16"/>
              </w:rPr>
            </w:pPr>
          </w:p>
          <w:p w14:paraId="14645A0E" w14:textId="77777777" w:rsidR="00FD1F58" w:rsidRDefault="00FD1F58" w:rsidP="00FD1F58">
            <w:pPr>
              <w:pStyle w:val="Normln0"/>
              <w:numPr>
                <w:ilvl w:val="0"/>
                <w:numId w:val="16"/>
              </w:numPr>
              <w:spacing w:after="120" w:line="240" w:lineRule="auto"/>
              <w:ind w:left="639" w:hanging="469"/>
              <w:rPr>
                <w:rFonts w:ascii="Arial" w:hAnsi="Arial" w:cs="Arial"/>
                <w:b/>
                <w:sz w:val="16"/>
                <w:szCs w:val="16"/>
              </w:rPr>
            </w:pPr>
            <w:r>
              <w:rPr>
                <w:rFonts w:ascii="Arial" w:hAnsi="Arial" w:cs="Arial"/>
                <w:b/>
                <w:sz w:val="16"/>
                <w:szCs w:val="16"/>
              </w:rPr>
              <w:t>moduly</w:t>
            </w:r>
          </w:p>
          <w:p w14:paraId="61A824BE" w14:textId="77777777" w:rsidR="00FD1F58" w:rsidRPr="004869FB"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Pr>
                <w:rFonts w:ascii="Arial" w:hAnsi="Arial"/>
                <w:sz w:val="16"/>
                <w:szCs w:val="16"/>
              </w:rPr>
              <w:t xml:space="preserve">1. a 2. kanál + </w:t>
            </w:r>
            <w:r w:rsidRPr="00613528">
              <w:rPr>
                <w:rFonts w:ascii="Arial" w:hAnsi="Arial"/>
                <w:sz w:val="16"/>
                <w:szCs w:val="16"/>
              </w:rPr>
              <w:t>EMG modul</w:t>
            </w:r>
            <w:r>
              <w:rPr>
                <w:rFonts w:ascii="Arial" w:hAnsi="Arial"/>
                <w:sz w:val="16"/>
                <w:szCs w:val="16"/>
              </w:rPr>
              <w:t xml:space="preserve"> se stimulací</w:t>
            </w:r>
            <w:r>
              <w:rPr>
                <w:noProof/>
              </w:rPr>
              <w:t xml:space="preserve"> </w:t>
            </w:r>
          </w:p>
          <w:p w14:paraId="0A9665D1"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613528">
              <w:rPr>
                <w:rFonts w:ascii="Arial" w:hAnsi="Arial"/>
                <w:sz w:val="16"/>
                <w:szCs w:val="16"/>
              </w:rPr>
              <w:t>vakuová jednotka</w:t>
            </w:r>
            <w:r>
              <w:rPr>
                <w:rFonts w:ascii="Arial" w:hAnsi="Arial"/>
                <w:sz w:val="16"/>
                <w:szCs w:val="16"/>
              </w:rPr>
              <w:t xml:space="preserve"> (4 -kanálová)</w:t>
            </w:r>
          </w:p>
          <w:p w14:paraId="46CCBFC4" w14:textId="77777777" w:rsidR="00FD1F58" w:rsidRDefault="00FD1F58" w:rsidP="00D3298D">
            <w:pPr>
              <w:pStyle w:val="Odstavecseseznamem"/>
              <w:spacing w:before="80" w:after="0" w:line="240" w:lineRule="auto"/>
              <w:ind w:left="0"/>
              <w:contextualSpacing w:val="0"/>
              <w:rPr>
                <w:rFonts w:ascii="Arial" w:hAnsi="Arial"/>
                <w:sz w:val="16"/>
                <w:szCs w:val="16"/>
              </w:rPr>
            </w:pPr>
          </w:p>
          <w:p w14:paraId="37E5AEED" w14:textId="77777777" w:rsidR="00FD1F58" w:rsidRPr="00613528" w:rsidRDefault="00FD1F58" w:rsidP="00D3298D">
            <w:pPr>
              <w:pStyle w:val="Odstavecseseznamem"/>
              <w:spacing w:before="80" w:after="0" w:line="240" w:lineRule="auto"/>
              <w:ind w:left="0"/>
              <w:contextualSpacing w:val="0"/>
              <w:rPr>
                <w:rFonts w:ascii="Arial" w:hAnsi="Arial"/>
                <w:sz w:val="16"/>
                <w:szCs w:val="16"/>
              </w:rPr>
            </w:pPr>
          </w:p>
          <w:p w14:paraId="01748315" w14:textId="77777777" w:rsidR="00FD1F58" w:rsidRPr="00613528" w:rsidRDefault="00FD1F58" w:rsidP="00FD1F58">
            <w:pPr>
              <w:pStyle w:val="Normln0"/>
              <w:numPr>
                <w:ilvl w:val="0"/>
                <w:numId w:val="16"/>
              </w:numPr>
              <w:spacing w:after="120" w:line="240" w:lineRule="auto"/>
              <w:ind w:left="639" w:hanging="469"/>
              <w:rPr>
                <w:rFonts w:ascii="Arial" w:hAnsi="Arial" w:cs="Arial"/>
                <w:b/>
                <w:sz w:val="16"/>
                <w:szCs w:val="16"/>
              </w:rPr>
            </w:pPr>
            <w:r w:rsidRPr="00921798">
              <w:rPr>
                <w:rFonts w:ascii="Arial" w:hAnsi="Arial" w:cs="Arial"/>
                <w:b/>
                <w:sz w:val="16"/>
                <w:szCs w:val="16"/>
              </w:rPr>
              <w:t>elektroterapie</w:t>
            </w:r>
          </w:p>
          <w:p w14:paraId="6DD56CF5" w14:textId="77777777" w:rsidR="00FD1F58" w:rsidRPr="0092179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4869FB">
              <w:rPr>
                <w:rFonts w:ascii="Arial" w:hAnsi="Arial"/>
                <w:b/>
                <w:bCs/>
                <w:sz w:val="16"/>
                <w:szCs w:val="16"/>
              </w:rPr>
              <w:t>široká nabídka elektroléčebných proudů</w:t>
            </w:r>
            <w:r w:rsidRPr="00921798">
              <w:rPr>
                <w:rFonts w:ascii="Arial" w:hAnsi="Arial"/>
                <w:sz w:val="16"/>
                <w:szCs w:val="16"/>
              </w:rPr>
              <w:t xml:space="preserve"> – více než 25 druhů: </w:t>
            </w:r>
            <w:proofErr w:type="gramStart"/>
            <w:r>
              <w:rPr>
                <w:rFonts w:ascii="Arial" w:hAnsi="Arial"/>
                <w:sz w:val="16"/>
                <w:szCs w:val="16"/>
              </w:rPr>
              <w:t>2</w:t>
            </w:r>
            <w:r w:rsidRPr="00921798">
              <w:rPr>
                <w:rFonts w:ascii="Arial" w:hAnsi="Arial"/>
                <w:sz w:val="16"/>
                <w:szCs w:val="16"/>
              </w:rPr>
              <w:t>- a</w:t>
            </w:r>
            <w:proofErr w:type="gramEnd"/>
            <w:r w:rsidRPr="00921798">
              <w:rPr>
                <w:rFonts w:ascii="Arial" w:hAnsi="Arial"/>
                <w:sz w:val="16"/>
                <w:szCs w:val="16"/>
              </w:rPr>
              <w:t> </w:t>
            </w:r>
            <w:proofErr w:type="gramStart"/>
            <w:r>
              <w:rPr>
                <w:rFonts w:ascii="Arial" w:hAnsi="Arial"/>
                <w:sz w:val="16"/>
                <w:szCs w:val="16"/>
              </w:rPr>
              <w:t>4-</w:t>
            </w:r>
            <w:r w:rsidRPr="00921798">
              <w:rPr>
                <w:rFonts w:ascii="Arial" w:hAnsi="Arial"/>
                <w:sz w:val="16"/>
                <w:szCs w:val="16"/>
              </w:rPr>
              <w:t>pólová</w:t>
            </w:r>
            <w:proofErr w:type="gramEnd"/>
            <w:r w:rsidRPr="00921798">
              <w:rPr>
                <w:rFonts w:ascii="Arial" w:hAnsi="Arial"/>
                <w:sz w:val="16"/>
                <w:szCs w:val="16"/>
              </w:rPr>
              <w:t xml:space="preserve"> interference,</w:t>
            </w:r>
            <w:r>
              <w:rPr>
                <w:rFonts w:ascii="Arial" w:hAnsi="Arial"/>
                <w:sz w:val="16"/>
                <w:szCs w:val="16"/>
              </w:rPr>
              <w:t xml:space="preserve"> manuální vektorové pole,</w:t>
            </w:r>
            <w:r w:rsidRPr="00921798">
              <w:rPr>
                <w:rFonts w:ascii="Arial" w:hAnsi="Arial"/>
                <w:sz w:val="16"/>
                <w:szCs w:val="16"/>
              </w:rPr>
              <w:t xml:space="preserve"> proudy TENS, ruská stimulace, </w:t>
            </w:r>
            <w:proofErr w:type="spellStart"/>
            <w:r w:rsidRPr="00921798">
              <w:rPr>
                <w:rFonts w:ascii="Arial" w:hAnsi="Arial"/>
                <w:sz w:val="16"/>
                <w:szCs w:val="16"/>
              </w:rPr>
              <w:t>diadynamické</w:t>
            </w:r>
            <w:proofErr w:type="spellEnd"/>
            <w:r w:rsidRPr="00921798">
              <w:rPr>
                <w:rFonts w:ascii="Arial" w:hAnsi="Arial"/>
                <w:sz w:val="16"/>
                <w:szCs w:val="16"/>
              </w:rPr>
              <w:t xml:space="preserve"> proudy, </w:t>
            </w:r>
            <w:proofErr w:type="spellStart"/>
            <w:r w:rsidRPr="00921798">
              <w:rPr>
                <w:rFonts w:ascii="Arial" w:hAnsi="Arial"/>
                <w:sz w:val="16"/>
                <w:szCs w:val="16"/>
              </w:rPr>
              <w:t>Träbertovy</w:t>
            </w:r>
            <w:proofErr w:type="spellEnd"/>
            <w:r w:rsidRPr="00921798">
              <w:rPr>
                <w:rFonts w:ascii="Arial" w:hAnsi="Arial"/>
                <w:sz w:val="16"/>
                <w:szCs w:val="16"/>
              </w:rPr>
              <w:t xml:space="preserve"> proudy, pravoúhlé a šikmé pulzy,</w:t>
            </w:r>
            <w:r>
              <w:rPr>
                <w:rFonts w:ascii="Arial" w:hAnsi="Arial"/>
                <w:sz w:val="16"/>
                <w:szCs w:val="16"/>
              </w:rPr>
              <w:t xml:space="preserve"> galvanický proud, </w:t>
            </w:r>
            <w:proofErr w:type="spellStart"/>
            <w:r>
              <w:rPr>
                <w:rFonts w:ascii="Arial" w:hAnsi="Arial"/>
                <w:sz w:val="16"/>
                <w:szCs w:val="16"/>
              </w:rPr>
              <w:t>mikroproudy</w:t>
            </w:r>
            <w:proofErr w:type="spellEnd"/>
            <w:r>
              <w:rPr>
                <w:rFonts w:ascii="Arial" w:hAnsi="Arial"/>
                <w:sz w:val="16"/>
                <w:szCs w:val="16"/>
              </w:rPr>
              <w:t xml:space="preserve">, </w:t>
            </w:r>
            <w:r w:rsidRPr="00921798">
              <w:rPr>
                <w:rFonts w:ascii="Arial" w:hAnsi="Arial"/>
                <w:sz w:val="16"/>
                <w:szCs w:val="16"/>
              </w:rPr>
              <w:t>vysokonapěťová terapie</w:t>
            </w:r>
            <w:r>
              <w:rPr>
                <w:rFonts w:ascii="Arial" w:hAnsi="Arial"/>
                <w:sz w:val="16"/>
                <w:szCs w:val="16"/>
              </w:rPr>
              <w:t>)</w:t>
            </w:r>
          </w:p>
          <w:p w14:paraId="2FC1D2EA"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921798">
              <w:rPr>
                <w:rFonts w:ascii="Arial" w:hAnsi="Arial"/>
                <w:sz w:val="16"/>
                <w:szCs w:val="16"/>
              </w:rPr>
              <w:t xml:space="preserve">2 nezávislé kanály pro elektroterapii </w:t>
            </w:r>
          </w:p>
          <w:p w14:paraId="39C52D34" w14:textId="77777777" w:rsidR="00FD1F58" w:rsidRPr="0092179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Pr>
                <w:rFonts w:ascii="Arial" w:hAnsi="Arial"/>
                <w:sz w:val="16"/>
                <w:szCs w:val="16"/>
              </w:rPr>
              <w:t>IT křivka</w:t>
            </w:r>
          </w:p>
          <w:p w14:paraId="5C6407B2" w14:textId="77777777" w:rsidR="00FD1F58" w:rsidRPr="0092179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921798">
              <w:rPr>
                <w:rFonts w:ascii="Arial" w:hAnsi="Arial"/>
                <w:sz w:val="16"/>
                <w:szCs w:val="16"/>
              </w:rPr>
              <w:t>více než 200 klinických protokolů s terapiemi</w:t>
            </w:r>
          </w:p>
          <w:p w14:paraId="04880F69" w14:textId="77777777" w:rsidR="00FD1F58" w:rsidRPr="0092179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921798">
              <w:rPr>
                <w:rFonts w:ascii="Arial" w:hAnsi="Arial"/>
                <w:sz w:val="16"/>
                <w:szCs w:val="16"/>
              </w:rPr>
              <w:t>více než 100 volných uživatelských pozic pro ukládání vlastních terapií</w:t>
            </w:r>
          </w:p>
          <w:p w14:paraId="72C3D727" w14:textId="77777777" w:rsidR="00FD1F58" w:rsidRPr="00082C95"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9172AA">
              <w:rPr>
                <w:rFonts w:ascii="Arial" w:hAnsi="Arial"/>
                <w:b/>
                <w:bCs/>
                <w:sz w:val="16"/>
                <w:szCs w:val="16"/>
              </w:rPr>
              <w:t>pokročilá anatomická knihovna</w:t>
            </w:r>
            <w:r>
              <w:rPr>
                <w:rFonts w:ascii="Arial" w:hAnsi="Arial"/>
                <w:sz w:val="16"/>
                <w:szCs w:val="16"/>
              </w:rPr>
              <w:t>, ob</w:t>
            </w:r>
            <w:r w:rsidRPr="00500DB1">
              <w:rPr>
                <w:rFonts w:ascii="Arial" w:hAnsi="Arial"/>
                <w:sz w:val="16"/>
                <w:szCs w:val="16"/>
              </w:rPr>
              <w:t xml:space="preserve">sahující informace o indikacích včetně </w:t>
            </w:r>
            <w:r w:rsidRPr="00082C95">
              <w:rPr>
                <w:rFonts w:ascii="Arial" w:hAnsi="Arial"/>
                <w:sz w:val="16"/>
                <w:szCs w:val="16"/>
              </w:rPr>
              <w:t>anatomických obrázků pro optimální vysvětlení dané terapie</w:t>
            </w:r>
          </w:p>
          <w:p w14:paraId="5E21F338" w14:textId="77777777" w:rsidR="00FD1F58" w:rsidRDefault="00FD1F58" w:rsidP="00D3298D">
            <w:pPr>
              <w:spacing w:line="240" w:lineRule="auto"/>
              <w:rPr>
                <w:sz w:val="16"/>
                <w:szCs w:val="16"/>
              </w:rPr>
            </w:pPr>
          </w:p>
          <w:p w14:paraId="577C9584" w14:textId="77777777" w:rsidR="00FD1F58" w:rsidRPr="00223392" w:rsidRDefault="00FD1F58" w:rsidP="00FD1F58">
            <w:pPr>
              <w:pStyle w:val="Normln0"/>
              <w:numPr>
                <w:ilvl w:val="0"/>
                <w:numId w:val="16"/>
              </w:numPr>
              <w:spacing w:after="120" w:line="240" w:lineRule="auto"/>
              <w:ind w:left="639" w:hanging="469"/>
              <w:rPr>
                <w:rFonts w:ascii="Arial" w:hAnsi="Arial" w:cs="Arial"/>
                <w:b/>
                <w:sz w:val="16"/>
                <w:szCs w:val="16"/>
              </w:rPr>
            </w:pPr>
            <w:r>
              <w:rPr>
                <w:rFonts w:ascii="Arial" w:hAnsi="Arial" w:cs="Arial"/>
                <w:b/>
                <w:sz w:val="16"/>
                <w:szCs w:val="16"/>
              </w:rPr>
              <w:t>EMG</w:t>
            </w:r>
          </w:p>
          <w:p w14:paraId="6180D18D" w14:textId="77777777" w:rsidR="00FD1F58" w:rsidRPr="003E1973"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3E1973">
              <w:rPr>
                <w:rFonts w:ascii="Arial" w:hAnsi="Arial"/>
                <w:sz w:val="16"/>
                <w:szCs w:val="16"/>
              </w:rPr>
              <w:t>povrchová elektromyografie s</w:t>
            </w:r>
            <w:r>
              <w:rPr>
                <w:rFonts w:ascii="Arial" w:hAnsi="Arial"/>
                <w:sz w:val="16"/>
                <w:szCs w:val="16"/>
              </w:rPr>
              <w:t> možností vyvolání automatické</w:t>
            </w:r>
            <w:r w:rsidRPr="003E1973">
              <w:rPr>
                <w:rFonts w:ascii="Arial" w:hAnsi="Arial"/>
                <w:sz w:val="16"/>
                <w:szCs w:val="16"/>
              </w:rPr>
              <w:t xml:space="preserve"> stimula</w:t>
            </w:r>
            <w:r>
              <w:rPr>
                <w:rFonts w:ascii="Arial" w:hAnsi="Arial"/>
                <w:sz w:val="16"/>
                <w:szCs w:val="16"/>
              </w:rPr>
              <w:t>ce</w:t>
            </w:r>
            <w:r w:rsidRPr="003E1973">
              <w:rPr>
                <w:rFonts w:ascii="Arial" w:hAnsi="Arial"/>
                <w:sz w:val="16"/>
                <w:szCs w:val="16"/>
              </w:rPr>
              <w:t xml:space="preserve"> </w:t>
            </w:r>
          </w:p>
          <w:p w14:paraId="25F3FDF1"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552D15">
              <w:rPr>
                <w:rFonts w:ascii="Arial" w:hAnsi="Arial"/>
                <w:sz w:val="16"/>
                <w:szCs w:val="16"/>
              </w:rPr>
              <w:t xml:space="preserve">modul EMG umožňuje naměřit svalovou </w:t>
            </w:r>
            <w:r>
              <w:rPr>
                <w:rFonts w:ascii="Arial" w:hAnsi="Arial"/>
                <w:sz w:val="16"/>
                <w:szCs w:val="16"/>
              </w:rPr>
              <w:t>aktivitu</w:t>
            </w:r>
          </w:p>
          <w:p w14:paraId="1C61D9B9" w14:textId="77777777" w:rsidR="00FD1F58" w:rsidRPr="00552D15"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552D15">
              <w:rPr>
                <w:rFonts w:ascii="Arial" w:hAnsi="Arial"/>
                <w:sz w:val="16"/>
                <w:szCs w:val="16"/>
              </w:rPr>
              <w:t>precizní biofeedback (zpětná vazba) svalové aktivity reagující na podněty menší než 3 mikrovolty</w:t>
            </w:r>
          </w:p>
          <w:p w14:paraId="70EA5982" w14:textId="77777777" w:rsidR="00FD1F58" w:rsidRPr="003E1973"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3E1973">
              <w:rPr>
                <w:rFonts w:ascii="Arial" w:hAnsi="Arial"/>
                <w:sz w:val="16"/>
                <w:szCs w:val="16"/>
              </w:rPr>
              <w:t>indikace s </w:t>
            </w:r>
            <w:proofErr w:type="spellStart"/>
            <w:r w:rsidRPr="003E1973">
              <w:rPr>
                <w:rFonts w:ascii="Arial" w:hAnsi="Arial"/>
                <w:sz w:val="16"/>
                <w:szCs w:val="16"/>
              </w:rPr>
              <w:t>EMG+Stim</w:t>
            </w:r>
            <w:proofErr w:type="spellEnd"/>
            <w:r w:rsidRPr="003E1973">
              <w:rPr>
                <w:rFonts w:ascii="Arial" w:hAnsi="Arial"/>
                <w:sz w:val="16"/>
                <w:szCs w:val="16"/>
              </w:rPr>
              <w:t xml:space="preserve"> s použitím VMS, symetrických dvoufázových (TENS), asymetrických dvoufázových (TENS) nebo ruských křivek</w:t>
            </w:r>
          </w:p>
          <w:p w14:paraId="6978BF1E"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3E1973">
              <w:rPr>
                <w:rFonts w:ascii="Arial" w:hAnsi="Arial"/>
                <w:sz w:val="16"/>
                <w:szCs w:val="16"/>
              </w:rPr>
              <w:t xml:space="preserve">grafické </w:t>
            </w:r>
            <w:r>
              <w:rPr>
                <w:rFonts w:ascii="Arial" w:hAnsi="Arial"/>
                <w:sz w:val="16"/>
                <w:szCs w:val="16"/>
              </w:rPr>
              <w:t xml:space="preserve">viditelné </w:t>
            </w:r>
            <w:r w:rsidRPr="003E1973">
              <w:rPr>
                <w:rFonts w:ascii="Arial" w:hAnsi="Arial"/>
                <w:sz w:val="16"/>
                <w:szCs w:val="16"/>
              </w:rPr>
              <w:t>znázornění dat z EMG na displeji</w:t>
            </w:r>
          </w:p>
          <w:p w14:paraId="5848DB82" w14:textId="77777777" w:rsidR="00FD1F58" w:rsidRPr="00A0242C" w:rsidRDefault="00FD1F58" w:rsidP="00FD1F58">
            <w:pPr>
              <w:pStyle w:val="Odstavecseseznamem"/>
              <w:numPr>
                <w:ilvl w:val="0"/>
                <w:numId w:val="18"/>
              </w:numPr>
              <w:spacing w:after="0" w:line="240" w:lineRule="auto"/>
              <w:ind w:left="639" w:hanging="283"/>
              <w:contextualSpacing w:val="0"/>
              <w:jc w:val="left"/>
              <w:rPr>
                <w:rFonts w:ascii="Arial" w:hAnsi="Arial"/>
                <w:b/>
                <w:sz w:val="16"/>
                <w:szCs w:val="16"/>
              </w:rPr>
            </w:pPr>
            <w:r w:rsidRPr="00552D15">
              <w:rPr>
                <w:rFonts w:ascii="Arial" w:hAnsi="Arial"/>
                <w:b/>
                <w:bCs/>
                <w:sz w:val="16"/>
                <w:szCs w:val="16"/>
              </w:rPr>
              <w:t>modul obsahuje více než 25 elektroléčebných proudů</w:t>
            </w:r>
            <w:r>
              <w:rPr>
                <w:rFonts w:ascii="Arial" w:hAnsi="Arial"/>
                <w:sz w:val="16"/>
                <w:szCs w:val="16"/>
              </w:rPr>
              <w:t>:</w:t>
            </w:r>
            <w:r w:rsidRPr="00921798">
              <w:rPr>
                <w:rFonts w:ascii="Arial" w:hAnsi="Arial"/>
                <w:sz w:val="16"/>
                <w:szCs w:val="16"/>
              </w:rPr>
              <w:t xml:space="preserve"> </w:t>
            </w:r>
            <w:proofErr w:type="gramStart"/>
            <w:r>
              <w:rPr>
                <w:rFonts w:ascii="Arial" w:hAnsi="Arial"/>
                <w:sz w:val="16"/>
                <w:szCs w:val="16"/>
              </w:rPr>
              <w:t>2</w:t>
            </w:r>
            <w:r w:rsidRPr="00921798">
              <w:rPr>
                <w:rFonts w:ascii="Arial" w:hAnsi="Arial"/>
                <w:sz w:val="16"/>
                <w:szCs w:val="16"/>
              </w:rPr>
              <w:t>- a</w:t>
            </w:r>
            <w:proofErr w:type="gramEnd"/>
            <w:r w:rsidRPr="00921798">
              <w:rPr>
                <w:rFonts w:ascii="Arial" w:hAnsi="Arial"/>
                <w:sz w:val="16"/>
                <w:szCs w:val="16"/>
              </w:rPr>
              <w:t> </w:t>
            </w:r>
            <w:proofErr w:type="gramStart"/>
            <w:r>
              <w:rPr>
                <w:rFonts w:ascii="Arial" w:hAnsi="Arial"/>
                <w:sz w:val="16"/>
                <w:szCs w:val="16"/>
              </w:rPr>
              <w:t>4-</w:t>
            </w:r>
            <w:r w:rsidRPr="00921798">
              <w:rPr>
                <w:rFonts w:ascii="Arial" w:hAnsi="Arial"/>
                <w:sz w:val="16"/>
                <w:szCs w:val="16"/>
              </w:rPr>
              <w:t>pólová</w:t>
            </w:r>
            <w:proofErr w:type="gramEnd"/>
            <w:r w:rsidRPr="00921798">
              <w:rPr>
                <w:rFonts w:ascii="Arial" w:hAnsi="Arial"/>
                <w:sz w:val="16"/>
                <w:szCs w:val="16"/>
              </w:rPr>
              <w:t xml:space="preserve"> interference,</w:t>
            </w:r>
            <w:r>
              <w:rPr>
                <w:rFonts w:ascii="Arial" w:hAnsi="Arial"/>
                <w:sz w:val="16"/>
                <w:szCs w:val="16"/>
              </w:rPr>
              <w:t xml:space="preserve"> manuální vektorové pole,</w:t>
            </w:r>
            <w:r w:rsidRPr="00921798">
              <w:rPr>
                <w:rFonts w:ascii="Arial" w:hAnsi="Arial"/>
                <w:sz w:val="16"/>
                <w:szCs w:val="16"/>
              </w:rPr>
              <w:t xml:space="preserve"> proudy TENS, ruská stimulace, </w:t>
            </w:r>
            <w:proofErr w:type="spellStart"/>
            <w:r w:rsidRPr="00921798">
              <w:rPr>
                <w:rFonts w:ascii="Arial" w:hAnsi="Arial"/>
                <w:sz w:val="16"/>
                <w:szCs w:val="16"/>
              </w:rPr>
              <w:t>diadynamické</w:t>
            </w:r>
            <w:proofErr w:type="spellEnd"/>
            <w:r w:rsidRPr="00921798">
              <w:rPr>
                <w:rFonts w:ascii="Arial" w:hAnsi="Arial"/>
                <w:sz w:val="16"/>
                <w:szCs w:val="16"/>
              </w:rPr>
              <w:t xml:space="preserve"> proudy, </w:t>
            </w:r>
            <w:proofErr w:type="spellStart"/>
            <w:r w:rsidRPr="00921798">
              <w:rPr>
                <w:rFonts w:ascii="Arial" w:hAnsi="Arial"/>
                <w:sz w:val="16"/>
                <w:szCs w:val="16"/>
              </w:rPr>
              <w:t>Träbertovy</w:t>
            </w:r>
            <w:proofErr w:type="spellEnd"/>
            <w:r w:rsidRPr="00921798">
              <w:rPr>
                <w:rFonts w:ascii="Arial" w:hAnsi="Arial"/>
                <w:sz w:val="16"/>
                <w:szCs w:val="16"/>
              </w:rPr>
              <w:t xml:space="preserve"> proudy, pravoúhlé a šikmé pulzy,</w:t>
            </w:r>
            <w:r>
              <w:rPr>
                <w:rFonts w:ascii="Arial" w:hAnsi="Arial"/>
                <w:sz w:val="16"/>
                <w:szCs w:val="16"/>
              </w:rPr>
              <w:t xml:space="preserve"> galvanický proud, </w:t>
            </w:r>
            <w:proofErr w:type="spellStart"/>
            <w:r>
              <w:rPr>
                <w:rFonts w:ascii="Arial" w:hAnsi="Arial"/>
                <w:sz w:val="16"/>
                <w:szCs w:val="16"/>
              </w:rPr>
              <w:t>mikroproudy</w:t>
            </w:r>
            <w:proofErr w:type="spellEnd"/>
            <w:r>
              <w:rPr>
                <w:rFonts w:ascii="Arial" w:hAnsi="Arial"/>
                <w:sz w:val="16"/>
                <w:szCs w:val="16"/>
              </w:rPr>
              <w:t xml:space="preserve">, </w:t>
            </w:r>
            <w:r w:rsidRPr="00921798">
              <w:rPr>
                <w:rFonts w:ascii="Arial" w:hAnsi="Arial"/>
                <w:sz w:val="16"/>
                <w:szCs w:val="16"/>
              </w:rPr>
              <w:t>vysokonapěťová terapie</w:t>
            </w:r>
          </w:p>
          <w:p w14:paraId="7E19DC7F" w14:textId="77777777" w:rsidR="00FD1F58" w:rsidRDefault="00FD1F58" w:rsidP="00D3298D">
            <w:pPr>
              <w:spacing w:line="240" w:lineRule="auto"/>
              <w:rPr>
                <w:sz w:val="16"/>
                <w:szCs w:val="16"/>
              </w:rPr>
            </w:pPr>
          </w:p>
          <w:p w14:paraId="412CDEE9" w14:textId="77777777" w:rsidR="00FD1F58" w:rsidRPr="005B78C6" w:rsidRDefault="00FD1F58" w:rsidP="00FD1F58">
            <w:pPr>
              <w:pStyle w:val="Normln0"/>
              <w:numPr>
                <w:ilvl w:val="0"/>
                <w:numId w:val="16"/>
              </w:numPr>
              <w:spacing w:after="120" w:line="240" w:lineRule="auto"/>
              <w:ind w:left="639" w:hanging="469"/>
              <w:rPr>
                <w:rFonts w:ascii="Arial" w:hAnsi="Arial" w:cs="Arial"/>
                <w:b/>
                <w:sz w:val="16"/>
                <w:szCs w:val="16"/>
              </w:rPr>
            </w:pPr>
            <w:r w:rsidRPr="005B78C6">
              <w:rPr>
                <w:rFonts w:ascii="Arial" w:hAnsi="Arial" w:cs="Arial"/>
                <w:b/>
                <w:sz w:val="16"/>
                <w:szCs w:val="16"/>
              </w:rPr>
              <w:t>Vakuová jednotka</w:t>
            </w:r>
          </w:p>
          <w:p w14:paraId="71706456"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234FE2">
              <w:rPr>
                <w:rFonts w:ascii="Arial" w:hAnsi="Arial"/>
                <w:sz w:val="16"/>
                <w:szCs w:val="16"/>
              </w:rPr>
              <w:t xml:space="preserve">zabudovaný modul </w:t>
            </w:r>
            <w:r>
              <w:rPr>
                <w:rFonts w:ascii="Arial" w:hAnsi="Arial"/>
                <w:sz w:val="16"/>
                <w:szCs w:val="16"/>
              </w:rPr>
              <w:t>4 – kanálové vakuové jednotky</w:t>
            </w:r>
          </w:p>
          <w:p w14:paraId="7FC63352" w14:textId="77777777" w:rsidR="00FD1F58" w:rsidRPr="00234FE2"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Pr>
                <w:rFonts w:ascii="Arial" w:hAnsi="Arial"/>
                <w:sz w:val="16"/>
                <w:szCs w:val="16"/>
              </w:rPr>
              <w:t>ovládání vakuové jednotka přes displej přístrojové jednotky</w:t>
            </w:r>
          </w:p>
          <w:p w14:paraId="71ABC932" w14:textId="77777777" w:rsidR="00FD1F58" w:rsidRPr="00234FE2"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234FE2">
              <w:rPr>
                <w:rFonts w:ascii="Arial" w:hAnsi="Arial"/>
                <w:sz w:val="16"/>
                <w:szCs w:val="16"/>
              </w:rPr>
              <w:t>kontinuální i pulzní režim</w:t>
            </w:r>
            <w:r>
              <w:rPr>
                <w:rFonts w:ascii="Arial" w:hAnsi="Arial"/>
                <w:sz w:val="16"/>
                <w:szCs w:val="16"/>
              </w:rPr>
              <w:t xml:space="preserve"> nastavitelný v 10 krocích</w:t>
            </w:r>
          </w:p>
          <w:p w14:paraId="66527F78" w14:textId="77777777" w:rsidR="00FD1F58"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sidRPr="00234FE2">
              <w:rPr>
                <w:rFonts w:ascii="Arial" w:hAnsi="Arial"/>
                <w:sz w:val="16"/>
                <w:szCs w:val="16"/>
              </w:rPr>
              <w:t>možnost nastavení intenzity přisátí</w:t>
            </w:r>
            <w:r>
              <w:rPr>
                <w:rFonts w:ascii="Arial" w:hAnsi="Arial"/>
                <w:sz w:val="16"/>
                <w:szCs w:val="16"/>
              </w:rPr>
              <w:t xml:space="preserve"> 0-600 mbar</w:t>
            </w:r>
          </w:p>
          <w:p w14:paraId="05F105A0" w14:textId="77777777" w:rsidR="00FD1F58" w:rsidRPr="00234FE2" w:rsidRDefault="00FD1F58" w:rsidP="00FD1F58">
            <w:pPr>
              <w:pStyle w:val="Odstavecseseznamem"/>
              <w:numPr>
                <w:ilvl w:val="0"/>
                <w:numId w:val="18"/>
              </w:numPr>
              <w:spacing w:after="0" w:line="240" w:lineRule="auto"/>
              <w:ind w:left="639" w:hanging="283"/>
              <w:contextualSpacing w:val="0"/>
              <w:jc w:val="left"/>
              <w:rPr>
                <w:rFonts w:ascii="Arial" w:hAnsi="Arial"/>
                <w:sz w:val="16"/>
                <w:szCs w:val="16"/>
              </w:rPr>
            </w:pPr>
            <w:r>
              <w:rPr>
                <w:rFonts w:ascii="Arial" w:hAnsi="Arial"/>
                <w:sz w:val="16"/>
                <w:szCs w:val="16"/>
              </w:rPr>
              <w:t>viditelná nádobka s možností odnímání</w:t>
            </w:r>
          </w:p>
          <w:p w14:paraId="0A71753D" w14:textId="77777777" w:rsidR="00FD1F58" w:rsidRPr="005B78C6" w:rsidRDefault="00FD1F58" w:rsidP="00D3298D">
            <w:pPr>
              <w:spacing w:line="240" w:lineRule="auto"/>
              <w:rPr>
                <w:sz w:val="16"/>
                <w:szCs w:val="16"/>
              </w:rPr>
            </w:pPr>
          </w:p>
          <w:p w14:paraId="3DAB5BC9" w14:textId="77777777" w:rsidR="00FD1F58" w:rsidRPr="00223392" w:rsidRDefault="00FD1F58" w:rsidP="00D3298D">
            <w:pPr>
              <w:spacing w:line="240" w:lineRule="auto"/>
              <w:rPr>
                <w:sz w:val="16"/>
                <w:szCs w:val="16"/>
              </w:rPr>
            </w:pPr>
          </w:p>
          <w:p w14:paraId="71ECF174" w14:textId="77777777" w:rsidR="00FD1F58" w:rsidRDefault="00FD1F58" w:rsidP="00D3298D">
            <w:pPr>
              <w:spacing w:line="240" w:lineRule="auto"/>
              <w:rPr>
                <w:sz w:val="16"/>
                <w:szCs w:val="16"/>
              </w:rPr>
            </w:pPr>
          </w:p>
          <w:p w14:paraId="29F7DB44" w14:textId="77777777" w:rsidR="00FD1F58" w:rsidRPr="00D66F6A" w:rsidRDefault="00FD1F58" w:rsidP="00D3298D">
            <w:pPr>
              <w:spacing w:line="240" w:lineRule="auto"/>
              <w:rPr>
                <w:sz w:val="16"/>
                <w:szCs w:val="16"/>
              </w:rPr>
            </w:pPr>
          </w:p>
        </w:tc>
      </w:tr>
      <w:tr w:rsidR="00FD1F58" w:rsidRPr="00432DD6" w14:paraId="53554908" w14:textId="77777777" w:rsidTr="00D3298D">
        <w:trPr>
          <w:trHeight w:val="426"/>
        </w:trPr>
        <w:tc>
          <w:tcPr>
            <w:tcW w:w="3472"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2E277624" w14:textId="77777777" w:rsidR="00FD1F58" w:rsidRPr="00F21BA5" w:rsidRDefault="00FD1F58" w:rsidP="00D3298D">
            <w:pPr>
              <w:pStyle w:val="DPbezloga"/>
              <w:spacing w:after="40"/>
              <w:ind w:left="0"/>
              <w:jc w:val="center"/>
              <w:rPr>
                <w:b/>
                <w:color w:val="FFFFFF"/>
                <w:sz w:val="16"/>
                <w:szCs w:val="16"/>
              </w:rPr>
            </w:pPr>
            <w:r>
              <w:rPr>
                <w:b/>
                <w:color w:val="FFFFFF"/>
                <w:sz w:val="16"/>
                <w:szCs w:val="16"/>
              </w:rPr>
              <w:t>Nabídková cena</w:t>
            </w:r>
            <w:r w:rsidRPr="00F21BA5">
              <w:rPr>
                <w:b/>
                <w:color w:val="FFFFFF"/>
                <w:sz w:val="16"/>
                <w:szCs w:val="16"/>
              </w:rPr>
              <w:t xml:space="preserve"> </w:t>
            </w:r>
          </w:p>
        </w:tc>
        <w:tc>
          <w:tcPr>
            <w:tcW w:w="3798" w:type="dxa"/>
            <w:tcBorders>
              <w:top w:val="single" w:sz="8" w:space="0" w:color="A6A6A6"/>
              <w:left w:val="single" w:sz="8" w:space="0" w:color="A6A6A6"/>
              <w:bottom w:val="single" w:sz="8" w:space="0" w:color="A6A6A6"/>
              <w:right w:val="single" w:sz="8" w:space="0" w:color="A6A6A6"/>
            </w:tcBorders>
            <w:vAlign w:val="center"/>
          </w:tcPr>
          <w:p w14:paraId="3AEC1BDE" w14:textId="77777777" w:rsidR="00FD1F58" w:rsidRPr="00962AE1" w:rsidRDefault="00FD1F58" w:rsidP="00D3298D">
            <w:pPr>
              <w:pStyle w:val="DPbezloga"/>
              <w:spacing w:after="40"/>
              <w:ind w:left="0"/>
              <w:jc w:val="center"/>
              <w:rPr>
                <w:b/>
                <w:bCs/>
                <w:sz w:val="16"/>
                <w:szCs w:val="16"/>
              </w:rPr>
            </w:pPr>
            <w:r w:rsidRPr="00962AE1">
              <w:rPr>
                <w:b/>
                <w:bCs/>
                <w:sz w:val="16"/>
                <w:szCs w:val="16"/>
              </w:rPr>
              <w:t xml:space="preserve">Cena bez </w:t>
            </w:r>
            <w:r>
              <w:rPr>
                <w:b/>
                <w:bCs/>
                <w:sz w:val="16"/>
                <w:szCs w:val="16"/>
              </w:rPr>
              <w:t>21</w:t>
            </w:r>
            <w:r w:rsidRPr="00962AE1">
              <w:rPr>
                <w:b/>
                <w:bCs/>
                <w:sz w:val="16"/>
                <w:szCs w:val="16"/>
              </w:rPr>
              <w:t xml:space="preserve"> % DPH </w:t>
            </w:r>
          </w:p>
          <w:p w14:paraId="0EF5F6DB" w14:textId="77777777" w:rsidR="00FD1F58" w:rsidRPr="00962AE1" w:rsidRDefault="00FD1F58" w:rsidP="00D3298D">
            <w:pPr>
              <w:pStyle w:val="DPbezloga"/>
              <w:spacing w:after="40"/>
              <w:ind w:left="0"/>
              <w:jc w:val="center"/>
              <w:rPr>
                <w:b/>
                <w:bCs/>
                <w:sz w:val="16"/>
                <w:szCs w:val="16"/>
              </w:rPr>
            </w:pPr>
            <w:proofErr w:type="gramStart"/>
            <w:r>
              <w:rPr>
                <w:b/>
                <w:bCs/>
                <w:sz w:val="16"/>
                <w:szCs w:val="16"/>
              </w:rPr>
              <w:t>21</w:t>
            </w:r>
            <w:r w:rsidRPr="00962AE1">
              <w:rPr>
                <w:b/>
                <w:bCs/>
                <w:sz w:val="16"/>
                <w:szCs w:val="16"/>
              </w:rPr>
              <w:t>%</w:t>
            </w:r>
            <w:proofErr w:type="gramEnd"/>
            <w:r w:rsidRPr="00962AE1">
              <w:rPr>
                <w:b/>
                <w:bCs/>
                <w:sz w:val="16"/>
                <w:szCs w:val="16"/>
              </w:rPr>
              <w:t xml:space="preserve"> DPH</w:t>
            </w:r>
          </w:p>
          <w:p w14:paraId="0D0BF5EB" w14:textId="77777777" w:rsidR="00FD1F58" w:rsidRPr="00432DD6" w:rsidRDefault="00FD1F58" w:rsidP="00D3298D">
            <w:pPr>
              <w:pStyle w:val="DPbezloga"/>
              <w:spacing w:after="40"/>
              <w:ind w:left="0"/>
              <w:jc w:val="center"/>
              <w:rPr>
                <w:sz w:val="18"/>
                <w:szCs w:val="18"/>
              </w:rPr>
            </w:pPr>
            <w:r w:rsidRPr="00962AE1">
              <w:rPr>
                <w:b/>
                <w:bCs/>
                <w:sz w:val="16"/>
                <w:szCs w:val="16"/>
              </w:rPr>
              <w:t xml:space="preserve">Cena včetně </w:t>
            </w:r>
            <w:proofErr w:type="gramStart"/>
            <w:r>
              <w:rPr>
                <w:b/>
                <w:bCs/>
                <w:sz w:val="16"/>
                <w:szCs w:val="16"/>
              </w:rPr>
              <w:t>21</w:t>
            </w:r>
            <w:r w:rsidRPr="00962AE1">
              <w:rPr>
                <w:b/>
                <w:bCs/>
                <w:sz w:val="16"/>
                <w:szCs w:val="16"/>
              </w:rPr>
              <w:t>%</w:t>
            </w:r>
            <w:proofErr w:type="gramEnd"/>
            <w:r w:rsidRPr="00962AE1">
              <w:rPr>
                <w:b/>
                <w:bCs/>
                <w:sz w:val="16"/>
                <w:szCs w:val="16"/>
              </w:rPr>
              <w:t xml:space="preserve"> DPH</w:t>
            </w:r>
          </w:p>
        </w:tc>
        <w:tc>
          <w:tcPr>
            <w:tcW w:w="2638" w:type="dxa"/>
            <w:tcBorders>
              <w:top w:val="single" w:sz="8" w:space="0" w:color="A6A6A6"/>
              <w:left w:val="single" w:sz="8" w:space="0" w:color="A6A6A6"/>
              <w:bottom w:val="single" w:sz="8" w:space="0" w:color="A6A6A6"/>
              <w:right w:val="single" w:sz="8" w:space="0" w:color="A6A6A6"/>
            </w:tcBorders>
            <w:vAlign w:val="center"/>
          </w:tcPr>
          <w:p w14:paraId="1EE6015B" w14:textId="77777777" w:rsidR="00FD1F58" w:rsidRPr="00962AE1" w:rsidRDefault="00FD1F58" w:rsidP="00D3298D">
            <w:pPr>
              <w:pStyle w:val="DPbezloga"/>
              <w:spacing w:after="40"/>
              <w:ind w:left="0" w:right="639"/>
              <w:jc w:val="right"/>
              <w:rPr>
                <w:b/>
                <w:bCs/>
                <w:sz w:val="18"/>
                <w:szCs w:val="18"/>
              </w:rPr>
            </w:pPr>
            <w:r>
              <w:rPr>
                <w:b/>
                <w:bCs/>
                <w:sz w:val="18"/>
                <w:szCs w:val="18"/>
              </w:rPr>
              <w:t>221 800</w:t>
            </w:r>
            <w:r w:rsidRPr="00962AE1">
              <w:rPr>
                <w:b/>
                <w:bCs/>
                <w:sz w:val="18"/>
                <w:szCs w:val="18"/>
              </w:rPr>
              <w:t xml:space="preserve"> Kč</w:t>
            </w:r>
          </w:p>
          <w:p w14:paraId="78CEB062" w14:textId="77777777" w:rsidR="00FD1F58" w:rsidRPr="00962AE1" w:rsidRDefault="00FD1F58" w:rsidP="00D3298D">
            <w:pPr>
              <w:pStyle w:val="DPbezloga"/>
              <w:spacing w:after="40"/>
              <w:ind w:left="0" w:right="639"/>
              <w:jc w:val="right"/>
              <w:rPr>
                <w:b/>
                <w:bCs/>
                <w:sz w:val="18"/>
                <w:szCs w:val="18"/>
              </w:rPr>
            </w:pPr>
            <w:r>
              <w:rPr>
                <w:b/>
                <w:bCs/>
                <w:sz w:val="18"/>
                <w:szCs w:val="18"/>
              </w:rPr>
              <w:t>46 578</w:t>
            </w:r>
            <w:r w:rsidRPr="00962AE1">
              <w:rPr>
                <w:b/>
                <w:bCs/>
                <w:sz w:val="18"/>
                <w:szCs w:val="18"/>
              </w:rPr>
              <w:t xml:space="preserve"> Kč</w:t>
            </w:r>
          </w:p>
          <w:p w14:paraId="2C51A5E0" w14:textId="77777777" w:rsidR="00FD1F58" w:rsidRPr="00432DD6" w:rsidRDefault="00FD1F58" w:rsidP="00D3298D">
            <w:pPr>
              <w:pStyle w:val="DPbezloga"/>
              <w:spacing w:after="40"/>
              <w:ind w:left="0"/>
              <w:jc w:val="center"/>
              <w:rPr>
                <w:b/>
                <w:bCs/>
                <w:sz w:val="18"/>
                <w:szCs w:val="18"/>
              </w:rPr>
            </w:pPr>
            <w:r>
              <w:rPr>
                <w:b/>
                <w:bCs/>
                <w:sz w:val="18"/>
                <w:szCs w:val="18"/>
              </w:rPr>
              <w:t xml:space="preserve">        268 378</w:t>
            </w:r>
            <w:r w:rsidRPr="00962AE1">
              <w:rPr>
                <w:b/>
                <w:bCs/>
                <w:sz w:val="18"/>
                <w:szCs w:val="18"/>
              </w:rPr>
              <w:t xml:space="preserve"> Kč</w:t>
            </w:r>
          </w:p>
        </w:tc>
      </w:tr>
    </w:tbl>
    <w:p w14:paraId="351C0C60" w14:textId="77777777" w:rsidR="00A05D45" w:rsidRDefault="00A05D45">
      <w:pPr>
        <w:spacing w:line="240" w:lineRule="auto"/>
        <w:jc w:val="left"/>
      </w:pPr>
      <w:r>
        <w:br w:type="page"/>
      </w:r>
    </w:p>
    <w:p w14:paraId="6C6C8198" w14:textId="77777777" w:rsidR="00FD1F58" w:rsidRDefault="00FD1F58">
      <w:pPr>
        <w:spacing w:line="240" w:lineRule="auto"/>
        <w:jc w:val="left"/>
      </w:pPr>
    </w:p>
    <w:p w14:paraId="42902F7F" w14:textId="77777777" w:rsidR="00FD1F58" w:rsidRDefault="00FD1F58">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2A21D38" w:rsidR="009730A2" w:rsidRPr="00D93A73" w:rsidRDefault="00D93A73" w:rsidP="009730A2">
      <w:pPr>
        <w:rPr>
          <w:b/>
          <w:u w:val="single"/>
        </w:rPr>
      </w:pPr>
      <w:r w:rsidRPr="005E3BB0">
        <w:rPr>
          <w:b/>
          <w:highlight w:val="yellow"/>
          <w:u w:val="single"/>
        </w:rP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w:t>
      </w:r>
      <w:r w:rsidRPr="002C402F">
        <w:lastRenderedPageBreak/>
        <w:t xml:space="preserve">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lastRenderedPageBreak/>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lastRenderedPageBreak/>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1398E10B" w:rsidR="009730A2" w:rsidRDefault="005E3BB0" w:rsidP="009730A2">
      <w:pPr>
        <w:pStyle w:val="Odstavecseseznamem"/>
        <w:rPr>
          <w:highlight w:val="yellow"/>
        </w:rPr>
      </w:pPr>
      <w:r>
        <w:rPr>
          <w:highlight w:val="yellow"/>
        </w:rPr>
        <w:lastRenderedPageBreak/>
        <w:t xml:space="preserve">  </w:t>
      </w: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FEF3" w14:textId="77777777" w:rsidR="0045414D" w:rsidRDefault="0045414D" w:rsidP="00FF18EB">
      <w:pPr>
        <w:spacing w:line="240" w:lineRule="auto"/>
      </w:pPr>
      <w:r>
        <w:separator/>
      </w:r>
    </w:p>
    <w:p w14:paraId="1485A11F" w14:textId="77777777" w:rsidR="0045414D" w:rsidRDefault="0045414D"/>
  </w:endnote>
  <w:endnote w:type="continuationSeparator" w:id="0">
    <w:p w14:paraId="6A7920DC" w14:textId="77777777" w:rsidR="0045414D" w:rsidRDefault="0045414D" w:rsidP="00FF18EB">
      <w:pPr>
        <w:spacing w:line="240" w:lineRule="auto"/>
      </w:pPr>
      <w:r>
        <w:continuationSeparator/>
      </w:r>
    </w:p>
    <w:p w14:paraId="43EE8C6F" w14:textId="77777777" w:rsidR="0045414D" w:rsidRDefault="00454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96A44" w:rsidRPr="00296A44">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4C6F" w14:textId="77777777" w:rsidR="0045414D" w:rsidRDefault="0045414D" w:rsidP="00FF18EB">
      <w:pPr>
        <w:spacing w:line="240" w:lineRule="auto"/>
      </w:pPr>
      <w:r>
        <w:separator/>
      </w:r>
    </w:p>
    <w:p w14:paraId="23D5425A" w14:textId="77777777" w:rsidR="0045414D" w:rsidRDefault="0045414D"/>
  </w:footnote>
  <w:footnote w:type="continuationSeparator" w:id="0">
    <w:p w14:paraId="29322809" w14:textId="77777777" w:rsidR="0045414D" w:rsidRDefault="0045414D" w:rsidP="00FF18EB">
      <w:pPr>
        <w:spacing w:line="240" w:lineRule="auto"/>
      </w:pPr>
      <w:r>
        <w:continuationSeparator/>
      </w:r>
    </w:p>
    <w:p w14:paraId="0436BA5D" w14:textId="77777777" w:rsidR="0045414D" w:rsidRDefault="00454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41F3" w14:textId="757A2D2A" w:rsidR="00296A44" w:rsidRDefault="00296A44">
    <w:pPr>
      <w:pStyle w:val="Zhlav"/>
      <w:rPr>
        <w:lang w:val="cs-CZ"/>
      </w:rPr>
    </w:pPr>
    <w:r>
      <w:tab/>
    </w:r>
    <w:r>
      <w:tab/>
    </w:r>
    <w:r>
      <w:rPr>
        <w:lang w:val="cs-CZ"/>
      </w:rPr>
      <w:t>P25V00000436</w:t>
    </w:r>
  </w:p>
  <w:p w14:paraId="4CE7E70D" w14:textId="07304696" w:rsidR="00D654AB" w:rsidRPr="00296A44" w:rsidRDefault="00D654AB" w:rsidP="00D654AB">
    <w:pPr>
      <w:pStyle w:val="Zhlav"/>
      <w:jc w:val="right"/>
      <w:rPr>
        <w:lang w:val="cs-CZ"/>
      </w:rPr>
    </w:pPr>
    <w:r w:rsidRPr="00D654AB">
      <w:rPr>
        <w:lang w:val="cs-CZ"/>
      </w:rPr>
      <w:t>KP/3739/2025/</w:t>
    </w:r>
    <w:proofErr w:type="spellStart"/>
    <w:r w:rsidRPr="00D654AB">
      <w:rPr>
        <w:lang w:val="cs-CZ"/>
      </w:rPr>
      <w:t>Sch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0.5pt;height:438.75pt;visibility:visible;mso-wrap-style:square" o:bullet="t">
        <v:imagedata r:id="rId1" o:title=""/>
      </v:shape>
    </w:pict>
  </w:numPicBullet>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39346A"/>
    <w:multiLevelType w:val="hybridMultilevel"/>
    <w:tmpl w:val="1FCE8D46"/>
    <w:lvl w:ilvl="0" w:tplc="062298A8">
      <w:start w:val="1"/>
      <w:numFmt w:val="bullet"/>
      <w:lvlText w:val=""/>
      <w:lvlPicBulletId w:val="0"/>
      <w:lvlJc w:val="left"/>
      <w:pPr>
        <w:ind w:left="785" w:hanging="360"/>
      </w:pPr>
      <w:rPr>
        <w:rFonts w:ascii="Symbol" w:hAnsi="Symbol" w:hint="default"/>
        <w:color w:val="auto"/>
        <w:sz w:val="24"/>
        <w:szCs w:val="24"/>
      </w:rPr>
    </w:lvl>
    <w:lvl w:ilvl="1" w:tplc="3DC65A3C">
      <w:start w:val="1"/>
      <w:numFmt w:val="bullet"/>
      <w:lvlText w:val=""/>
      <w:lvlJc w:val="left"/>
      <w:pPr>
        <w:ind w:left="927" w:hanging="360"/>
      </w:pPr>
      <w:rPr>
        <w:rFonts w:ascii="Wingdings 3" w:hAnsi="Wingdings 3" w:hint="default"/>
        <w:color w:val="808080"/>
      </w:rPr>
    </w:lvl>
    <w:lvl w:ilvl="2" w:tplc="6E0C3142">
      <w:start w:val="7"/>
      <w:numFmt w:val="bullet"/>
      <w:lvlText w:val="-"/>
      <w:lvlJc w:val="left"/>
      <w:pPr>
        <w:ind w:left="2225" w:hanging="360"/>
      </w:pPr>
      <w:rPr>
        <w:rFonts w:ascii="Arial" w:eastAsia="Times New Roman" w:hAnsi="Arial" w:cs="Arial"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72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18A3526"/>
    <w:multiLevelType w:val="hybridMultilevel"/>
    <w:tmpl w:val="F6D4E00E"/>
    <w:lvl w:ilvl="0" w:tplc="0D2222F8">
      <w:start w:val="1"/>
      <w:numFmt w:val="bullet"/>
      <w:lvlText w:val=""/>
      <w:lvlJc w:val="left"/>
      <w:pPr>
        <w:ind w:left="1800" w:hanging="360"/>
      </w:pPr>
      <w:rPr>
        <w:rFonts w:ascii="Wingdings 3" w:hAnsi="Wingdings 3" w:hint="default"/>
        <w:color w:val="808080"/>
        <w:sz w:val="16"/>
        <w:szCs w:val="16"/>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693C011F"/>
    <w:multiLevelType w:val="hybridMultilevel"/>
    <w:tmpl w:val="EC16C706"/>
    <w:lvl w:ilvl="0" w:tplc="C37270C2">
      <w:start w:val="1"/>
      <w:numFmt w:val="bullet"/>
      <w:lvlText w:val=""/>
      <w:lvlJc w:val="left"/>
      <w:pPr>
        <w:ind w:left="720" w:hanging="360"/>
      </w:pPr>
      <w:rPr>
        <w:rFonts w:ascii="Wingdings 3" w:hAnsi="Wingdings 3" w:hint="default"/>
        <w:color w:val="8080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96744109">
    <w:abstractNumId w:val="6"/>
  </w:num>
  <w:num w:numId="2" w16cid:durableId="1222405476">
    <w:abstractNumId w:val="7"/>
  </w:num>
  <w:num w:numId="3" w16cid:durableId="1446270213">
    <w:abstractNumId w:val="7"/>
  </w:num>
  <w:num w:numId="4" w16cid:durableId="2062242314">
    <w:abstractNumId w:val="13"/>
  </w:num>
  <w:num w:numId="5" w16cid:durableId="1824200084">
    <w:abstractNumId w:val="8"/>
  </w:num>
  <w:num w:numId="6" w16cid:durableId="57754431">
    <w:abstractNumId w:val="1"/>
  </w:num>
  <w:num w:numId="7" w16cid:durableId="2078355657">
    <w:abstractNumId w:val="5"/>
  </w:num>
  <w:num w:numId="8" w16cid:durableId="2143695219">
    <w:abstractNumId w:val="14"/>
  </w:num>
  <w:num w:numId="9" w16cid:durableId="1240946857">
    <w:abstractNumId w:val="4"/>
  </w:num>
  <w:num w:numId="10" w16cid:durableId="881595000">
    <w:abstractNumId w:val="11"/>
  </w:num>
  <w:num w:numId="11" w16cid:durableId="2064669017">
    <w:abstractNumId w:val="12"/>
  </w:num>
  <w:num w:numId="12" w16cid:durableId="1810126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85207">
    <w:abstractNumId w:val="7"/>
  </w:num>
  <w:num w:numId="14" w16cid:durableId="561792790">
    <w:abstractNumId w:val="0"/>
  </w:num>
  <w:num w:numId="15" w16cid:durableId="177013350">
    <w:abstractNumId w:val="3"/>
  </w:num>
  <w:num w:numId="16" w16cid:durableId="366833316">
    <w:abstractNumId w:val="2"/>
  </w:num>
  <w:num w:numId="17" w16cid:durableId="1289774422">
    <w:abstractNumId w:val="10"/>
  </w:num>
  <w:num w:numId="18" w16cid:durableId="605621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56126"/>
    <w:rsid w:val="00063C28"/>
    <w:rsid w:val="00064EF8"/>
    <w:rsid w:val="0006514B"/>
    <w:rsid w:val="000720DC"/>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A71DE"/>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4E95"/>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6A44"/>
    <w:rsid w:val="00297406"/>
    <w:rsid w:val="00297EE2"/>
    <w:rsid w:val="002A29DA"/>
    <w:rsid w:val="002A4107"/>
    <w:rsid w:val="002B0224"/>
    <w:rsid w:val="002C2981"/>
    <w:rsid w:val="002C4652"/>
    <w:rsid w:val="002C7AE0"/>
    <w:rsid w:val="002D0A1B"/>
    <w:rsid w:val="002E1388"/>
    <w:rsid w:val="002E3B0B"/>
    <w:rsid w:val="002E48E0"/>
    <w:rsid w:val="002F4967"/>
    <w:rsid w:val="002F4EDA"/>
    <w:rsid w:val="002F4F30"/>
    <w:rsid w:val="003073CD"/>
    <w:rsid w:val="003122E6"/>
    <w:rsid w:val="00312759"/>
    <w:rsid w:val="00314664"/>
    <w:rsid w:val="00327588"/>
    <w:rsid w:val="00330DC4"/>
    <w:rsid w:val="003360BF"/>
    <w:rsid w:val="00341AD8"/>
    <w:rsid w:val="003477DB"/>
    <w:rsid w:val="00351229"/>
    <w:rsid w:val="00355E79"/>
    <w:rsid w:val="00366411"/>
    <w:rsid w:val="0037175F"/>
    <w:rsid w:val="00374192"/>
    <w:rsid w:val="00375955"/>
    <w:rsid w:val="00377FDB"/>
    <w:rsid w:val="00382D5D"/>
    <w:rsid w:val="003A1056"/>
    <w:rsid w:val="003D0A25"/>
    <w:rsid w:val="003D1822"/>
    <w:rsid w:val="003D23D7"/>
    <w:rsid w:val="003D64BE"/>
    <w:rsid w:val="003E071E"/>
    <w:rsid w:val="003E0DE8"/>
    <w:rsid w:val="003E1EBB"/>
    <w:rsid w:val="003E4543"/>
    <w:rsid w:val="003E5323"/>
    <w:rsid w:val="003F025A"/>
    <w:rsid w:val="003F1759"/>
    <w:rsid w:val="003F27C5"/>
    <w:rsid w:val="003F35F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0522"/>
    <w:rsid w:val="0045414D"/>
    <w:rsid w:val="00457F76"/>
    <w:rsid w:val="004820A4"/>
    <w:rsid w:val="00487BCE"/>
    <w:rsid w:val="00494052"/>
    <w:rsid w:val="004975C3"/>
    <w:rsid w:val="00497922"/>
    <w:rsid w:val="004A1880"/>
    <w:rsid w:val="004A6335"/>
    <w:rsid w:val="004B3124"/>
    <w:rsid w:val="004B52F7"/>
    <w:rsid w:val="004B647F"/>
    <w:rsid w:val="004B7BE2"/>
    <w:rsid w:val="004C2151"/>
    <w:rsid w:val="004C40B3"/>
    <w:rsid w:val="004D237F"/>
    <w:rsid w:val="004E55DC"/>
    <w:rsid w:val="004E74F7"/>
    <w:rsid w:val="004F3A6F"/>
    <w:rsid w:val="005013EF"/>
    <w:rsid w:val="00503008"/>
    <w:rsid w:val="005153A4"/>
    <w:rsid w:val="0051540C"/>
    <w:rsid w:val="005203B5"/>
    <w:rsid w:val="00521953"/>
    <w:rsid w:val="005371E9"/>
    <w:rsid w:val="00546C21"/>
    <w:rsid w:val="005515B0"/>
    <w:rsid w:val="0055727A"/>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E3BB0"/>
    <w:rsid w:val="005F53C1"/>
    <w:rsid w:val="005F5EEB"/>
    <w:rsid w:val="006031DD"/>
    <w:rsid w:val="00605F71"/>
    <w:rsid w:val="006124A5"/>
    <w:rsid w:val="0061420B"/>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1CA8"/>
    <w:rsid w:val="0075205D"/>
    <w:rsid w:val="00775695"/>
    <w:rsid w:val="00787C20"/>
    <w:rsid w:val="00794661"/>
    <w:rsid w:val="0079592F"/>
    <w:rsid w:val="007A084F"/>
    <w:rsid w:val="007A70F3"/>
    <w:rsid w:val="007C213B"/>
    <w:rsid w:val="007C2A6B"/>
    <w:rsid w:val="007C7279"/>
    <w:rsid w:val="007D1F7A"/>
    <w:rsid w:val="007D3CF9"/>
    <w:rsid w:val="007D3EE5"/>
    <w:rsid w:val="007D7528"/>
    <w:rsid w:val="007E04AC"/>
    <w:rsid w:val="007E04EC"/>
    <w:rsid w:val="007E0700"/>
    <w:rsid w:val="007E1A50"/>
    <w:rsid w:val="007E5FA1"/>
    <w:rsid w:val="007F342E"/>
    <w:rsid w:val="00802C50"/>
    <w:rsid w:val="00802C99"/>
    <w:rsid w:val="00807207"/>
    <w:rsid w:val="00821D5C"/>
    <w:rsid w:val="008338EF"/>
    <w:rsid w:val="008342BB"/>
    <w:rsid w:val="00841443"/>
    <w:rsid w:val="00842E4D"/>
    <w:rsid w:val="00842E64"/>
    <w:rsid w:val="00850F5A"/>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44425"/>
    <w:rsid w:val="00954321"/>
    <w:rsid w:val="009547FF"/>
    <w:rsid w:val="00957978"/>
    <w:rsid w:val="009606A3"/>
    <w:rsid w:val="00961803"/>
    <w:rsid w:val="0096600E"/>
    <w:rsid w:val="009664E0"/>
    <w:rsid w:val="00966A9F"/>
    <w:rsid w:val="00971663"/>
    <w:rsid w:val="0097244D"/>
    <w:rsid w:val="009730A2"/>
    <w:rsid w:val="00973DFD"/>
    <w:rsid w:val="009854D5"/>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2135"/>
    <w:rsid w:val="00A36B03"/>
    <w:rsid w:val="00A4060F"/>
    <w:rsid w:val="00A43801"/>
    <w:rsid w:val="00A51741"/>
    <w:rsid w:val="00A51E29"/>
    <w:rsid w:val="00A52F13"/>
    <w:rsid w:val="00A53AC9"/>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0348"/>
    <w:rsid w:val="00AD18F2"/>
    <w:rsid w:val="00AD1A46"/>
    <w:rsid w:val="00AD3810"/>
    <w:rsid w:val="00AD3D04"/>
    <w:rsid w:val="00AE45EA"/>
    <w:rsid w:val="00AE476A"/>
    <w:rsid w:val="00AF0406"/>
    <w:rsid w:val="00AF0AFE"/>
    <w:rsid w:val="00AF126C"/>
    <w:rsid w:val="00AF1391"/>
    <w:rsid w:val="00AF1CA2"/>
    <w:rsid w:val="00AF2763"/>
    <w:rsid w:val="00AF63B5"/>
    <w:rsid w:val="00B00389"/>
    <w:rsid w:val="00B02DCA"/>
    <w:rsid w:val="00B03FED"/>
    <w:rsid w:val="00B0477F"/>
    <w:rsid w:val="00B127BF"/>
    <w:rsid w:val="00B17D06"/>
    <w:rsid w:val="00B2012E"/>
    <w:rsid w:val="00B26F3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D6F98"/>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654AB"/>
    <w:rsid w:val="00D70368"/>
    <w:rsid w:val="00D7425C"/>
    <w:rsid w:val="00D813B7"/>
    <w:rsid w:val="00D818EC"/>
    <w:rsid w:val="00D82704"/>
    <w:rsid w:val="00D859C2"/>
    <w:rsid w:val="00D86891"/>
    <w:rsid w:val="00D927B5"/>
    <w:rsid w:val="00D93A73"/>
    <w:rsid w:val="00DA1353"/>
    <w:rsid w:val="00DA5A63"/>
    <w:rsid w:val="00DA7CB9"/>
    <w:rsid w:val="00DD3E47"/>
    <w:rsid w:val="00DE3A3F"/>
    <w:rsid w:val="00DE4489"/>
    <w:rsid w:val="00DF71F9"/>
    <w:rsid w:val="00E053D1"/>
    <w:rsid w:val="00E05BD2"/>
    <w:rsid w:val="00E13BA0"/>
    <w:rsid w:val="00E16B43"/>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7DF0"/>
    <w:rsid w:val="00EA7E4D"/>
    <w:rsid w:val="00EB6947"/>
    <w:rsid w:val="00EB7849"/>
    <w:rsid w:val="00ED3A3E"/>
    <w:rsid w:val="00EE155A"/>
    <w:rsid w:val="00EE477D"/>
    <w:rsid w:val="00EE6D76"/>
    <w:rsid w:val="00EF4125"/>
    <w:rsid w:val="00EF46EE"/>
    <w:rsid w:val="00F01FFB"/>
    <w:rsid w:val="00F06B76"/>
    <w:rsid w:val="00F06E90"/>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1F58"/>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DPbezloga">
    <w:name w:val="DP bez loga"/>
    <w:basedOn w:val="Normln"/>
    <w:qFormat/>
    <w:rsid w:val="009854D5"/>
    <w:pPr>
      <w:spacing w:line="260" w:lineRule="exact"/>
      <w:ind w:left="1559"/>
      <w:jc w:val="left"/>
    </w:pPr>
    <w:rPr>
      <w:sz w:val="20"/>
      <w:szCs w:val="20"/>
    </w:rPr>
  </w:style>
  <w:style w:type="paragraph" w:customStyle="1" w:styleId="Normln0">
    <w:name w:val="Norm‡ln’"/>
    <w:basedOn w:val="Normln"/>
    <w:uiPriority w:val="99"/>
    <w:qFormat/>
    <w:rsid w:val="009854D5"/>
    <w:pPr>
      <w:widowControl w:val="0"/>
      <w:suppressAutoHyphens/>
      <w:autoSpaceDE w:val="0"/>
      <w:autoSpaceDN w:val="0"/>
      <w:adjustRightInd w:val="0"/>
      <w:spacing w:line="288" w:lineRule="auto"/>
      <w:jc w:val="left"/>
      <w:textAlignment w:val="center"/>
    </w:pPr>
    <w:rPr>
      <w:rFonts w:ascii="TimesNewRomanPSMT" w:hAnsi="TimesNewRomanPSMT" w:cs="TimesNewRomanPSMT"/>
      <w:color w:val="000000"/>
      <w:sz w:val="24"/>
      <w:szCs w:val="24"/>
      <w:lang w:eastAsia="en-US"/>
    </w:rPr>
  </w:style>
  <w:style w:type="paragraph" w:customStyle="1" w:styleId="Normlnweb0">
    <w:name w:val="Norm‡ln’ (web)"/>
    <w:aliases w:val="Norm‡ln’ (s’ WWW)"/>
    <w:basedOn w:val="Normln0"/>
    <w:uiPriority w:val="99"/>
    <w:rsid w:val="009854D5"/>
    <w:pPr>
      <w:spacing w:before="100" w:after="100"/>
    </w:pPr>
  </w:style>
  <w:style w:type="paragraph" w:styleId="Revize">
    <w:name w:val="Revision"/>
    <w:hidden/>
    <w:uiPriority w:val="99"/>
    <w:semiHidden/>
    <w:rsid w:val="00A32135"/>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28236AF5-0ED7-456C-B10F-B9B72F146F99}">
  <ds:schemaRefs>
    <ds:schemaRef ds:uri="http://schemas.openxmlformats.org/officeDocument/2006/bibliography"/>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8777</Words>
  <Characters>51786</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Štach Jiří</cp:lastModifiedBy>
  <cp:revision>2</cp:revision>
  <cp:lastPrinted>2022-05-10T08:07:00Z</cp:lastPrinted>
  <dcterms:created xsi:type="dcterms:W3CDTF">2025-11-07T11:49:00Z</dcterms:created>
  <dcterms:modified xsi:type="dcterms:W3CDTF">2025-11-07T11:49:00Z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