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615972" w:rsidRPr="00615972" w:rsidP="00615972" w14:paraId="0372153F" w14:textId="5B031C49">
      <w:pPr>
        <w:tabs>
          <w:tab w:val="right" w:pos="9638"/>
        </w:tabs>
        <w:spacing w:after="0" w:line="276" w:lineRule="auto"/>
        <w:jc w:val="right"/>
        <w:rPr>
          <w:rFonts w:ascii="Arial" w:eastAsia="Calibri" w:hAnsi="Arial" w:cs="Arial"/>
        </w:rPr>
      </w:pPr>
      <w:r w:rsidRPr="00615972">
        <w:rPr>
          <w:rFonts w:ascii="Arial" w:eastAsia="Calibri" w:hAnsi="Arial" w:cs="Arial"/>
        </w:rPr>
        <w:t>Ev. číslo: 2</w:t>
      </w:r>
      <w:r w:rsidR="007C419A">
        <w:rPr>
          <w:rFonts w:ascii="Arial" w:eastAsia="Calibri" w:hAnsi="Arial" w:cs="Arial"/>
        </w:rPr>
        <w:t>5</w:t>
      </w:r>
      <w:r w:rsidRPr="00615972">
        <w:rPr>
          <w:rFonts w:ascii="Arial" w:eastAsia="Calibri" w:hAnsi="Arial" w:cs="Arial"/>
        </w:rPr>
        <w:t>/</w:t>
      </w:r>
      <w:r w:rsidR="008B1C49">
        <w:rPr>
          <w:rFonts w:ascii="Arial" w:eastAsia="Calibri" w:hAnsi="Arial" w:cs="Arial"/>
        </w:rPr>
        <w:t>208</w:t>
      </w:r>
      <w:r w:rsidRPr="00615972">
        <w:rPr>
          <w:rFonts w:ascii="Arial" w:eastAsia="Calibri" w:hAnsi="Arial" w:cs="Arial"/>
        </w:rPr>
        <w:t>-0</w:t>
      </w:r>
    </w:p>
    <w:p w:rsidR="00615972" w:rsidRPr="00EA6636" w:rsidP="00EA6636" w14:paraId="51D3F203" w14:textId="32E445EB">
      <w:pPr>
        <w:tabs>
          <w:tab w:val="right" w:pos="9638"/>
        </w:tabs>
        <w:spacing w:after="240" w:line="276" w:lineRule="auto"/>
        <w:jc w:val="right"/>
        <w:rPr>
          <w:rFonts w:ascii="Arial" w:eastAsia="Calibri" w:hAnsi="Arial" w:cs="Arial"/>
        </w:rPr>
      </w:pPr>
      <w:r w:rsidRPr="00615972">
        <w:rPr>
          <w:rFonts w:ascii="Arial" w:eastAsia="Calibri" w:hAnsi="Arial" w:cs="Arial"/>
          <w:spacing w:val="1"/>
        </w:rPr>
        <w:t xml:space="preserve">Čj. </w:t>
      </w:r>
      <w:r w:rsidRPr="00EA6636" w:rsidR="00EA6636">
        <w:rPr>
          <w:rFonts w:ascii="Arial" w:hAnsi="Arial" w:cs="Arial"/>
        </w:rPr>
        <w:t>41808</w:t>
      </w:r>
      <w:r w:rsidR="007C419A">
        <w:rPr>
          <w:rFonts w:ascii="Arial" w:hAnsi="Arial" w:cs="Arial"/>
        </w:rPr>
        <w:t>-2025-UVCR</w:t>
      </w:r>
      <w:r w:rsidRPr="00615972">
        <w:rPr>
          <w:rFonts w:ascii="Arial" w:eastAsia="Times New Roman" w:hAnsi="Arial" w:cs="Arial"/>
          <w:i/>
        </w:rPr>
        <w:br/>
      </w:r>
    </w:p>
    <w:p w:rsidR="00615972" w:rsidRPr="00615972" w:rsidP="00615972" w14:paraId="4AF83E92" w14:textId="1DDA2801">
      <w:pPr>
        <w:keepNext/>
        <w:spacing w:before="240" w:after="240" w:line="260" w:lineRule="atLeast"/>
        <w:jc w:val="center"/>
        <w:outlineLvl w:val="0"/>
        <w:rPr>
          <w:rFonts w:ascii="Arial" w:eastAsia="Times New Roman" w:hAnsi="Arial" w:cs="Arial"/>
          <w:b/>
          <w:bCs/>
          <w:caps/>
          <w:kern w:val="32"/>
          <w:sz w:val="28"/>
          <w:szCs w:val="28"/>
          <w:lang w:eastAsia="x-none"/>
        </w:rPr>
      </w:pPr>
      <w:r w:rsidRPr="00615972">
        <w:rPr>
          <w:rFonts w:ascii="Arial" w:eastAsia="Times New Roman" w:hAnsi="Arial" w:cs="Arial"/>
          <w:b/>
          <w:bCs/>
          <w:caps/>
          <w:kern w:val="32"/>
          <w:sz w:val="28"/>
          <w:szCs w:val="28"/>
          <w:lang w:eastAsia="x-none"/>
        </w:rPr>
        <w:t>s</w:t>
      </w:r>
      <w:r w:rsidRPr="00615972">
        <w:rPr>
          <w:rFonts w:ascii="Arial" w:eastAsia="Times New Roman" w:hAnsi="Arial" w:cs="Arial"/>
          <w:b/>
          <w:bCs/>
          <w:caps/>
          <w:kern w:val="32"/>
          <w:sz w:val="28"/>
          <w:szCs w:val="28"/>
          <w:lang w:val="x-none" w:eastAsia="x-none"/>
        </w:rPr>
        <w:t>mlouva</w:t>
      </w:r>
      <w:r w:rsidRPr="00615972">
        <w:rPr>
          <w:rFonts w:ascii="Arial" w:eastAsia="Times New Roman" w:hAnsi="Arial" w:cs="Arial"/>
          <w:b/>
          <w:bCs/>
          <w:caps/>
          <w:kern w:val="32"/>
          <w:sz w:val="28"/>
          <w:szCs w:val="28"/>
          <w:lang w:eastAsia="x-none"/>
        </w:rPr>
        <w:t xml:space="preserve"> o poskytování </w:t>
      </w:r>
      <w:r w:rsidR="002D338D">
        <w:rPr>
          <w:rFonts w:ascii="Arial" w:eastAsia="Times New Roman" w:hAnsi="Arial" w:cs="Arial"/>
          <w:b/>
          <w:bCs/>
          <w:caps/>
          <w:kern w:val="32"/>
          <w:sz w:val="28"/>
          <w:szCs w:val="28"/>
          <w:lang w:eastAsia="x-none"/>
        </w:rPr>
        <w:t>služeb</w:t>
      </w:r>
      <w:r w:rsidRPr="00615972">
        <w:rPr>
          <w:rFonts w:ascii="Arial" w:eastAsia="Times New Roman" w:hAnsi="Arial" w:cs="Arial"/>
          <w:b/>
          <w:bCs/>
          <w:caps/>
          <w:kern w:val="32"/>
          <w:sz w:val="28"/>
          <w:szCs w:val="28"/>
          <w:lang w:eastAsia="x-none"/>
        </w:rPr>
        <w:t xml:space="preserve"> </w:t>
      </w:r>
    </w:p>
    <w:p w:rsidR="00615972" w:rsidRPr="00615972" w:rsidP="00615972" w14:paraId="30854CF1" w14:textId="2AC2C777">
      <w:pPr>
        <w:keepNext/>
        <w:spacing w:before="240" w:after="240" w:line="260" w:lineRule="atLeast"/>
        <w:jc w:val="center"/>
        <w:outlineLvl w:val="0"/>
        <w:rPr>
          <w:rFonts w:ascii="Arial" w:eastAsia="Times New Roman" w:hAnsi="Arial" w:cs="Arial"/>
          <w:bCs/>
          <w:kern w:val="32"/>
          <w:sz w:val="28"/>
          <w:szCs w:val="28"/>
          <w:lang w:val="x-none" w:eastAsia="x-none"/>
        </w:rPr>
      </w:pPr>
      <w:r w:rsidRPr="00615972">
        <w:rPr>
          <w:rFonts w:ascii="Arial" w:eastAsia="Times New Roman" w:hAnsi="Arial" w:cs="Arial"/>
          <w:b/>
          <w:bCs/>
          <w:kern w:val="32"/>
          <w:sz w:val="28"/>
          <w:szCs w:val="28"/>
          <w:lang w:val="x-none" w:eastAsia="x-none"/>
        </w:rPr>
        <w:t>„</w:t>
      </w:r>
      <w:r w:rsidRPr="00615972">
        <w:rPr>
          <w:rFonts w:ascii="Arial" w:eastAsia="Calibri" w:hAnsi="Arial" w:cs="Arial"/>
          <w:b/>
        </w:rPr>
        <w:t>Služba Dark Fiber – nábřeží Edvarda Beneše 4</w:t>
      </w:r>
      <w:r w:rsidR="007C419A">
        <w:rPr>
          <w:rFonts w:ascii="Arial" w:eastAsia="Calibri" w:hAnsi="Arial" w:cs="Arial"/>
          <w:b/>
        </w:rPr>
        <w:t xml:space="preserve"> </w:t>
      </w:r>
      <w:r w:rsidRPr="00615972">
        <w:rPr>
          <w:rFonts w:ascii="Arial" w:eastAsia="Calibri" w:hAnsi="Arial" w:cs="Arial"/>
          <w:b/>
          <w:bCs/>
          <w:sz w:val="24"/>
        </w:rPr>
        <w:t xml:space="preserve">- </w:t>
      </w:r>
      <w:r w:rsidRPr="00843F36" w:rsidR="007C419A">
        <w:rPr>
          <w:rFonts w:ascii="Arial" w:hAnsi="Arial" w:cs="Arial"/>
          <w:b/>
          <w:sz w:val="24"/>
          <w:szCs w:val="24"/>
        </w:rPr>
        <w:t>Jindřišská 967/34</w:t>
      </w:r>
      <w:r w:rsidRPr="00615972">
        <w:rPr>
          <w:rFonts w:ascii="Arial" w:eastAsia="Times New Roman" w:hAnsi="Arial" w:cs="Arial"/>
          <w:b/>
          <w:bCs/>
          <w:kern w:val="32"/>
          <w:sz w:val="28"/>
          <w:szCs w:val="28"/>
          <w:lang w:val="x-none" w:eastAsia="x-none"/>
        </w:rPr>
        <w:t>“</w:t>
      </w:r>
    </w:p>
    <w:p w:rsidR="00615972" w:rsidRPr="00615972" w:rsidP="00615972" w14:paraId="04E59498" w14:textId="5DE226AF">
      <w:pPr>
        <w:spacing w:after="240" w:line="260" w:lineRule="atLeast"/>
        <w:jc w:val="center"/>
        <w:rPr>
          <w:rFonts w:ascii="Arial" w:eastAsia="Calibri" w:hAnsi="Arial" w:cs="Arial"/>
        </w:rPr>
      </w:pPr>
      <w:r w:rsidRPr="00615972">
        <w:rPr>
          <w:rFonts w:ascii="Arial" w:eastAsia="Calibri" w:hAnsi="Arial" w:cs="Arial"/>
        </w:rPr>
        <w:t>uzavřená podle § 1746 odst. 2 zákona č. 89/2012 Sb., občanský zákoník, ve znění pozdějších předpisů (dále jen „občanský zákoník“), a dle zákona č. 121/2000 Sb., zákona o</w:t>
      </w:r>
      <w:r w:rsidR="00821D5E">
        <w:rPr>
          <w:rFonts w:ascii="Arial" w:eastAsia="Calibri" w:hAnsi="Arial" w:cs="Arial"/>
        </w:rPr>
        <w:t> </w:t>
      </w:r>
      <w:r w:rsidRPr="00615972">
        <w:rPr>
          <w:rFonts w:ascii="Arial" w:eastAsia="Calibri" w:hAnsi="Arial" w:cs="Arial"/>
        </w:rPr>
        <w:t>právu autorském, o právech souvisejících s právem autorským a o změně některých zákonů, ve znění pozdějších předpisů,</w:t>
      </w:r>
      <w:r w:rsidRPr="00615972">
        <w:rPr>
          <w:rFonts w:ascii="Arial" w:eastAsia="Calibri" w:hAnsi="Arial" w:cs="Arial"/>
        </w:rPr>
        <w:br/>
        <w:t>(dále jen „autorský zákon“)</w:t>
      </w:r>
    </w:p>
    <w:p w:rsidR="00615972" w:rsidRPr="00615972" w:rsidP="00615972" w14:paraId="768232EE" w14:textId="77777777">
      <w:pPr>
        <w:spacing w:before="240" w:after="240" w:line="260" w:lineRule="atLeast"/>
        <w:jc w:val="center"/>
        <w:rPr>
          <w:rFonts w:ascii="Arial" w:eastAsia="Calibri" w:hAnsi="Arial" w:cs="Arial"/>
          <w:b/>
        </w:rPr>
      </w:pPr>
      <w:r w:rsidRPr="00615972">
        <w:rPr>
          <w:rFonts w:ascii="Arial" w:eastAsia="Calibri" w:hAnsi="Arial" w:cs="Arial"/>
          <w:b/>
        </w:rPr>
        <w:t>Smluvní strany</w:t>
      </w:r>
    </w:p>
    <w:p w:rsidR="00615972" w:rsidRPr="00615972" w:rsidP="00615972" w14:paraId="7BE8B8A3" w14:textId="77777777">
      <w:pPr>
        <w:spacing w:before="240" w:after="240" w:line="260" w:lineRule="atLeast"/>
        <w:rPr>
          <w:rFonts w:ascii="Arial" w:eastAsia="Calibri" w:hAnsi="Arial" w:cs="Arial"/>
          <w:b/>
        </w:rPr>
      </w:pPr>
      <w:r w:rsidRPr="00615972">
        <w:rPr>
          <w:rFonts w:ascii="Arial" w:eastAsia="Calibri" w:hAnsi="Arial" w:cs="Arial"/>
          <w:b/>
        </w:rPr>
        <w:t>Česká republika – Úřad vlády České republiky</w:t>
      </w:r>
    </w:p>
    <w:p w:rsidR="007C419A" w:rsidRPr="007C419A" w:rsidP="007C419A" w14:paraId="2814ABE8" w14:textId="77777777">
      <w:pPr>
        <w:spacing w:after="240" w:line="260" w:lineRule="atLeast"/>
        <w:ind w:left="2124" w:hanging="2124"/>
        <w:contextualSpacing/>
        <w:jc w:val="both"/>
        <w:rPr>
          <w:rFonts w:ascii="Arial" w:eastAsia="Calibri" w:hAnsi="Arial" w:cs="Arial"/>
        </w:rPr>
      </w:pPr>
      <w:r w:rsidRPr="00615972">
        <w:rPr>
          <w:rFonts w:ascii="Arial" w:eastAsia="Calibri" w:hAnsi="Arial" w:cs="Arial"/>
        </w:rPr>
        <w:t>kterou zastupuje:</w:t>
      </w:r>
      <w:r w:rsidRPr="00615972">
        <w:rPr>
          <w:rFonts w:ascii="Arial" w:eastAsia="Calibri" w:hAnsi="Arial" w:cs="Arial"/>
        </w:rPr>
        <w:tab/>
      </w:r>
      <w:r w:rsidRPr="007C419A">
        <w:rPr>
          <w:rFonts w:ascii="Arial" w:eastAsia="Calibri" w:hAnsi="Arial" w:cs="Arial"/>
        </w:rPr>
        <w:t>Ing. Jitka Křupková, ředitelka Odboru informatiky, na základě vnitřního předpisu</w:t>
      </w:r>
    </w:p>
    <w:p w:rsidR="00F01A84" w:rsidP="00F01A84" w14:paraId="2C9EC065" w14:textId="65C81B21">
      <w:pPr>
        <w:spacing w:after="240" w:line="240" w:lineRule="auto"/>
        <w:ind w:left="2268" w:hanging="2268"/>
        <w:contextualSpacing/>
        <w:rPr>
          <w:rFonts w:ascii="Arial" w:eastAsia="Arial" w:hAnsi="Arial" w:cs="Arial"/>
        </w:rPr>
      </w:pPr>
      <w:r w:rsidRPr="00615972">
        <w:rPr>
          <w:rFonts w:ascii="Arial" w:eastAsia="Calibri" w:hAnsi="Arial" w:cs="Arial"/>
        </w:rPr>
        <w:t xml:space="preserve">kontaktní </w:t>
      </w:r>
      <w:r w:rsidRPr="00615972">
        <w:rPr>
          <w:rFonts w:ascii="Arial" w:eastAsia="Calibri" w:hAnsi="Arial" w:cs="Arial"/>
        </w:rPr>
        <w:t>osoba:</w:t>
      </w:r>
      <w:r>
        <w:rPr>
          <w:rFonts w:ascii="Arial" w:eastAsia="Calibri" w:hAnsi="Arial" w:cs="Arial"/>
        </w:rPr>
        <w:t xml:space="preserve">   </w:t>
      </w:r>
      <w:r>
        <w:rPr>
          <w:rFonts w:ascii="Arial" w:eastAsia="Calibri" w:hAnsi="Arial" w:cs="Arial"/>
        </w:rPr>
        <w:t xml:space="preserve">     </w:t>
      </w:r>
      <w:r>
        <w:rPr>
          <w:rFonts w:ascii="Arial" w:hAnsi="Arial" w:cs="Arial"/>
        </w:rPr>
        <w:t>Mgr. Ivan Metelka</w:t>
      </w:r>
      <w:r>
        <w:rPr>
          <w:rFonts w:ascii="Arial" w:eastAsia="Arial" w:hAnsi="Arial" w:cs="Arial"/>
          <w:i/>
        </w:rPr>
        <w:t xml:space="preserve">, </w:t>
      </w:r>
      <w:r>
        <w:rPr>
          <w:rFonts w:ascii="Arial" w:eastAsia="Arial" w:hAnsi="Arial" w:cs="Arial"/>
        </w:rPr>
        <w:t xml:space="preserve">e-mail: </w:t>
      </w:r>
      <w:r w:rsidR="008715F2">
        <w:rPr>
          <w:rFonts w:ascii="Arial" w:hAnsi="Arial" w:cs="Arial"/>
        </w:rPr>
        <w:t>XXXXX</w:t>
      </w:r>
      <w:r>
        <w:rPr>
          <w:rFonts w:ascii="Arial" w:eastAsia="Arial" w:hAnsi="Arial" w:cs="Arial"/>
        </w:rPr>
        <w:t xml:space="preserve">, </w:t>
      </w:r>
    </w:p>
    <w:p w:rsidR="00F01A84" w:rsidP="00F01A84" w14:paraId="61479B56" w14:textId="4FFD89DB">
      <w:pPr>
        <w:spacing w:after="0" w:line="240" w:lineRule="auto"/>
        <w:ind w:left="2268" w:hanging="2268"/>
        <w:contextualSpacing/>
        <w:rPr>
          <w:rFonts w:ascii="Arial" w:hAnsi="Arial" w:cs="Arial"/>
        </w:rPr>
      </w:pPr>
      <w:r>
        <w:rPr>
          <w:rFonts w:ascii="Arial" w:eastAsia="Arial" w:hAnsi="Arial" w:cs="Arial"/>
        </w:rPr>
        <w:t xml:space="preserve">                                   tel.: </w:t>
      </w:r>
      <w:r w:rsidR="008715F2">
        <w:rPr>
          <w:rFonts w:ascii="Arial" w:hAnsi="Arial" w:cs="Arial"/>
        </w:rPr>
        <w:t>XXXXX</w:t>
      </w:r>
    </w:p>
    <w:p w:rsidR="00615972" w:rsidRPr="00615972" w:rsidP="00615972" w14:paraId="04C850DA" w14:textId="79DF23A7">
      <w:pPr>
        <w:spacing w:after="240" w:line="260" w:lineRule="atLeast"/>
        <w:contextualSpacing/>
        <w:jc w:val="both"/>
        <w:rPr>
          <w:rFonts w:ascii="Arial" w:eastAsia="Calibri" w:hAnsi="Arial" w:cs="Arial"/>
        </w:rPr>
      </w:pPr>
      <w:r w:rsidRPr="00615972">
        <w:rPr>
          <w:rFonts w:ascii="Arial" w:eastAsia="Calibri" w:hAnsi="Arial" w:cs="Arial"/>
        </w:rPr>
        <w:t>se sídlem:</w:t>
      </w:r>
      <w:r w:rsidRPr="00615972">
        <w:rPr>
          <w:rFonts w:ascii="Arial" w:eastAsia="Calibri" w:hAnsi="Arial" w:cs="Arial"/>
        </w:rPr>
        <w:tab/>
      </w:r>
      <w:r w:rsidRPr="00615972">
        <w:rPr>
          <w:rFonts w:ascii="Arial" w:eastAsia="Calibri" w:hAnsi="Arial" w:cs="Arial"/>
        </w:rPr>
        <w:tab/>
        <w:t>nábřeží Edvarda Beneše 128/4, 118 0</w:t>
      </w:r>
      <w:r w:rsidR="007C419A">
        <w:rPr>
          <w:rFonts w:ascii="Arial" w:eastAsia="Calibri" w:hAnsi="Arial" w:cs="Arial"/>
        </w:rPr>
        <w:t>0</w:t>
      </w:r>
      <w:r w:rsidRPr="00615972">
        <w:rPr>
          <w:rFonts w:ascii="Arial" w:eastAsia="Calibri" w:hAnsi="Arial" w:cs="Arial"/>
        </w:rPr>
        <w:t xml:space="preserve"> Praha 1 - Malá Strana</w:t>
      </w:r>
    </w:p>
    <w:p w:rsidR="00615972" w:rsidRPr="00615972" w:rsidP="00615972" w14:paraId="13D26994" w14:textId="77777777">
      <w:pPr>
        <w:spacing w:after="240" w:line="260" w:lineRule="atLeast"/>
        <w:contextualSpacing/>
        <w:jc w:val="both"/>
        <w:rPr>
          <w:rFonts w:ascii="Arial" w:eastAsia="Calibri" w:hAnsi="Arial" w:cs="Arial"/>
          <w:snapToGrid w:val="0"/>
        </w:rPr>
      </w:pPr>
      <w:r w:rsidRPr="00615972">
        <w:rPr>
          <w:rFonts w:ascii="Arial" w:eastAsia="Calibri" w:hAnsi="Arial" w:cs="Arial"/>
        </w:rPr>
        <w:t>IČO:</w:t>
      </w:r>
      <w:r w:rsidRPr="00615972">
        <w:rPr>
          <w:rFonts w:ascii="Arial" w:eastAsia="Calibri" w:hAnsi="Arial" w:cs="Arial"/>
        </w:rPr>
        <w:tab/>
      </w:r>
      <w:r w:rsidRPr="00615972">
        <w:rPr>
          <w:rFonts w:ascii="Arial" w:eastAsia="Calibri" w:hAnsi="Arial" w:cs="Arial"/>
        </w:rPr>
        <w:tab/>
      </w:r>
      <w:r w:rsidRPr="00615972">
        <w:rPr>
          <w:rFonts w:ascii="Arial" w:eastAsia="Calibri" w:hAnsi="Arial" w:cs="Arial"/>
        </w:rPr>
        <w:tab/>
        <w:t>00006599</w:t>
      </w:r>
    </w:p>
    <w:p w:rsidR="00615972" w:rsidRPr="00615972" w:rsidP="00615972" w14:paraId="0A2916F4" w14:textId="77777777">
      <w:pPr>
        <w:spacing w:after="240" w:line="260" w:lineRule="atLeast"/>
        <w:contextualSpacing/>
        <w:jc w:val="both"/>
        <w:rPr>
          <w:rFonts w:ascii="Arial" w:eastAsia="Calibri" w:hAnsi="Arial" w:cs="Arial"/>
        </w:rPr>
      </w:pPr>
      <w:r w:rsidRPr="00615972">
        <w:rPr>
          <w:rFonts w:ascii="Arial" w:eastAsia="Calibri" w:hAnsi="Arial" w:cs="Arial"/>
          <w:snapToGrid w:val="0"/>
        </w:rPr>
        <w:t xml:space="preserve">DIČ: </w:t>
      </w:r>
      <w:r w:rsidRPr="00615972">
        <w:rPr>
          <w:rFonts w:ascii="Arial" w:eastAsia="Calibri" w:hAnsi="Arial" w:cs="Arial"/>
          <w:snapToGrid w:val="0"/>
        </w:rPr>
        <w:tab/>
      </w:r>
      <w:r w:rsidRPr="00615972">
        <w:rPr>
          <w:rFonts w:ascii="Arial" w:eastAsia="Calibri" w:hAnsi="Arial" w:cs="Arial"/>
          <w:snapToGrid w:val="0"/>
        </w:rPr>
        <w:tab/>
      </w:r>
      <w:r w:rsidRPr="00615972">
        <w:rPr>
          <w:rFonts w:ascii="Arial" w:eastAsia="Calibri" w:hAnsi="Arial" w:cs="Arial"/>
          <w:snapToGrid w:val="0"/>
        </w:rPr>
        <w:tab/>
        <w:t>CZ00006599</w:t>
      </w:r>
    </w:p>
    <w:p w:rsidR="00615972" w:rsidRPr="00615972" w:rsidP="00615972" w14:paraId="65624D5B" w14:textId="77777777">
      <w:pPr>
        <w:spacing w:after="240" w:line="260" w:lineRule="atLeast"/>
        <w:jc w:val="both"/>
        <w:rPr>
          <w:rFonts w:ascii="Arial" w:eastAsia="Calibri" w:hAnsi="Arial" w:cs="Arial"/>
        </w:rPr>
      </w:pPr>
      <w:r w:rsidRPr="00615972">
        <w:rPr>
          <w:rFonts w:ascii="Arial" w:eastAsia="Calibri" w:hAnsi="Arial" w:cs="Arial"/>
        </w:rPr>
        <w:t xml:space="preserve">bankovní spojení: </w:t>
      </w:r>
      <w:r w:rsidRPr="00615972">
        <w:rPr>
          <w:rFonts w:ascii="Arial" w:eastAsia="Calibri" w:hAnsi="Arial" w:cs="Arial"/>
        </w:rPr>
        <w:tab/>
        <w:t>ČNB Praha, účet č.: 4320001/0710</w:t>
      </w:r>
    </w:p>
    <w:p w:rsidR="00615972" w:rsidRPr="00615972" w:rsidP="00D47F0E" w14:paraId="026EA808" w14:textId="36DDE37D">
      <w:pPr>
        <w:spacing w:after="240" w:line="260" w:lineRule="atLeast"/>
        <w:rPr>
          <w:rFonts w:ascii="Arial" w:eastAsia="Calibri" w:hAnsi="Arial" w:cs="Arial"/>
        </w:rPr>
      </w:pPr>
      <w:r w:rsidRPr="00615972">
        <w:rPr>
          <w:rFonts w:ascii="Arial" w:eastAsia="Calibri" w:hAnsi="Arial" w:cs="Arial"/>
        </w:rPr>
        <w:t>(dále jen „</w:t>
      </w:r>
      <w:r w:rsidRPr="00615972">
        <w:rPr>
          <w:rFonts w:ascii="Arial" w:eastAsia="Calibri" w:hAnsi="Arial" w:cs="Arial"/>
          <w:b/>
        </w:rPr>
        <w:t>objednatel</w:t>
      </w:r>
      <w:r w:rsidRPr="00615972">
        <w:rPr>
          <w:rFonts w:ascii="Arial" w:eastAsia="Calibri" w:hAnsi="Arial" w:cs="Arial"/>
        </w:rPr>
        <w:t>“)</w:t>
      </w:r>
    </w:p>
    <w:p w:rsidR="00655F57" w:rsidP="00615972" w14:paraId="501E46A5" w14:textId="07774F75">
      <w:pPr>
        <w:spacing w:after="240" w:line="240" w:lineRule="auto"/>
        <w:rPr>
          <w:rFonts w:ascii="Arial" w:eastAsia="Calibri" w:hAnsi="Arial" w:cs="Arial"/>
        </w:rPr>
      </w:pPr>
      <w:r>
        <w:rPr>
          <w:rFonts w:ascii="Arial" w:eastAsia="Calibri" w:hAnsi="Arial" w:cs="Arial"/>
        </w:rPr>
        <w:t>a</w:t>
      </w:r>
    </w:p>
    <w:p w:rsidR="00655F57" w:rsidRPr="00655F57" w:rsidP="00615972" w14:paraId="51DE6C3C" w14:textId="3A8F923E">
      <w:pPr>
        <w:spacing w:after="240" w:line="240" w:lineRule="auto"/>
        <w:rPr>
          <w:rFonts w:ascii="Arial" w:eastAsia="Calibri" w:hAnsi="Arial" w:cs="Arial"/>
          <w:b/>
          <w:bCs/>
        </w:rPr>
      </w:pPr>
      <w:r w:rsidRPr="00655F57">
        <w:rPr>
          <w:rFonts w:ascii="Arial" w:eastAsia="Calibri" w:hAnsi="Arial" w:cs="Arial"/>
          <w:b/>
          <w:bCs/>
        </w:rPr>
        <w:t>CETIN a.s.</w:t>
      </w:r>
    </w:p>
    <w:p w:rsidR="00615972" w:rsidRPr="00797694" w:rsidP="00615972" w14:paraId="5C307DBF" w14:textId="394E49F4">
      <w:pPr>
        <w:spacing w:after="240" w:line="240" w:lineRule="auto"/>
        <w:ind w:left="2127" w:hanging="2127"/>
        <w:contextualSpacing/>
        <w:rPr>
          <w:rFonts w:ascii="Arial" w:eastAsia="Calibri" w:hAnsi="Arial" w:cs="Arial"/>
          <w:iCs/>
        </w:rPr>
      </w:pPr>
      <w:r w:rsidRPr="00615972">
        <w:rPr>
          <w:rFonts w:ascii="Arial" w:eastAsia="Calibri" w:hAnsi="Arial" w:cs="Arial"/>
        </w:rPr>
        <w:t>kterou zastupuje:</w:t>
      </w:r>
      <w:r w:rsidRPr="00615972">
        <w:rPr>
          <w:rFonts w:ascii="Arial" w:eastAsia="Calibri" w:hAnsi="Arial" w:cs="Arial"/>
        </w:rPr>
        <w:tab/>
      </w:r>
      <w:r w:rsidRPr="00655F57" w:rsidR="00797694">
        <w:rPr>
          <w:rFonts w:ascii="Arial" w:eastAsia="Calibri" w:hAnsi="Arial" w:cs="Arial"/>
          <w:iCs/>
        </w:rPr>
        <w:t>Naděžda Nedomlelová</w:t>
      </w:r>
      <w:r w:rsidRPr="00655F57">
        <w:rPr>
          <w:rFonts w:ascii="Arial" w:eastAsia="Calibri" w:hAnsi="Arial" w:cs="Arial"/>
          <w:iCs/>
        </w:rPr>
        <w:t xml:space="preserve">, </w:t>
      </w:r>
      <w:r w:rsidRPr="00797694">
        <w:rPr>
          <w:rFonts w:ascii="Arial" w:eastAsia="Calibri" w:hAnsi="Arial" w:cs="Arial"/>
          <w:iCs/>
        </w:rPr>
        <w:t xml:space="preserve">na základě </w:t>
      </w:r>
      <w:r w:rsidRPr="00655F57" w:rsidR="00797694">
        <w:rPr>
          <w:rFonts w:ascii="Arial" w:eastAsia="Calibri" w:hAnsi="Arial" w:cs="Arial"/>
          <w:iCs/>
        </w:rPr>
        <w:t>pověření ze dne 19.6. 2024</w:t>
      </w:r>
      <w:r w:rsidRPr="00797694">
        <w:rPr>
          <w:rFonts w:ascii="Arial" w:eastAsia="Calibri" w:hAnsi="Arial" w:cs="Arial"/>
          <w:iCs/>
        </w:rPr>
        <w:t xml:space="preserve"> </w:t>
      </w:r>
    </w:p>
    <w:p w:rsidR="00E61ADD" w:rsidP="00615972" w14:paraId="48846878" w14:textId="0B77E4B2">
      <w:pPr>
        <w:spacing w:after="240" w:line="240" w:lineRule="auto"/>
        <w:ind w:left="2127" w:hanging="2127"/>
        <w:contextualSpacing/>
        <w:rPr>
          <w:rFonts w:ascii="Arial" w:eastAsia="Calibri" w:hAnsi="Arial" w:cs="Arial"/>
          <w:iCs/>
        </w:rPr>
      </w:pPr>
      <w:r w:rsidRPr="00797694">
        <w:rPr>
          <w:rFonts w:ascii="Arial" w:eastAsia="Calibri" w:hAnsi="Arial" w:cs="Arial"/>
          <w:iCs/>
        </w:rPr>
        <w:t>kontaktní osoba:</w:t>
      </w:r>
      <w:r w:rsidRPr="00797694">
        <w:rPr>
          <w:rFonts w:ascii="Arial" w:eastAsia="Calibri" w:hAnsi="Arial" w:cs="Arial"/>
          <w:iCs/>
        </w:rPr>
        <w:tab/>
      </w:r>
      <w:r w:rsidRPr="00655F57" w:rsidR="00797694">
        <w:rPr>
          <w:rFonts w:ascii="Arial" w:eastAsia="Calibri" w:hAnsi="Arial" w:cs="Arial"/>
          <w:iCs/>
        </w:rPr>
        <w:t>Martin Patočka</w:t>
      </w:r>
      <w:r w:rsidRPr="00655F57">
        <w:rPr>
          <w:rFonts w:ascii="Arial" w:eastAsia="Calibri" w:hAnsi="Arial" w:cs="Arial"/>
          <w:iCs/>
        </w:rPr>
        <w:t>,</w:t>
      </w:r>
    </w:p>
    <w:p w:rsidR="00615972" w:rsidRPr="00797694" w:rsidP="00615972" w14:paraId="4B54ECB7" w14:textId="2CA31F54">
      <w:pPr>
        <w:spacing w:after="240" w:line="240" w:lineRule="auto"/>
        <w:ind w:left="2127" w:hanging="2127"/>
        <w:contextualSpacing/>
        <w:rPr>
          <w:rFonts w:ascii="Arial" w:eastAsia="Calibri" w:hAnsi="Arial" w:cs="Arial"/>
          <w:iCs/>
        </w:rPr>
      </w:pPr>
      <w:r>
        <w:rPr>
          <w:rFonts w:ascii="Arial" w:eastAsia="Calibri" w:hAnsi="Arial" w:cs="Arial"/>
          <w:iCs/>
        </w:rPr>
        <w:t xml:space="preserve">                                  </w:t>
      </w:r>
      <w:r w:rsidRPr="00655F57">
        <w:rPr>
          <w:rFonts w:ascii="Arial" w:eastAsia="Calibri" w:hAnsi="Arial" w:cs="Arial"/>
          <w:iCs/>
        </w:rPr>
        <w:t xml:space="preserve"> </w:t>
      </w:r>
      <w:r w:rsidRPr="00797694">
        <w:rPr>
          <w:rFonts w:ascii="Arial" w:eastAsia="Calibri" w:hAnsi="Arial" w:cs="Arial"/>
          <w:iCs/>
        </w:rPr>
        <w:t>e-mail:</w:t>
      </w:r>
      <w:r w:rsidRPr="00655F57">
        <w:rPr>
          <w:rFonts w:ascii="Arial" w:eastAsia="Calibri" w:hAnsi="Arial" w:cs="Arial"/>
          <w:iCs/>
        </w:rPr>
        <w:t xml:space="preserve"> </w:t>
      </w:r>
      <w:r w:rsidR="008715F2">
        <w:rPr>
          <w:rFonts w:ascii="Arial" w:hAnsi="Arial" w:cs="Arial"/>
        </w:rPr>
        <w:t>XXXXX</w:t>
      </w:r>
      <w:r w:rsidRPr="00655F57">
        <w:rPr>
          <w:rFonts w:ascii="Arial" w:eastAsia="Calibri" w:hAnsi="Arial" w:cs="Arial"/>
          <w:iCs/>
        </w:rPr>
        <w:t>,</w:t>
      </w:r>
      <w:r>
        <w:rPr>
          <w:rFonts w:ascii="Arial" w:eastAsia="Calibri" w:hAnsi="Arial" w:cs="Arial"/>
          <w:iCs/>
        </w:rPr>
        <w:t xml:space="preserve"> </w:t>
      </w:r>
      <w:r w:rsidRPr="00797694">
        <w:rPr>
          <w:rFonts w:ascii="Arial" w:eastAsia="Calibri" w:hAnsi="Arial" w:cs="Arial"/>
          <w:iCs/>
        </w:rPr>
        <w:t>tel.:</w:t>
      </w:r>
      <w:r w:rsidRPr="00655F57">
        <w:rPr>
          <w:rFonts w:ascii="Arial" w:eastAsia="Calibri" w:hAnsi="Arial" w:cs="Arial"/>
          <w:iCs/>
        </w:rPr>
        <w:t xml:space="preserve"> </w:t>
      </w:r>
      <w:r w:rsidR="008715F2">
        <w:rPr>
          <w:rFonts w:ascii="Arial" w:hAnsi="Arial" w:cs="Arial"/>
        </w:rPr>
        <w:t>XXXXX</w:t>
      </w:r>
    </w:p>
    <w:p w:rsidR="00615972" w:rsidRPr="00797694" w:rsidP="00615972" w14:paraId="140A0AA4" w14:textId="70584503">
      <w:pPr>
        <w:spacing w:after="240" w:line="240" w:lineRule="auto"/>
        <w:contextualSpacing/>
        <w:rPr>
          <w:rFonts w:ascii="Arial" w:eastAsia="Calibri" w:hAnsi="Arial" w:cs="Arial"/>
          <w:iCs/>
        </w:rPr>
      </w:pPr>
      <w:r w:rsidRPr="00797694">
        <w:rPr>
          <w:rFonts w:ascii="Arial" w:eastAsia="Calibri" w:hAnsi="Arial" w:cs="Arial"/>
          <w:iCs/>
        </w:rPr>
        <w:t>se sídlem:</w:t>
      </w:r>
      <w:r w:rsidRPr="00797694">
        <w:rPr>
          <w:rFonts w:ascii="Arial" w:eastAsia="Calibri" w:hAnsi="Arial" w:cs="Arial"/>
          <w:iCs/>
        </w:rPr>
        <w:tab/>
      </w:r>
      <w:r w:rsidRPr="00797694">
        <w:rPr>
          <w:rFonts w:ascii="Arial" w:eastAsia="Calibri" w:hAnsi="Arial" w:cs="Arial"/>
          <w:iCs/>
        </w:rPr>
        <w:tab/>
      </w:r>
      <w:r w:rsidR="0045621F">
        <w:rPr>
          <w:rFonts w:ascii="Arial" w:eastAsia="Calibri" w:hAnsi="Arial" w:cs="Arial"/>
          <w:iCs/>
        </w:rPr>
        <w:t>Českomoravská 2510/19, Praha 9 – Libeň</w:t>
      </w:r>
    </w:p>
    <w:p w:rsidR="00615972" w:rsidRPr="00797694" w:rsidP="00615972" w14:paraId="6046E71B" w14:textId="055C8293">
      <w:pPr>
        <w:spacing w:after="240" w:line="240" w:lineRule="auto"/>
        <w:contextualSpacing/>
        <w:rPr>
          <w:rFonts w:ascii="Arial" w:eastAsia="Calibri" w:hAnsi="Arial" w:cs="Arial"/>
          <w:iCs/>
        </w:rPr>
      </w:pPr>
      <w:r w:rsidRPr="00797694">
        <w:rPr>
          <w:rFonts w:ascii="Arial" w:eastAsia="Calibri" w:hAnsi="Arial" w:cs="Arial"/>
          <w:iCs/>
        </w:rPr>
        <w:t>IČO:</w:t>
      </w:r>
      <w:r w:rsidRPr="00797694">
        <w:rPr>
          <w:rFonts w:ascii="Arial" w:eastAsia="Calibri" w:hAnsi="Arial" w:cs="Arial"/>
          <w:iCs/>
        </w:rPr>
        <w:tab/>
      </w:r>
      <w:r w:rsidRPr="00797694">
        <w:rPr>
          <w:rFonts w:ascii="Arial" w:eastAsia="Calibri" w:hAnsi="Arial" w:cs="Arial"/>
          <w:iCs/>
        </w:rPr>
        <w:tab/>
      </w:r>
      <w:r w:rsidRPr="00797694">
        <w:rPr>
          <w:rFonts w:ascii="Arial" w:eastAsia="Calibri" w:hAnsi="Arial" w:cs="Arial"/>
          <w:iCs/>
        </w:rPr>
        <w:tab/>
      </w:r>
      <w:r w:rsidR="0045621F">
        <w:rPr>
          <w:rFonts w:ascii="Arial" w:eastAsia="Calibri" w:hAnsi="Arial" w:cs="Arial"/>
          <w:iCs/>
        </w:rPr>
        <w:t>04084063</w:t>
      </w:r>
    </w:p>
    <w:p w:rsidR="00615972" w:rsidRPr="00797694" w:rsidP="00615972" w14:paraId="1B1CD31F" w14:textId="4909E5E4">
      <w:pPr>
        <w:spacing w:after="240" w:line="240" w:lineRule="auto"/>
        <w:contextualSpacing/>
        <w:rPr>
          <w:rFonts w:ascii="Arial" w:eastAsia="Calibri" w:hAnsi="Arial" w:cs="Arial"/>
          <w:iCs/>
        </w:rPr>
      </w:pPr>
      <w:r w:rsidRPr="00797694">
        <w:rPr>
          <w:rFonts w:ascii="Arial" w:eastAsia="Calibri" w:hAnsi="Arial" w:cs="Arial"/>
          <w:iCs/>
        </w:rPr>
        <w:t>DIČ:</w:t>
      </w:r>
      <w:r w:rsidRPr="00797694">
        <w:rPr>
          <w:rFonts w:ascii="Arial" w:eastAsia="Calibri" w:hAnsi="Arial" w:cs="Arial"/>
          <w:iCs/>
        </w:rPr>
        <w:tab/>
      </w:r>
      <w:r w:rsidRPr="00797694">
        <w:rPr>
          <w:rFonts w:ascii="Arial" w:eastAsia="Calibri" w:hAnsi="Arial" w:cs="Arial"/>
          <w:iCs/>
        </w:rPr>
        <w:tab/>
      </w:r>
      <w:r w:rsidRPr="00797694">
        <w:rPr>
          <w:rFonts w:ascii="Arial" w:eastAsia="Calibri" w:hAnsi="Arial" w:cs="Arial"/>
          <w:iCs/>
        </w:rPr>
        <w:tab/>
      </w:r>
      <w:r w:rsidR="0045621F">
        <w:rPr>
          <w:rFonts w:ascii="Arial" w:eastAsia="Calibri" w:hAnsi="Arial" w:cs="Arial"/>
          <w:iCs/>
        </w:rPr>
        <w:t>CZ04084063</w:t>
      </w:r>
      <w:r w:rsidRPr="00797694">
        <w:rPr>
          <w:rFonts w:ascii="Arial" w:eastAsia="Calibri" w:hAnsi="Arial" w:cs="Arial"/>
          <w:iCs/>
        </w:rPr>
        <w:t xml:space="preserve"> </w:t>
      </w:r>
    </w:p>
    <w:p w:rsidR="00615972" w:rsidRPr="00797694" w:rsidP="00615972" w14:paraId="3BDC1DB6" w14:textId="58832371">
      <w:pPr>
        <w:spacing w:after="240" w:line="240" w:lineRule="auto"/>
        <w:contextualSpacing/>
        <w:rPr>
          <w:rFonts w:ascii="Arial" w:eastAsia="Calibri" w:hAnsi="Arial" w:cs="Arial"/>
          <w:iCs/>
        </w:rPr>
      </w:pPr>
      <w:r w:rsidRPr="00797694">
        <w:rPr>
          <w:rFonts w:ascii="Arial" w:eastAsia="Calibri" w:hAnsi="Arial" w:cs="Arial"/>
          <w:iCs/>
        </w:rPr>
        <w:t>bankovní spojení:</w:t>
      </w:r>
      <w:r w:rsidRPr="00797694">
        <w:rPr>
          <w:rFonts w:ascii="Arial" w:eastAsia="Calibri" w:hAnsi="Arial" w:cs="Arial"/>
          <w:iCs/>
        </w:rPr>
        <w:tab/>
      </w:r>
      <w:r w:rsidRPr="00655F57" w:rsidR="0045621F">
        <w:rPr>
          <w:rFonts w:ascii="Arial" w:eastAsia="Calibri" w:hAnsi="Arial" w:cs="Arial"/>
          <w:iCs/>
        </w:rPr>
        <w:t>PPF banka a.s.</w:t>
      </w:r>
      <w:r w:rsidRPr="00655F57">
        <w:rPr>
          <w:rFonts w:ascii="Arial" w:eastAsia="Calibri" w:hAnsi="Arial" w:cs="Arial"/>
          <w:iCs/>
        </w:rPr>
        <w:t xml:space="preserve">, </w:t>
      </w:r>
      <w:r w:rsidRPr="00797694">
        <w:rPr>
          <w:rFonts w:ascii="Arial" w:eastAsia="Calibri" w:hAnsi="Arial" w:cs="Arial"/>
          <w:iCs/>
        </w:rPr>
        <w:t xml:space="preserve">účet č.: </w:t>
      </w:r>
      <w:r w:rsidR="0045621F">
        <w:rPr>
          <w:rFonts w:ascii="Arial" w:eastAsia="Calibri" w:hAnsi="Arial" w:cs="Arial"/>
          <w:iCs/>
        </w:rPr>
        <w:t>2019160003/6000</w:t>
      </w:r>
    </w:p>
    <w:p w:rsidR="00615972" w:rsidRPr="00797694" w:rsidP="00615972" w14:paraId="066C939B" w14:textId="61A4C4E4">
      <w:pPr>
        <w:spacing w:after="240" w:line="240" w:lineRule="auto"/>
        <w:rPr>
          <w:rFonts w:ascii="Arial" w:eastAsia="Calibri" w:hAnsi="Arial" w:cs="Arial"/>
          <w:iCs/>
        </w:rPr>
      </w:pPr>
      <w:r w:rsidRPr="00797694">
        <w:rPr>
          <w:rFonts w:ascii="Arial" w:eastAsia="Calibri" w:hAnsi="Arial" w:cs="Arial"/>
          <w:iCs/>
        </w:rPr>
        <w:t xml:space="preserve">společnost je zapsaná v Obchodním rejstříku vedeném </w:t>
      </w:r>
      <w:r w:rsidR="0045621F">
        <w:rPr>
          <w:rFonts w:ascii="Arial" w:eastAsia="Calibri" w:hAnsi="Arial" w:cs="Arial"/>
          <w:iCs/>
        </w:rPr>
        <w:t xml:space="preserve">u Městského soudu v Praze, oddíl B, vložka č. </w:t>
      </w:r>
      <w:r w:rsidR="00E61ADD">
        <w:rPr>
          <w:rFonts w:ascii="Arial" w:eastAsia="Calibri" w:hAnsi="Arial" w:cs="Arial"/>
          <w:iCs/>
        </w:rPr>
        <w:t>20623</w:t>
      </w:r>
    </w:p>
    <w:p w:rsidR="00615972" w:rsidRPr="00615972" w:rsidP="00615972" w14:paraId="0E675589" w14:textId="77777777">
      <w:pPr>
        <w:spacing w:after="240" w:line="240" w:lineRule="auto"/>
        <w:rPr>
          <w:rFonts w:ascii="Arial" w:eastAsia="Calibri" w:hAnsi="Arial" w:cs="Arial"/>
        </w:rPr>
      </w:pPr>
      <w:r w:rsidRPr="00615972">
        <w:rPr>
          <w:rFonts w:ascii="Arial" w:eastAsia="Calibri" w:hAnsi="Arial" w:cs="Arial"/>
        </w:rPr>
        <w:t>(dále jen „</w:t>
      </w:r>
      <w:r w:rsidRPr="00615972">
        <w:rPr>
          <w:rFonts w:ascii="Arial" w:eastAsia="Calibri" w:hAnsi="Arial" w:cs="Arial"/>
          <w:b/>
        </w:rPr>
        <w:t>poskytovatel</w:t>
      </w:r>
      <w:r w:rsidRPr="00615972">
        <w:rPr>
          <w:rFonts w:ascii="Arial" w:eastAsia="Calibri" w:hAnsi="Arial" w:cs="Arial"/>
        </w:rPr>
        <w:t>“).</w:t>
      </w:r>
    </w:p>
    <w:p w:rsidR="00615972" w:rsidRPr="00615972" w:rsidP="00615972" w14:paraId="2D493366" w14:textId="231AD2F5">
      <w:pPr>
        <w:spacing w:after="240" w:line="20" w:lineRule="atLeast"/>
        <w:jc w:val="both"/>
        <w:rPr>
          <w:rFonts w:ascii="Arial" w:eastAsia="Calibri" w:hAnsi="Arial" w:cs="Arial"/>
        </w:rPr>
      </w:pPr>
      <w:r w:rsidRPr="00615972">
        <w:rPr>
          <w:rFonts w:ascii="Arial" w:eastAsia="Calibri" w:hAnsi="Arial" w:cs="Arial"/>
        </w:rPr>
        <w:t xml:space="preserve">uzavřely níže uvedeného dne, měsíce a roku v souladu s nabídkou </w:t>
      </w:r>
      <w:r w:rsidRPr="00615972" w:rsidR="007C419A">
        <w:rPr>
          <w:rFonts w:ascii="Arial" w:eastAsia="Calibri" w:hAnsi="Arial" w:cs="Arial"/>
        </w:rPr>
        <w:t>poskytovatele</w:t>
      </w:r>
      <w:r w:rsidRPr="00615972">
        <w:rPr>
          <w:rFonts w:ascii="Arial" w:eastAsia="Calibri" w:hAnsi="Arial" w:cs="Arial"/>
        </w:rPr>
        <w:t xml:space="preserve"> (dále jen „nabídka“) a rozhodnutím objednatele jako zadavatele o výběru nejvýhodnější nabídky ve výběrovém řízení veřejné zakázky sp. zn. </w:t>
      </w:r>
      <w:r w:rsidRPr="007C419A" w:rsidR="007C419A">
        <w:rPr>
          <w:rFonts w:ascii="Arial" w:eastAsia="Calibri" w:hAnsi="Arial" w:cs="Arial"/>
          <w:spacing w:val="1"/>
        </w:rPr>
        <w:t>SPIS-2025-6576</w:t>
      </w:r>
      <w:r w:rsidR="007C419A">
        <w:rPr>
          <w:rFonts w:ascii="Arial" w:eastAsia="Calibri" w:hAnsi="Arial" w:cs="Arial"/>
          <w:spacing w:val="1"/>
        </w:rPr>
        <w:t xml:space="preserve"> </w:t>
      </w:r>
      <w:r w:rsidRPr="00615972">
        <w:rPr>
          <w:rFonts w:ascii="Arial" w:eastAsia="Calibri" w:hAnsi="Arial" w:cs="Arial"/>
        </w:rPr>
        <w:t xml:space="preserve">s názvem „Služba Dark Fiber – </w:t>
      </w:r>
      <w:r w:rsidRPr="00615972">
        <w:rPr>
          <w:rFonts w:ascii="Arial" w:eastAsia="Calibri" w:hAnsi="Arial" w:cs="Arial"/>
        </w:rPr>
        <w:t>nábřeží Edvarda Beneše 4</w:t>
      </w:r>
      <w:r w:rsidR="007C419A">
        <w:rPr>
          <w:rFonts w:ascii="Arial" w:eastAsia="Calibri" w:hAnsi="Arial" w:cs="Arial"/>
        </w:rPr>
        <w:t xml:space="preserve"> -</w:t>
      </w:r>
      <w:r w:rsidRPr="00615972">
        <w:rPr>
          <w:rFonts w:ascii="Arial" w:eastAsia="Calibri" w:hAnsi="Arial" w:cs="Arial"/>
        </w:rPr>
        <w:t xml:space="preserve"> </w:t>
      </w:r>
      <w:bookmarkStart w:id="0" w:name="_Hlk209172036"/>
      <w:r w:rsidRPr="007C419A" w:rsidR="007C419A">
        <w:rPr>
          <w:rFonts w:ascii="Arial" w:eastAsia="Calibri" w:hAnsi="Arial" w:cs="Arial"/>
        </w:rPr>
        <w:t>Jindřišská 967/34</w:t>
      </w:r>
      <w:bookmarkEnd w:id="0"/>
      <w:r w:rsidRPr="00615972">
        <w:rPr>
          <w:rFonts w:ascii="Arial" w:eastAsia="Calibri" w:hAnsi="Arial" w:cs="Arial"/>
        </w:rPr>
        <w:t xml:space="preserve">” </w:t>
      </w:r>
      <w:r w:rsidR="000639CA">
        <w:rPr>
          <w:rFonts w:ascii="Arial" w:eastAsia="Calibri" w:hAnsi="Arial" w:cs="Arial"/>
        </w:rPr>
        <w:t xml:space="preserve">(„dále jen veřejná zakázka“) </w:t>
      </w:r>
      <w:r w:rsidRPr="00615972">
        <w:rPr>
          <w:rFonts w:ascii="Arial" w:eastAsia="Calibri" w:hAnsi="Arial" w:cs="Arial"/>
        </w:rPr>
        <w:t>tuto smlouvu o</w:t>
      </w:r>
      <w:r w:rsidR="000639CA">
        <w:rPr>
          <w:rFonts w:ascii="Arial" w:eastAsia="Calibri" w:hAnsi="Arial" w:cs="Arial"/>
        </w:rPr>
        <w:t> </w:t>
      </w:r>
      <w:r w:rsidRPr="00615972">
        <w:rPr>
          <w:rFonts w:ascii="Arial" w:eastAsia="Calibri" w:hAnsi="Arial" w:cs="Arial"/>
        </w:rPr>
        <w:t xml:space="preserve">poskytování </w:t>
      </w:r>
      <w:r w:rsidR="000639CA">
        <w:rPr>
          <w:rFonts w:ascii="Arial" w:eastAsia="Calibri" w:hAnsi="Arial" w:cs="Arial"/>
        </w:rPr>
        <w:t>služeb</w:t>
      </w:r>
      <w:r w:rsidRPr="00615972">
        <w:rPr>
          <w:rFonts w:ascii="Arial" w:eastAsia="Calibri" w:hAnsi="Arial" w:cs="Arial"/>
        </w:rPr>
        <w:t xml:space="preserve"> (dále jen „smlouva“).</w:t>
      </w:r>
    </w:p>
    <w:p w:rsidR="00615972" w:rsidRPr="00615972" w:rsidP="00615972" w14:paraId="6C45A698" w14:textId="77777777">
      <w:pPr>
        <w:spacing w:after="240" w:line="260" w:lineRule="atLeast"/>
        <w:jc w:val="both"/>
        <w:rPr>
          <w:rFonts w:ascii="Arial" w:eastAsia="Calibri" w:hAnsi="Arial" w:cs="Arial"/>
        </w:rPr>
      </w:pPr>
      <w:r w:rsidRPr="00615972">
        <w:rPr>
          <w:rFonts w:ascii="Arial" w:eastAsia="Calibri" w:hAnsi="Arial" w:cs="Arial"/>
        </w:rPr>
        <w:t>Plnění této smlouvy je veřejnou zakázkou malého rozsahu dle § 27 zákona č. 134/2016 Sb., o zadávání veřejných zakázek, ve znění pozdějších předpisů (dále jen „ZZVZ“).</w:t>
      </w:r>
    </w:p>
    <w:p w:rsidR="00615972" w:rsidRPr="00615972" w:rsidP="007C419A" w14:paraId="47150D8E" w14:textId="77777777">
      <w:pPr>
        <w:numPr>
          <w:ilvl w:val="0"/>
          <w:numId w:val="1"/>
        </w:numPr>
        <w:spacing w:before="240" w:after="120" w:line="240" w:lineRule="auto"/>
        <w:ind w:left="0" w:firstLine="0"/>
        <w:jc w:val="center"/>
        <w:outlineLvl w:val="3"/>
        <w:rPr>
          <w:rFonts w:ascii="Arial" w:eastAsia="Calibri" w:hAnsi="Arial" w:cs="Arial"/>
          <w:b/>
        </w:rPr>
      </w:pPr>
      <w:r w:rsidRPr="00615972">
        <w:rPr>
          <w:rFonts w:ascii="Arial" w:eastAsia="Calibri" w:hAnsi="Arial" w:cs="Arial"/>
          <w:b/>
        </w:rPr>
        <w:br/>
        <w:t>Předmět smlouvy</w:t>
      </w:r>
    </w:p>
    <w:p w:rsidR="007C419A" w:rsidP="007C419A" w14:paraId="740E5805" w14:textId="10F48103">
      <w:pPr>
        <w:numPr>
          <w:ilvl w:val="0"/>
          <w:numId w:val="2"/>
        </w:numPr>
        <w:spacing w:before="120" w:after="120" w:line="240" w:lineRule="auto"/>
        <w:ind w:left="425" w:hanging="425"/>
        <w:jc w:val="both"/>
        <w:rPr>
          <w:rFonts w:ascii="Arial" w:eastAsia="Calibri" w:hAnsi="Arial" w:cs="Arial"/>
        </w:rPr>
      </w:pPr>
      <w:r w:rsidRPr="00615972">
        <w:rPr>
          <w:rFonts w:ascii="Arial" w:eastAsia="Calibri" w:hAnsi="Arial" w:cs="Arial"/>
        </w:rPr>
        <w:t xml:space="preserve">Předmětem této smlouvy je závazek poskytovatele poskytnout objednateli službu propojení objektů objednatele pomocí </w:t>
      </w:r>
      <w:r w:rsidRPr="00615972">
        <w:rPr>
          <w:rFonts w:ascii="Arial" w:eastAsia="Times New Roman" w:hAnsi="Arial" w:cs="Arial"/>
          <w:lang w:eastAsia="cs-CZ"/>
        </w:rPr>
        <w:t>dvou nenasvícených optických vláken zakončených na optických konektorech v optickém rozvaděči pro komunikační účely</w:t>
      </w:r>
      <w:r w:rsidRPr="00615972">
        <w:rPr>
          <w:rFonts w:ascii="Arial" w:eastAsia="Calibri" w:hAnsi="Arial" w:cs="Arial"/>
          <w:lang w:eastAsia="cs-CZ"/>
        </w:rPr>
        <w:t xml:space="preserve"> (tzv. služba Dark Fiber), a to </w:t>
      </w:r>
      <w:r w:rsidRPr="00464D5D">
        <w:rPr>
          <w:rFonts w:ascii="Arial" w:eastAsia="Calibri" w:hAnsi="Arial" w:cs="Arial"/>
          <w:lang w:eastAsia="cs-CZ"/>
        </w:rPr>
        <w:t>do 30 dnů od nabytí účinnosti této smlouvy na dobu neurčitou</w:t>
      </w:r>
      <w:r w:rsidRPr="00615972">
        <w:rPr>
          <w:rFonts w:ascii="Arial" w:eastAsia="Calibri" w:hAnsi="Arial" w:cs="Arial"/>
          <w:lang w:eastAsia="cs-CZ"/>
        </w:rPr>
        <w:t>, v rozsahu a za</w:t>
      </w:r>
      <w:r>
        <w:rPr>
          <w:rFonts w:ascii="Arial" w:eastAsia="Calibri" w:hAnsi="Arial" w:cs="Arial"/>
          <w:lang w:eastAsia="cs-CZ"/>
        </w:rPr>
        <w:t> </w:t>
      </w:r>
      <w:r w:rsidRPr="00615972">
        <w:rPr>
          <w:rFonts w:ascii="Arial" w:eastAsia="Calibri" w:hAnsi="Arial" w:cs="Arial"/>
          <w:lang w:eastAsia="cs-CZ"/>
        </w:rPr>
        <w:t>podmínek stanovených v této smlouvě (dále také jen „služba“ nebo „předmět plnění“).</w:t>
      </w:r>
    </w:p>
    <w:p w:rsidR="00615972" w:rsidRPr="00615972" w:rsidP="007C419A" w14:paraId="0DB5CFA4" w14:textId="5EA827DE">
      <w:pPr>
        <w:spacing w:before="120" w:after="120" w:line="240" w:lineRule="auto"/>
        <w:ind w:left="425"/>
        <w:jc w:val="both"/>
        <w:rPr>
          <w:rFonts w:ascii="Arial" w:eastAsia="Calibri" w:hAnsi="Arial" w:cs="Arial"/>
        </w:rPr>
      </w:pPr>
      <w:r w:rsidRPr="00615972">
        <w:rPr>
          <w:rFonts w:ascii="Arial" w:eastAsia="Calibri" w:hAnsi="Arial" w:cs="Arial"/>
        </w:rPr>
        <w:t>Plnění bude poskytovatelem poskytováno v následujícím rozsahu:</w:t>
      </w:r>
    </w:p>
    <w:p w:rsidR="00615972" w:rsidRPr="00615972" w:rsidP="007C419A" w14:paraId="12EB6BE5" w14:textId="49B6487F">
      <w:pPr>
        <w:tabs>
          <w:tab w:val="left" w:pos="2410"/>
        </w:tabs>
        <w:spacing w:before="120" w:after="120" w:line="240" w:lineRule="auto"/>
        <w:ind w:left="425"/>
        <w:jc w:val="both"/>
        <w:rPr>
          <w:rFonts w:ascii="Arial" w:eastAsia="Calibri" w:hAnsi="Arial" w:cs="Arial"/>
        </w:rPr>
      </w:pPr>
      <w:r w:rsidRPr="00615972">
        <w:rPr>
          <w:rFonts w:ascii="Arial" w:eastAsia="Calibri" w:hAnsi="Arial" w:cs="Arial"/>
          <w:lang w:eastAsia="cs-CZ"/>
        </w:rPr>
        <w:t xml:space="preserve">Jedná se o propojení </w:t>
      </w:r>
      <w:r w:rsidRPr="00615972">
        <w:rPr>
          <w:rFonts w:ascii="Arial" w:eastAsia="Calibri" w:hAnsi="Arial" w:cs="Arial"/>
        </w:rPr>
        <w:t>objektů na adrese nábřeží Edvarda Beneše 128/4, 118 0</w:t>
      </w:r>
      <w:r w:rsidR="007C419A">
        <w:rPr>
          <w:rFonts w:ascii="Arial" w:eastAsia="Calibri" w:hAnsi="Arial" w:cs="Arial"/>
        </w:rPr>
        <w:t>0</w:t>
      </w:r>
      <w:r w:rsidRPr="00615972">
        <w:rPr>
          <w:rFonts w:ascii="Arial" w:eastAsia="Calibri" w:hAnsi="Arial" w:cs="Arial"/>
        </w:rPr>
        <w:t xml:space="preserve"> Praha 1 - Malá Strana a na adrese </w:t>
      </w:r>
      <w:r w:rsidRPr="007C419A" w:rsidR="007C419A">
        <w:rPr>
          <w:rFonts w:ascii="Arial" w:eastAsia="Calibri" w:hAnsi="Arial" w:cs="Arial"/>
        </w:rPr>
        <w:t>Jindřišská 967/34</w:t>
      </w:r>
      <w:r w:rsidRPr="00615972">
        <w:rPr>
          <w:rFonts w:ascii="Arial" w:eastAsia="Calibri" w:hAnsi="Arial" w:cs="Arial"/>
          <w:bCs/>
        </w:rPr>
        <w:t>, Praha 1</w:t>
      </w:r>
      <w:r w:rsidRPr="00615972">
        <w:rPr>
          <w:rFonts w:ascii="Arial" w:eastAsia="Calibri" w:hAnsi="Arial" w:cs="Arial"/>
        </w:rPr>
        <w:t xml:space="preserve"> (dále jen „objekty“).</w:t>
      </w:r>
    </w:p>
    <w:p w:rsidR="00615972" w:rsidRPr="00615972" w:rsidP="000639CA" w14:paraId="6C96F533" w14:textId="77777777">
      <w:pPr>
        <w:tabs>
          <w:tab w:val="left" w:pos="2410"/>
        </w:tabs>
        <w:spacing w:before="120" w:after="0" w:line="240" w:lineRule="auto"/>
        <w:ind w:left="425"/>
        <w:jc w:val="both"/>
        <w:rPr>
          <w:rFonts w:ascii="Arial" w:eastAsia="Calibri" w:hAnsi="Arial" w:cs="Arial"/>
          <w:lang w:eastAsia="cs-CZ"/>
        </w:rPr>
      </w:pPr>
      <w:r w:rsidRPr="00615972">
        <w:rPr>
          <w:rFonts w:ascii="Arial" w:eastAsia="Calibri" w:hAnsi="Arial" w:cs="Arial"/>
          <w:lang w:eastAsia="cs-CZ"/>
        </w:rPr>
        <w:t>Optická vlákna musí být zakončena konektory:</w:t>
      </w:r>
    </w:p>
    <w:p w:rsidR="00615972" w:rsidRPr="00615972" w:rsidP="000639CA" w14:paraId="76498A87" w14:textId="00B0C081">
      <w:pPr>
        <w:tabs>
          <w:tab w:val="left" w:pos="2410"/>
        </w:tabs>
        <w:spacing w:after="0" w:line="240" w:lineRule="auto"/>
        <w:ind w:left="425"/>
        <w:jc w:val="both"/>
        <w:rPr>
          <w:rFonts w:ascii="Arial" w:eastAsia="Calibri" w:hAnsi="Arial" w:cs="Arial"/>
          <w:lang w:eastAsia="cs-CZ"/>
        </w:rPr>
      </w:pPr>
      <w:r w:rsidRPr="00615972">
        <w:rPr>
          <w:rFonts w:ascii="Arial" w:eastAsia="Calibri" w:hAnsi="Arial" w:cs="Arial"/>
          <w:lang w:eastAsia="cs-CZ"/>
        </w:rPr>
        <w:t xml:space="preserve">Rozhraní bodu </w:t>
      </w:r>
      <w:r w:rsidRPr="00615972" w:rsidR="00294E75">
        <w:rPr>
          <w:rFonts w:ascii="Arial" w:eastAsia="Calibri" w:hAnsi="Arial" w:cs="Arial"/>
          <w:lang w:eastAsia="cs-CZ"/>
        </w:rPr>
        <w:t>A – rozhraní</w:t>
      </w:r>
      <w:r w:rsidRPr="00615972">
        <w:rPr>
          <w:rFonts w:ascii="Arial" w:eastAsia="Calibri" w:hAnsi="Arial" w:cs="Arial"/>
          <w:lang w:eastAsia="cs-CZ"/>
        </w:rPr>
        <w:t xml:space="preserve"> SC;</w:t>
      </w:r>
    </w:p>
    <w:p w:rsidR="00615972" w:rsidRPr="00615972" w:rsidP="000639CA" w14:paraId="7E54578C" w14:textId="2C475231">
      <w:pPr>
        <w:tabs>
          <w:tab w:val="left" w:pos="2410"/>
        </w:tabs>
        <w:spacing w:after="120" w:line="240" w:lineRule="auto"/>
        <w:ind w:left="425"/>
        <w:jc w:val="both"/>
        <w:rPr>
          <w:rFonts w:ascii="Arial" w:eastAsia="Calibri" w:hAnsi="Arial" w:cs="Arial"/>
          <w:lang w:eastAsia="cs-CZ"/>
        </w:rPr>
      </w:pPr>
      <w:r w:rsidRPr="00615972">
        <w:rPr>
          <w:rFonts w:ascii="Arial" w:eastAsia="Calibri" w:hAnsi="Arial" w:cs="Arial"/>
          <w:lang w:eastAsia="cs-CZ"/>
        </w:rPr>
        <w:t xml:space="preserve">Rozhraní bodu </w:t>
      </w:r>
      <w:r w:rsidRPr="00615972" w:rsidR="00294E75">
        <w:rPr>
          <w:rFonts w:ascii="Arial" w:eastAsia="Calibri" w:hAnsi="Arial" w:cs="Arial"/>
          <w:lang w:eastAsia="cs-CZ"/>
        </w:rPr>
        <w:t>B – rozhraní</w:t>
      </w:r>
      <w:r w:rsidRPr="00615972">
        <w:rPr>
          <w:rFonts w:ascii="Arial" w:eastAsia="Calibri" w:hAnsi="Arial" w:cs="Arial"/>
          <w:lang w:eastAsia="cs-CZ"/>
        </w:rPr>
        <w:t xml:space="preserve"> E-2000/APC nebo SC nebo LC.</w:t>
      </w:r>
    </w:p>
    <w:p w:rsidR="00615972" w:rsidRPr="00615972" w:rsidP="007C419A" w14:paraId="04AF9577" w14:textId="0E37A802">
      <w:pPr>
        <w:tabs>
          <w:tab w:val="left" w:pos="2410"/>
        </w:tabs>
        <w:spacing w:before="120" w:after="120" w:line="240" w:lineRule="auto"/>
        <w:ind w:left="425"/>
        <w:jc w:val="both"/>
        <w:rPr>
          <w:rFonts w:ascii="Arial" w:eastAsia="Calibri" w:hAnsi="Arial" w:cs="Arial"/>
          <w:lang w:eastAsia="cs-CZ"/>
        </w:rPr>
      </w:pPr>
      <w:r w:rsidRPr="00615972">
        <w:rPr>
          <w:rFonts w:ascii="Arial" w:eastAsia="Calibri" w:hAnsi="Arial" w:cs="Arial"/>
          <w:lang w:eastAsia="cs-CZ"/>
        </w:rPr>
        <w:t>Součástí předmětu plnění je jednorázové zřízení služby (zřízení přenosové trasy z místa A (Strakova akademie, nábř. E. Beneše 128/4, Praha 1 – Malá Strana, m. č. 044</w:t>
      </w:r>
      <w:r w:rsidR="00602732">
        <w:rPr>
          <w:rFonts w:ascii="Arial" w:eastAsia="Calibri" w:hAnsi="Arial" w:cs="Arial"/>
          <w:lang w:eastAsia="cs-CZ"/>
        </w:rPr>
        <w:t>A</w:t>
      </w:r>
      <w:r w:rsidRPr="00615972">
        <w:rPr>
          <w:rFonts w:ascii="Arial" w:eastAsia="Calibri" w:hAnsi="Arial" w:cs="Arial"/>
          <w:lang w:eastAsia="cs-CZ"/>
        </w:rPr>
        <w:t xml:space="preserve"> – serverovna) do místa B (</w:t>
      </w:r>
      <w:bookmarkStart w:id="1" w:name="_Hlk209170416"/>
      <w:r w:rsidRPr="00602732" w:rsidR="00602732">
        <w:rPr>
          <w:rFonts w:ascii="Arial" w:eastAsia="Calibri" w:hAnsi="Arial" w:cs="Arial"/>
          <w:bCs/>
          <w:szCs w:val="24"/>
        </w:rPr>
        <w:t>Jindřišská 967/34, Praha 1</w:t>
      </w:r>
      <w:bookmarkEnd w:id="1"/>
      <w:r w:rsidRPr="00602732" w:rsidR="00602732">
        <w:rPr>
          <w:rFonts w:ascii="Arial" w:eastAsia="Times New Roman" w:hAnsi="Arial" w:cs="Arial"/>
        </w:rPr>
        <w:t xml:space="preserve">, </w:t>
      </w:r>
      <w:r w:rsidRPr="00602732" w:rsidR="00602732">
        <w:rPr>
          <w:rFonts w:ascii="Arial" w:eastAsia="Times New Roman" w:hAnsi="Arial" w:cs="Arial"/>
          <w:lang w:eastAsia="cs-CZ"/>
        </w:rPr>
        <w:t>m. č. 0111</w:t>
      </w:r>
      <w:r w:rsidR="00602732">
        <w:rPr>
          <w:rFonts w:ascii="Arial" w:eastAsia="Times New Roman" w:hAnsi="Arial" w:cs="Arial"/>
          <w:lang w:eastAsia="cs-CZ"/>
        </w:rPr>
        <w:t xml:space="preserve"> </w:t>
      </w:r>
      <w:r w:rsidRPr="00615972">
        <w:rPr>
          <w:rFonts w:ascii="Arial" w:eastAsia="Times New Roman" w:hAnsi="Arial" w:cs="Arial"/>
          <w:lang w:eastAsia="cs-CZ"/>
        </w:rPr>
        <w:t>- serverovna</w:t>
      </w:r>
      <w:r w:rsidRPr="00615972">
        <w:rPr>
          <w:rFonts w:ascii="Arial" w:eastAsia="Calibri" w:hAnsi="Arial" w:cs="Arial"/>
          <w:lang w:eastAsia="cs-CZ"/>
        </w:rPr>
        <w:t xml:space="preserve">) a konfigurace služby dle požadavků </w:t>
      </w:r>
      <w:r w:rsidR="00DE67A5">
        <w:rPr>
          <w:rFonts w:ascii="Arial" w:eastAsia="Calibri" w:hAnsi="Arial" w:cs="Arial"/>
          <w:lang w:eastAsia="cs-CZ"/>
        </w:rPr>
        <w:t>objednatele</w:t>
      </w:r>
      <w:r w:rsidRPr="00615972">
        <w:rPr>
          <w:rFonts w:ascii="Arial" w:eastAsia="Calibri" w:hAnsi="Arial" w:cs="Arial"/>
          <w:lang w:eastAsia="cs-CZ"/>
        </w:rPr>
        <w:t>.</w:t>
      </w:r>
    </w:p>
    <w:p w:rsidR="00380F52" w:rsidRPr="00DE67A5" w:rsidP="00380F52" w14:paraId="1772E27A" w14:textId="77777777">
      <w:pPr>
        <w:tabs>
          <w:tab w:val="left" w:pos="2410"/>
        </w:tabs>
        <w:spacing w:before="120" w:after="120" w:line="240" w:lineRule="auto"/>
        <w:ind w:left="425"/>
        <w:jc w:val="both"/>
        <w:rPr>
          <w:rFonts w:ascii="Arial" w:eastAsia="Calibri" w:hAnsi="Arial" w:cs="Arial"/>
          <w:lang w:eastAsia="cs-CZ"/>
        </w:rPr>
      </w:pPr>
      <w:r w:rsidRPr="00615972">
        <w:rPr>
          <w:rFonts w:ascii="Arial" w:eastAsia="Calibri" w:hAnsi="Arial" w:cs="Arial"/>
          <w:lang w:eastAsia="cs-CZ"/>
        </w:rPr>
        <w:t xml:space="preserve">Poskytovatel se zavazuje garantovat úroveň služby SLA 99,5 - služba s garantovanou </w:t>
      </w:r>
      <w:r w:rsidRPr="00DE67A5">
        <w:rPr>
          <w:rFonts w:ascii="Arial" w:eastAsia="Calibri" w:hAnsi="Arial" w:cs="Arial"/>
          <w:lang w:eastAsia="cs-CZ"/>
        </w:rPr>
        <w:t xml:space="preserve">dostupností služby </w:t>
      </w:r>
      <w:r w:rsidRPr="00DE67A5" w:rsidR="00294E75">
        <w:rPr>
          <w:rFonts w:ascii="Arial" w:eastAsia="Calibri" w:hAnsi="Arial" w:cs="Arial"/>
          <w:lang w:eastAsia="cs-CZ"/>
        </w:rPr>
        <w:t>99,50 %</w:t>
      </w:r>
      <w:r w:rsidRPr="00DE67A5">
        <w:rPr>
          <w:rFonts w:ascii="Arial" w:eastAsia="Calibri" w:hAnsi="Arial" w:cs="Arial"/>
          <w:lang w:eastAsia="cs-CZ"/>
        </w:rPr>
        <w:t>.</w:t>
      </w:r>
    </w:p>
    <w:p w:rsidR="00380F52" w:rsidRPr="00DE67A5" w:rsidP="00380F52" w14:paraId="07828397" w14:textId="77777777">
      <w:pPr>
        <w:tabs>
          <w:tab w:val="left" w:pos="2410"/>
        </w:tabs>
        <w:spacing w:before="120" w:after="120" w:line="240" w:lineRule="auto"/>
        <w:ind w:left="425"/>
        <w:jc w:val="both"/>
        <w:rPr>
          <w:rFonts w:ascii="Arial" w:eastAsia="Calibri" w:hAnsi="Arial" w:cs="Arial"/>
          <w:lang w:eastAsia="cs-CZ"/>
        </w:rPr>
      </w:pPr>
      <w:r w:rsidRPr="00DE67A5">
        <w:rPr>
          <w:rFonts w:ascii="Arial" w:eastAsia="Calibri" w:hAnsi="Arial" w:cs="Arial"/>
          <w:bCs/>
          <w:szCs w:val="20"/>
          <w:lang w:eastAsia="cs-CZ"/>
        </w:rPr>
        <w:t>Výpočet dostupnosti služby bude prováděn standardním způsobem, obvyklým pro služby tohoto typu. Měsíční dostupnost bude vyjádřena v procentech, zaokrouhleně na jedno desetinné místo, přičemž doby se počítají na celé minuty.</w:t>
      </w:r>
    </w:p>
    <w:p w:rsidR="00380F52" w:rsidRPr="00DE67A5" w:rsidP="00380F52" w14:paraId="23C0EAAF" w14:textId="24E1ECFB">
      <w:pPr>
        <w:tabs>
          <w:tab w:val="left" w:pos="2410"/>
        </w:tabs>
        <w:spacing w:before="120" w:after="120" w:line="240" w:lineRule="auto"/>
        <w:ind w:left="425"/>
        <w:jc w:val="both"/>
        <w:rPr>
          <w:rFonts w:ascii="Arial" w:eastAsia="Calibri" w:hAnsi="Arial" w:cs="Arial"/>
          <w:lang w:eastAsia="cs-CZ"/>
        </w:rPr>
      </w:pPr>
      <w:r w:rsidRPr="00DE67A5">
        <w:rPr>
          <w:rFonts w:ascii="Arial" w:eastAsia="Calibri" w:hAnsi="Arial" w:cs="Arial"/>
          <w:bCs/>
          <w:szCs w:val="20"/>
          <w:lang w:eastAsia="cs-CZ"/>
        </w:rPr>
        <w:t xml:space="preserve">Procentuální měsíční dostupnost </w:t>
      </w:r>
      <w:r w:rsidRPr="00DE67A5" w:rsidR="0043599B">
        <w:rPr>
          <w:rFonts w:ascii="Arial" w:eastAsia="Calibri" w:hAnsi="Arial" w:cs="Arial"/>
          <w:bCs/>
          <w:szCs w:val="20"/>
          <w:lang w:eastAsia="cs-CZ"/>
        </w:rPr>
        <w:t>s</w:t>
      </w:r>
      <w:r w:rsidRPr="00DE67A5">
        <w:rPr>
          <w:rFonts w:ascii="Arial" w:eastAsia="Calibri" w:hAnsi="Arial" w:cs="Arial"/>
          <w:bCs/>
          <w:szCs w:val="20"/>
          <w:lang w:eastAsia="cs-CZ"/>
        </w:rPr>
        <w:t>lužby se vypočítá dle následujícího vzorce:</w:t>
      </w:r>
    </w:p>
    <w:tbl>
      <w:tblPr>
        <w:tblW w:w="9214" w:type="dxa"/>
        <w:tblInd w:w="557" w:type="dxa"/>
        <w:shd w:val="clear" w:color="auto" w:fill="FFFFFF"/>
        <w:tblCellMar>
          <w:left w:w="0" w:type="dxa"/>
          <w:right w:w="0" w:type="dxa"/>
        </w:tblCellMar>
        <w:tblLook w:val="04A0"/>
      </w:tblPr>
      <w:tblGrid>
        <w:gridCol w:w="2977"/>
        <w:gridCol w:w="6237"/>
      </w:tblGrid>
      <w:tr w14:paraId="62A6A620" w14:textId="77777777" w:rsidTr="00D46856">
        <w:tblPrEx>
          <w:tblW w:w="9214" w:type="dxa"/>
          <w:tblInd w:w="557" w:type="dxa"/>
          <w:shd w:val="clear" w:color="auto" w:fill="FFFFFF"/>
          <w:tblCellMar>
            <w:left w:w="0" w:type="dxa"/>
            <w:right w:w="0" w:type="dxa"/>
          </w:tblCellMar>
          <w:tblLook w:val="04A0"/>
        </w:tblPrEx>
        <w:tc>
          <w:tcPr>
            <w:tcW w:w="2977" w:type="dxa"/>
            <w:tcBorders>
              <w:top w:val="single" w:sz="8" w:space="0" w:color="auto"/>
              <w:left w:val="single" w:sz="8" w:space="0" w:color="auto"/>
              <w:bottom w:val="nil"/>
              <w:right w:val="nil"/>
            </w:tcBorders>
            <w:shd w:val="clear" w:color="auto" w:fill="FFFFFF"/>
            <w:tcMar>
              <w:top w:w="0" w:type="dxa"/>
              <w:left w:w="70" w:type="dxa"/>
              <w:bottom w:w="0" w:type="dxa"/>
              <w:right w:w="70" w:type="dxa"/>
            </w:tcMar>
            <w:hideMark/>
          </w:tcPr>
          <w:p w:rsidR="00380F52" w:rsidRPr="00DE67A5" w:rsidP="00380F52" w14:paraId="3AF80860" w14:textId="77777777">
            <w:pPr>
              <w:spacing w:after="0" w:line="240" w:lineRule="auto"/>
              <w:ind w:left="708" w:hanging="1278"/>
              <w:rPr>
                <w:rFonts w:ascii="Aptos" w:eastAsia="Times New Roman" w:hAnsi="Aptos" w:cs="Segoe UI"/>
                <w:color w:val="242424"/>
                <w:sz w:val="20"/>
                <w:szCs w:val="20"/>
                <w:lang w:eastAsia="cs-CZ"/>
              </w:rPr>
            </w:pPr>
            <w:r w:rsidRPr="00DE67A5">
              <w:rPr>
                <w:rFonts w:ascii="Aptos" w:eastAsia="Times New Roman" w:hAnsi="Aptos" w:cs="Segoe UI"/>
                <w:b/>
                <w:bCs/>
                <w:color w:val="EE0000"/>
                <w:sz w:val="20"/>
                <w:szCs w:val="20"/>
                <w:bdr w:val="none" w:sz="0" w:space="0" w:color="auto" w:frame="1"/>
                <w:lang w:eastAsia="cs-CZ"/>
              </w:rPr>
              <w:t> </w:t>
            </w:r>
          </w:p>
        </w:tc>
        <w:tc>
          <w:tcPr>
            <w:tcW w:w="6237" w:type="dxa"/>
            <w:tcBorders>
              <w:top w:val="single" w:sz="8" w:space="0" w:color="auto"/>
              <w:left w:val="nil"/>
              <w:bottom w:val="nil"/>
              <w:right w:val="single" w:sz="8" w:space="0" w:color="auto"/>
            </w:tcBorders>
            <w:shd w:val="clear" w:color="auto" w:fill="FFFFFF"/>
            <w:tcMar>
              <w:top w:w="0" w:type="dxa"/>
              <w:left w:w="70" w:type="dxa"/>
              <w:bottom w:w="0" w:type="dxa"/>
              <w:right w:w="70" w:type="dxa"/>
            </w:tcMar>
            <w:hideMark/>
          </w:tcPr>
          <w:p w:rsidR="00380F52" w:rsidRPr="00DE67A5" w:rsidP="00380F52" w14:paraId="58662BAE" w14:textId="77777777">
            <w:pPr>
              <w:spacing w:after="0" w:line="240" w:lineRule="auto"/>
              <w:rPr>
                <w:rFonts w:ascii="Aptos" w:eastAsia="Times New Roman" w:hAnsi="Aptos" w:cs="Segoe UI"/>
                <w:color w:val="242424"/>
                <w:sz w:val="20"/>
                <w:szCs w:val="20"/>
                <w:lang w:eastAsia="cs-CZ"/>
              </w:rPr>
            </w:pPr>
            <w:r w:rsidRPr="00DE67A5">
              <w:rPr>
                <w:rFonts w:ascii="Aptos" w:eastAsia="Times New Roman" w:hAnsi="Aptos" w:cs="Segoe UI"/>
                <w:b/>
                <w:bCs/>
                <w:color w:val="EE0000"/>
                <w:sz w:val="20"/>
                <w:szCs w:val="20"/>
                <w:bdr w:val="none" w:sz="0" w:space="0" w:color="auto" w:frame="1"/>
                <w:lang w:eastAsia="cs-CZ"/>
              </w:rPr>
              <w:t> </w:t>
            </w:r>
          </w:p>
        </w:tc>
      </w:tr>
      <w:tr w14:paraId="6F6AA4B8" w14:textId="77777777" w:rsidTr="00D46856">
        <w:tblPrEx>
          <w:tblW w:w="9214" w:type="dxa"/>
          <w:tblInd w:w="557" w:type="dxa"/>
          <w:shd w:val="clear" w:color="auto" w:fill="FFFFFF"/>
          <w:tblCellMar>
            <w:left w:w="0" w:type="dxa"/>
            <w:right w:w="0" w:type="dxa"/>
          </w:tblCellMar>
          <w:tblLook w:val="04A0"/>
        </w:tblPrEx>
        <w:tc>
          <w:tcPr>
            <w:tcW w:w="2977" w:type="dxa"/>
            <w:tcBorders>
              <w:top w:val="nil"/>
              <w:left w:val="single" w:sz="8" w:space="0" w:color="auto"/>
              <w:bottom w:val="single" w:sz="8" w:space="0" w:color="auto"/>
              <w:right w:val="nil"/>
            </w:tcBorders>
            <w:shd w:val="clear" w:color="auto" w:fill="FFFFFF"/>
            <w:tcMar>
              <w:top w:w="0" w:type="dxa"/>
              <w:left w:w="70" w:type="dxa"/>
              <w:bottom w:w="0" w:type="dxa"/>
              <w:right w:w="70" w:type="dxa"/>
            </w:tcMar>
            <w:hideMark/>
          </w:tcPr>
          <w:p w:rsidR="00380F52" w:rsidRPr="00DE67A5" w:rsidP="00380F52" w14:paraId="2E3FF364" w14:textId="77777777">
            <w:pPr>
              <w:spacing w:after="0" w:line="240" w:lineRule="auto"/>
              <w:rPr>
                <w:rFonts w:ascii="Arial" w:eastAsia="Times New Roman" w:hAnsi="Arial" w:cs="Arial"/>
                <w:color w:val="242424"/>
                <w:lang w:eastAsia="cs-CZ"/>
              </w:rPr>
            </w:pPr>
            <w:r w:rsidRPr="00DE67A5">
              <w:rPr>
                <w:rFonts w:ascii="Arial" w:eastAsia="Times New Roman" w:hAnsi="Arial" w:cs="Arial"/>
                <w:b/>
                <w:bCs/>
                <w:noProof/>
                <w:color w:val="EE0000"/>
                <w:bdr w:val="none" w:sz="0" w:space="0" w:color="auto" w:frame="1"/>
                <w:lang w:eastAsia="cs-CZ"/>
              </w:rPr>
              <w:drawing>
                <wp:inline distT="0" distB="0" distL="0" distR="0">
                  <wp:extent cx="1476375" cy="485775"/>
                  <wp:effectExtent l="0" t="0" r="9525" b="9525"/>
                  <wp:docPr id="13" name="obrázek 13" descr="Obsah obrázku Písmo, čern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3" descr="Obsah obrázku Písmo, černá, snímek obrazovky&#10;&#10;Obsah generovaný pomocí AI může být nesprávný."/>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375" cy="485775"/>
                          </a:xfrm>
                          <a:prstGeom prst="rect">
                            <a:avLst/>
                          </a:prstGeom>
                          <a:noFill/>
                          <a:ln>
                            <a:noFill/>
                          </a:ln>
                        </pic:spPr>
                      </pic:pic>
                    </a:graphicData>
                  </a:graphic>
                </wp:inline>
              </w:drawing>
            </w:r>
          </w:p>
        </w:tc>
        <w:tc>
          <w:tcPr>
            <w:tcW w:w="623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0F52" w:rsidRPr="00DE67A5" w:rsidP="00380F52" w14:paraId="66690E08" w14:textId="77777777">
            <w:pPr>
              <w:spacing w:after="0" w:line="240" w:lineRule="auto"/>
              <w:rPr>
                <w:rFonts w:ascii="Arial" w:eastAsia="Times New Roman" w:hAnsi="Arial" w:cs="Arial"/>
                <w:color w:val="242424"/>
                <w:lang w:eastAsia="cs-CZ"/>
              </w:rPr>
            </w:pPr>
            <w:r w:rsidRPr="00DE67A5">
              <w:rPr>
                <w:rFonts w:ascii="Arial" w:eastAsia="Times New Roman" w:hAnsi="Arial" w:cs="Arial"/>
                <w:b/>
                <w:bCs/>
                <w:noProof/>
                <w:color w:val="EE0000"/>
                <w:bdr w:val="none" w:sz="0" w:space="0" w:color="auto" w:frame="1"/>
                <w:lang w:eastAsia="cs-CZ"/>
              </w:rPr>
              <w:drawing>
                <wp:inline distT="0" distB="0" distL="0" distR="0">
                  <wp:extent cx="228600" cy="2286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r w:rsidRPr="00DE67A5">
              <w:rPr>
                <w:rFonts w:ascii="Arial" w:eastAsia="Times New Roman" w:hAnsi="Arial" w:cs="Arial"/>
                <w:color w:val="EE0000"/>
                <w:bdr w:val="none" w:sz="0" w:space="0" w:color="auto" w:frame="1"/>
                <w:lang w:eastAsia="cs-CZ"/>
              </w:rPr>
              <w:t>        </w:t>
            </w:r>
            <w:r w:rsidRPr="00DE67A5">
              <w:rPr>
                <w:rFonts w:ascii="Arial" w:eastAsia="Times New Roman" w:hAnsi="Arial" w:cs="Arial"/>
                <w:color w:val="242424"/>
                <w:bdr w:val="none" w:sz="0" w:space="0" w:color="auto" w:frame="1"/>
                <w:lang w:eastAsia="cs-CZ"/>
              </w:rPr>
              <w:t>je měsíční dostupnost služby v %</w:t>
            </w:r>
            <w:r w:rsidRPr="00DE67A5">
              <w:rPr>
                <w:rFonts w:ascii="Arial" w:eastAsia="Times New Roman" w:hAnsi="Arial" w:cs="Arial"/>
                <w:color w:val="242424"/>
                <w:bdr w:val="none" w:sz="0" w:space="0" w:color="auto" w:frame="1"/>
                <w:lang w:eastAsia="cs-CZ"/>
              </w:rPr>
              <w:br/>
            </w:r>
            <w:r w:rsidRPr="00DE67A5">
              <w:rPr>
                <w:rFonts w:ascii="Arial" w:eastAsia="Times New Roman" w:hAnsi="Arial" w:cs="Arial"/>
                <w:noProof/>
                <w:color w:val="242424"/>
                <w:bdr w:val="none" w:sz="0" w:space="0" w:color="auto" w:frame="1"/>
                <w:lang w:eastAsia="cs-CZ"/>
              </w:rPr>
              <w:drawing>
                <wp:inline distT="0" distB="0" distL="0" distR="0">
                  <wp:extent cx="247650" cy="219075"/>
                  <wp:effectExtent l="0" t="0" r="0" b="952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47650" cy="219075"/>
                          </a:xfrm>
                          <a:prstGeom prst="rect">
                            <a:avLst/>
                          </a:prstGeom>
                          <a:noFill/>
                          <a:ln>
                            <a:noFill/>
                          </a:ln>
                        </pic:spPr>
                      </pic:pic>
                    </a:graphicData>
                  </a:graphic>
                </wp:inline>
              </w:drawing>
            </w:r>
            <w:r w:rsidRPr="00DE67A5">
              <w:rPr>
                <w:rFonts w:ascii="Arial" w:eastAsia="Times New Roman" w:hAnsi="Arial" w:cs="Arial"/>
                <w:color w:val="242424"/>
                <w:bdr w:val="none" w:sz="0" w:space="0" w:color="auto" w:frame="1"/>
                <w:lang w:eastAsia="cs-CZ"/>
              </w:rPr>
              <w:t>       je celková doba nedostupnosti</w:t>
            </w:r>
            <w:r w:rsidRPr="00DE67A5">
              <w:rPr>
                <w:rFonts w:ascii="Arial" w:eastAsia="Times New Roman" w:hAnsi="Arial" w:cs="Arial"/>
                <w:color w:val="242424"/>
                <w:bdr w:val="none" w:sz="0" w:space="0" w:color="auto" w:frame="1"/>
                <w:lang w:eastAsia="cs-CZ"/>
              </w:rPr>
              <w:br/>
              <w:t>                za sledované období</w:t>
            </w:r>
          </w:p>
          <w:p w:rsidR="00380F52" w:rsidRPr="00DE67A5" w:rsidP="00380F52" w14:paraId="674C266A" w14:textId="77777777">
            <w:pPr>
              <w:spacing w:after="0" w:line="240" w:lineRule="auto"/>
              <w:rPr>
                <w:rFonts w:ascii="Arial" w:eastAsia="Times New Roman" w:hAnsi="Arial" w:cs="Arial"/>
                <w:color w:val="242424"/>
                <w:lang w:eastAsia="cs-CZ"/>
              </w:rPr>
            </w:pPr>
            <w:r w:rsidRPr="00DE67A5">
              <w:rPr>
                <w:rFonts w:ascii="Arial" w:eastAsia="Times New Roman" w:hAnsi="Arial" w:cs="Arial"/>
                <w:noProof/>
                <w:color w:val="242424"/>
                <w:bdr w:val="none" w:sz="0" w:space="0" w:color="auto" w:frame="1"/>
                <w:lang w:eastAsia="cs-CZ"/>
              </w:rPr>
              <w:drawing>
                <wp:inline distT="0" distB="0" distL="0" distR="0">
                  <wp:extent cx="219075" cy="228600"/>
                  <wp:effectExtent l="0" t="0" r="9525"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228600"/>
                          </a:xfrm>
                          <a:prstGeom prst="rect">
                            <a:avLst/>
                          </a:prstGeom>
                          <a:noFill/>
                          <a:ln>
                            <a:noFill/>
                          </a:ln>
                        </pic:spPr>
                      </pic:pic>
                    </a:graphicData>
                  </a:graphic>
                </wp:inline>
              </w:drawing>
            </w:r>
            <w:r w:rsidRPr="00DE67A5">
              <w:rPr>
                <w:rFonts w:ascii="Arial" w:eastAsia="Times New Roman" w:hAnsi="Arial" w:cs="Arial"/>
                <w:color w:val="242424"/>
                <w:bdr w:val="none" w:sz="0" w:space="0" w:color="auto" w:frame="1"/>
                <w:lang w:eastAsia="cs-CZ"/>
              </w:rPr>
              <w:t>        je celková doba po kterou byla dostupnost sledována</w:t>
            </w:r>
            <w:r w:rsidRPr="00DE67A5">
              <w:rPr>
                <w:rFonts w:ascii="Arial" w:eastAsia="Times New Roman" w:hAnsi="Arial" w:cs="Arial"/>
                <w:color w:val="242424"/>
                <w:bdr w:val="none" w:sz="0" w:space="0" w:color="auto" w:frame="1"/>
                <w:lang w:eastAsia="cs-CZ"/>
              </w:rPr>
              <w:br/>
              <w:t>                nebo též doba provozování služby</w:t>
            </w:r>
          </w:p>
        </w:tc>
      </w:tr>
    </w:tbl>
    <w:p w:rsidR="00380F52" w:rsidRPr="00DE67A5" w:rsidP="00380F52" w14:paraId="22055F4B" w14:textId="08DADA33">
      <w:pPr>
        <w:autoSpaceDE w:val="0"/>
        <w:autoSpaceDN w:val="0"/>
        <w:adjustRightInd w:val="0"/>
        <w:spacing w:before="120" w:after="120"/>
        <w:ind w:left="927" w:hanging="567"/>
        <w:jc w:val="both"/>
        <w:rPr>
          <w:rFonts w:ascii="Arial" w:hAnsi="Arial" w:cs="Arial"/>
          <w:bCs/>
        </w:rPr>
      </w:pPr>
      <w:r w:rsidRPr="00DE67A5">
        <w:rPr>
          <w:rFonts w:ascii="Arial" w:hAnsi="Arial" w:cs="Arial"/>
          <w:bCs/>
        </w:rPr>
        <w:t xml:space="preserve"> Do výpočtu dostupnosti služby se nezapočítávají:</w:t>
      </w:r>
    </w:p>
    <w:p w:rsidR="00380F52" w:rsidRPr="00DE67A5" w:rsidP="00380F52" w14:paraId="43258DA6" w14:textId="77777777">
      <w:pPr>
        <w:pStyle w:val="ListParagraph"/>
        <w:numPr>
          <w:ilvl w:val="0"/>
          <w:numId w:val="22"/>
        </w:numPr>
        <w:autoSpaceDE w:val="0"/>
        <w:autoSpaceDN w:val="0"/>
        <w:adjustRightInd w:val="0"/>
        <w:spacing w:before="120" w:after="120" w:line="276" w:lineRule="auto"/>
        <w:jc w:val="both"/>
        <w:rPr>
          <w:rFonts w:ascii="Arial" w:hAnsi="Arial" w:cs="Arial"/>
          <w:bCs/>
        </w:rPr>
      </w:pPr>
      <w:r w:rsidRPr="00DE67A5">
        <w:rPr>
          <w:rFonts w:ascii="Arial" w:hAnsi="Arial" w:cs="Arial"/>
          <w:bCs/>
        </w:rPr>
        <w:t>plánované práce, které byly v dostatečném předstihu oznámeny</w:t>
      </w:r>
    </w:p>
    <w:p w:rsidR="00380F52" w:rsidRPr="00DE67A5" w:rsidP="00380F52" w14:paraId="12B7E523" w14:textId="6E688C72">
      <w:pPr>
        <w:pStyle w:val="ListParagraph"/>
        <w:numPr>
          <w:ilvl w:val="0"/>
          <w:numId w:val="22"/>
        </w:numPr>
        <w:autoSpaceDE w:val="0"/>
        <w:autoSpaceDN w:val="0"/>
        <w:adjustRightInd w:val="0"/>
        <w:spacing w:before="120" w:after="120" w:line="276" w:lineRule="auto"/>
        <w:jc w:val="both"/>
        <w:rPr>
          <w:rFonts w:ascii="Arial" w:hAnsi="Arial" w:cs="Arial"/>
          <w:bCs/>
        </w:rPr>
      </w:pPr>
      <w:r w:rsidRPr="00DE67A5">
        <w:rPr>
          <w:rFonts w:ascii="Arial" w:hAnsi="Arial" w:cs="Arial"/>
          <w:bCs/>
        </w:rPr>
        <w:t xml:space="preserve">výpadky způsobené činnostmi na straně </w:t>
      </w:r>
      <w:r w:rsidRPr="00DE67A5" w:rsidR="00DE67A5">
        <w:rPr>
          <w:rFonts w:ascii="Arial" w:hAnsi="Arial" w:cs="Arial"/>
          <w:bCs/>
        </w:rPr>
        <w:t>objednatele</w:t>
      </w:r>
      <w:r w:rsidRPr="00DE67A5">
        <w:rPr>
          <w:rFonts w:ascii="Arial" w:hAnsi="Arial" w:cs="Arial"/>
          <w:bCs/>
        </w:rPr>
        <w:t>, které mají vliv na dostupnost služby</w:t>
      </w:r>
    </w:p>
    <w:p w:rsidR="00380F52" w:rsidRPr="00DE67A5" w:rsidP="00380F52" w14:paraId="4398CB18" w14:textId="76FD8BA9">
      <w:pPr>
        <w:pStyle w:val="ListParagraph"/>
        <w:numPr>
          <w:ilvl w:val="0"/>
          <w:numId w:val="22"/>
        </w:numPr>
        <w:autoSpaceDE w:val="0"/>
        <w:autoSpaceDN w:val="0"/>
        <w:adjustRightInd w:val="0"/>
        <w:spacing w:before="120" w:after="120" w:line="276" w:lineRule="auto"/>
        <w:jc w:val="both"/>
        <w:rPr>
          <w:rFonts w:ascii="Arial" w:hAnsi="Arial" w:cs="Arial"/>
          <w:bCs/>
        </w:rPr>
      </w:pPr>
      <w:r w:rsidRPr="00DE67A5">
        <w:rPr>
          <w:rFonts w:ascii="Arial" w:hAnsi="Arial" w:cs="Arial"/>
          <w:bCs/>
        </w:rPr>
        <w:t xml:space="preserve">výpadky vyplývající z právních předpisů, tj. situace, kdy je poskytovatel nebo </w:t>
      </w:r>
      <w:r w:rsidRPr="00DE67A5" w:rsidR="00DE67A5">
        <w:rPr>
          <w:rFonts w:ascii="Arial" w:hAnsi="Arial" w:cs="Arial"/>
          <w:bCs/>
        </w:rPr>
        <w:t>objednatel</w:t>
      </w:r>
      <w:r w:rsidRPr="00DE67A5">
        <w:rPr>
          <w:rFonts w:ascii="Arial" w:hAnsi="Arial" w:cs="Arial"/>
          <w:bCs/>
        </w:rPr>
        <w:t xml:space="preserve"> povinen přerušit nebo omezit službu na základě zákonných povinností.</w:t>
      </w:r>
    </w:p>
    <w:p w:rsidR="00615972" w:rsidRPr="00615972" w:rsidP="00602732" w14:paraId="793AC02E" w14:textId="77777777">
      <w:pPr>
        <w:numPr>
          <w:ilvl w:val="0"/>
          <w:numId w:val="2"/>
        </w:numPr>
        <w:spacing w:before="120" w:after="120" w:line="240" w:lineRule="auto"/>
        <w:ind w:left="425" w:hanging="425"/>
        <w:jc w:val="both"/>
        <w:rPr>
          <w:rFonts w:ascii="Arial" w:eastAsia="Calibri" w:hAnsi="Arial" w:cs="Arial"/>
        </w:rPr>
      </w:pPr>
      <w:r w:rsidRPr="00615972">
        <w:rPr>
          <w:rFonts w:ascii="Arial" w:eastAsia="Calibri" w:hAnsi="Arial" w:cs="Arial"/>
        </w:rPr>
        <w:t>Objednatel se zavazuje za řádně a včas poskytnuté služby zaplatit poskytovateli sjednanou cenu za podmínek stanovených v této smlouvě.</w:t>
      </w:r>
    </w:p>
    <w:p w:rsidR="00615972" w:rsidRPr="00615972" w:rsidP="00602732" w14:paraId="5DEB922E" w14:textId="08F5A319">
      <w:pPr>
        <w:numPr>
          <w:ilvl w:val="0"/>
          <w:numId w:val="2"/>
        </w:numPr>
        <w:spacing w:before="120" w:after="120" w:line="240" w:lineRule="auto"/>
        <w:ind w:left="425" w:hanging="425"/>
        <w:jc w:val="both"/>
        <w:rPr>
          <w:rFonts w:ascii="Arial" w:eastAsia="Calibri" w:hAnsi="Arial" w:cs="Arial"/>
        </w:rPr>
      </w:pPr>
      <w:r w:rsidRPr="00615972">
        <w:rPr>
          <w:rFonts w:ascii="Arial" w:eastAsia="Calibri" w:hAnsi="Arial" w:cs="Arial"/>
        </w:rPr>
        <w:t xml:space="preserve">Služby budou poskytovány způsobem, v rozsahu a kvalitě stanovené v tomto článku smlouvy, a dále způsobem, v rozsahu a kvalitě specifikované dalšími ustanoveními této </w:t>
      </w:r>
      <w:r w:rsidRPr="00615972">
        <w:rPr>
          <w:rFonts w:ascii="Arial" w:eastAsia="Calibri" w:hAnsi="Arial" w:cs="Arial"/>
        </w:rPr>
        <w:t>smlouvy a v souladu s nabídkou poskytovatele jako vybraného dodavatele o veřejnou zakázku, na základě</w:t>
      </w:r>
      <w:r w:rsidR="008715F2">
        <w:rPr>
          <w:rFonts w:ascii="Arial" w:eastAsia="Calibri" w:hAnsi="Arial" w:cs="Arial"/>
        </w:rPr>
        <w:t>,</w:t>
      </w:r>
      <w:r w:rsidRPr="00615972">
        <w:rPr>
          <w:rFonts w:ascii="Arial" w:eastAsia="Calibri" w:hAnsi="Arial" w:cs="Arial"/>
        </w:rPr>
        <w:t xml:space="preserve"> které byla tato smlouva uzavřena.</w:t>
      </w:r>
    </w:p>
    <w:p w:rsidR="00615972" w:rsidRPr="00615972" w:rsidP="00602732" w14:paraId="3153D716" w14:textId="77777777">
      <w:pPr>
        <w:numPr>
          <w:ilvl w:val="0"/>
          <w:numId w:val="1"/>
        </w:numPr>
        <w:spacing w:before="240" w:after="120" w:line="240" w:lineRule="auto"/>
        <w:ind w:left="0" w:firstLine="0"/>
        <w:jc w:val="center"/>
        <w:outlineLvl w:val="3"/>
        <w:rPr>
          <w:rFonts w:ascii="Arial" w:eastAsia="Calibri" w:hAnsi="Arial" w:cs="Arial"/>
          <w:b/>
        </w:rPr>
      </w:pPr>
      <w:r w:rsidRPr="00615972">
        <w:rPr>
          <w:rFonts w:ascii="Arial" w:eastAsia="Calibri" w:hAnsi="Arial" w:cs="Arial"/>
          <w:b/>
        </w:rPr>
        <w:br/>
        <w:t>Doba a místo plnění</w:t>
      </w:r>
    </w:p>
    <w:p w:rsidR="00615972" w:rsidRPr="00615972" w:rsidP="00602732" w14:paraId="786F41CD" w14:textId="77777777">
      <w:pPr>
        <w:numPr>
          <w:ilvl w:val="0"/>
          <w:numId w:val="3"/>
        </w:numPr>
        <w:spacing w:before="120" w:after="120" w:line="240" w:lineRule="auto"/>
        <w:ind w:left="425" w:hanging="425"/>
        <w:jc w:val="both"/>
        <w:rPr>
          <w:rFonts w:ascii="Arial" w:eastAsia="Calibri" w:hAnsi="Arial" w:cs="Arial"/>
        </w:rPr>
      </w:pPr>
      <w:r w:rsidRPr="00615972">
        <w:rPr>
          <w:rFonts w:ascii="Arial" w:eastAsia="Calibri" w:hAnsi="Arial" w:cs="Arial"/>
        </w:rPr>
        <w:t>Tato smlouva se uzavírá na dobu neurčitou.</w:t>
      </w:r>
    </w:p>
    <w:p w:rsidR="00615972" w:rsidRPr="00615972" w:rsidP="00602732" w14:paraId="5F3C5B5E" w14:textId="1F7A0BBB">
      <w:pPr>
        <w:numPr>
          <w:ilvl w:val="0"/>
          <w:numId w:val="3"/>
        </w:numPr>
        <w:spacing w:before="120" w:after="120" w:line="240" w:lineRule="auto"/>
        <w:ind w:left="425" w:hanging="425"/>
        <w:jc w:val="both"/>
        <w:rPr>
          <w:rFonts w:ascii="Arial" w:eastAsia="Calibri" w:hAnsi="Arial" w:cs="Arial"/>
        </w:rPr>
      </w:pPr>
      <w:r w:rsidRPr="00615972">
        <w:rPr>
          <w:rFonts w:ascii="Arial" w:eastAsia="Calibri" w:hAnsi="Arial" w:cs="Arial"/>
        </w:rPr>
        <w:t xml:space="preserve">Poskytovatel je povinen </w:t>
      </w:r>
      <w:r w:rsidRPr="00615972">
        <w:rPr>
          <w:rFonts w:ascii="Arial" w:eastAsia="Calibri" w:hAnsi="Arial" w:cs="Arial"/>
          <w:lang w:eastAsia="cs-CZ"/>
        </w:rPr>
        <w:t>zřídit službu Dark Fiber (zřízení přenosové trasy z místa A do</w:t>
      </w:r>
      <w:r w:rsidR="00602732">
        <w:rPr>
          <w:rFonts w:ascii="Arial" w:eastAsia="Calibri" w:hAnsi="Arial" w:cs="Arial"/>
          <w:lang w:eastAsia="cs-CZ"/>
        </w:rPr>
        <w:t> </w:t>
      </w:r>
      <w:r w:rsidRPr="00615972">
        <w:rPr>
          <w:rFonts w:ascii="Arial" w:eastAsia="Calibri" w:hAnsi="Arial" w:cs="Arial"/>
          <w:lang w:eastAsia="cs-CZ"/>
        </w:rPr>
        <w:t xml:space="preserve">místa B) a provést konfiguraci služby nejpozději </w:t>
      </w:r>
      <w:r w:rsidRPr="00464D5D">
        <w:rPr>
          <w:rFonts w:ascii="Arial" w:eastAsia="Calibri" w:hAnsi="Arial" w:cs="Arial"/>
          <w:lang w:eastAsia="cs-CZ"/>
        </w:rPr>
        <w:t>do 30 dnů od nabytí účinností této smlouvy</w:t>
      </w:r>
      <w:r w:rsidRPr="00615972">
        <w:rPr>
          <w:rFonts w:ascii="Arial" w:eastAsia="Calibri" w:hAnsi="Arial" w:cs="Arial"/>
          <w:lang w:eastAsia="cs-CZ"/>
        </w:rPr>
        <w:t>, a to v</w:t>
      </w:r>
      <w:r w:rsidRPr="00615972">
        <w:rPr>
          <w:rFonts w:ascii="Arial" w:eastAsia="Calibri" w:hAnsi="Arial" w:cs="Arial"/>
        </w:rPr>
        <w:t>e stanovené kvalitě, splňující stanovené vlastnosti (dále jen „zřízení a konfigurace služby Dark Fiber“).</w:t>
      </w:r>
    </w:p>
    <w:p w:rsidR="00615972" w:rsidRPr="00615972" w:rsidP="00602732" w14:paraId="298A15C4" w14:textId="76211902">
      <w:pPr>
        <w:numPr>
          <w:ilvl w:val="0"/>
          <w:numId w:val="3"/>
        </w:numPr>
        <w:spacing w:before="120" w:after="120" w:line="240" w:lineRule="auto"/>
        <w:ind w:left="425" w:hanging="425"/>
        <w:jc w:val="both"/>
        <w:rPr>
          <w:rFonts w:ascii="Arial" w:eastAsia="Calibri" w:hAnsi="Arial" w:cs="Arial"/>
        </w:rPr>
      </w:pPr>
      <w:r w:rsidRPr="00615972">
        <w:rPr>
          <w:rFonts w:ascii="Arial" w:eastAsia="Calibri" w:hAnsi="Arial" w:cs="Arial"/>
        </w:rPr>
        <w:t>O předání a převzetí zřízení a konfigurace služby Dark Fiber bude sepsán protokol o</w:t>
      </w:r>
      <w:r w:rsidR="00602732">
        <w:rPr>
          <w:rFonts w:ascii="Arial" w:eastAsia="Calibri" w:hAnsi="Arial" w:cs="Arial"/>
        </w:rPr>
        <w:t> </w:t>
      </w:r>
      <w:r w:rsidRPr="00615972">
        <w:rPr>
          <w:rFonts w:ascii="Arial" w:eastAsia="Calibri" w:hAnsi="Arial" w:cs="Arial"/>
        </w:rPr>
        <w:t>předání a převzetí zřízení a konfigurace služby Dark Fiber (dále jen „předávací protokol“) ve 2 vyhotoveních, který bude podepsán oprávněnými zástupci poskytovatele a objednatele, a každá ze smluvních stran obdrží po 1 vyhotovení předávacího protokolu. Návrh předávacího protokolu připraví poskytovatel.</w:t>
      </w:r>
    </w:p>
    <w:p w:rsidR="00615972" w:rsidRPr="00615972" w:rsidP="00602732" w14:paraId="3171DA45" w14:textId="77777777">
      <w:pPr>
        <w:numPr>
          <w:ilvl w:val="0"/>
          <w:numId w:val="3"/>
        </w:numPr>
        <w:spacing w:before="120" w:after="120" w:line="240" w:lineRule="auto"/>
        <w:ind w:left="425" w:hanging="425"/>
        <w:jc w:val="both"/>
        <w:rPr>
          <w:rFonts w:ascii="Arial" w:eastAsia="Calibri" w:hAnsi="Arial" w:cs="Arial"/>
        </w:rPr>
      </w:pPr>
      <w:r w:rsidRPr="00615972">
        <w:rPr>
          <w:rFonts w:ascii="Arial" w:eastAsia="Calibri" w:hAnsi="Arial" w:cs="Arial"/>
        </w:rPr>
        <w:t>Objednatel není povinen převzít plnění, které vykazuje zjevné vady či odchylky od popisu dle této smlouvy, od dokumentace k němu nebo od nabídky poskytovatele podané ve výběrovém řízení, v němž byla jeho nabídka vybrána jako nejvýhodnější. V takovém případě je objednatel povinen sepsat zápis o zjištěných vadách a předat jej poskytovateli. Do odstranění vad není objednatel povinen podepsat předávací protokol a zaplatit cenu. Vady zjištěné objednatelem při převzetí plnění je poskytovatel povinen odstranit nejpozději do 3 pracovních dnů ode dne doručení (předání) zápisu objednatele o těchto vadách.</w:t>
      </w:r>
    </w:p>
    <w:p w:rsidR="00615972" w:rsidRPr="00615972" w:rsidP="00615972" w14:paraId="6040E332" w14:textId="77777777">
      <w:pPr>
        <w:numPr>
          <w:ilvl w:val="0"/>
          <w:numId w:val="3"/>
        </w:numPr>
        <w:spacing w:after="240" w:line="260" w:lineRule="atLeast"/>
        <w:ind w:left="425" w:hanging="425"/>
        <w:jc w:val="both"/>
        <w:rPr>
          <w:rFonts w:ascii="Arial" w:eastAsia="Calibri" w:hAnsi="Arial" w:cs="Arial"/>
        </w:rPr>
      </w:pPr>
      <w:r w:rsidRPr="00615972">
        <w:rPr>
          <w:rFonts w:ascii="Arial" w:eastAsia="Calibri" w:hAnsi="Arial" w:cs="Arial"/>
        </w:rPr>
        <w:t>Místem poskytování služeb jsou objekty objednatele uvedené v čl. I odst. 1 této smlouvy.</w:t>
      </w:r>
    </w:p>
    <w:p w:rsidR="00615972" w:rsidRPr="00615972" w:rsidP="00602732" w14:paraId="3458E64F" w14:textId="3FD314BC">
      <w:pPr>
        <w:numPr>
          <w:ilvl w:val="0"/>
          <w:numId w:val="1"/>
        </w:numPr>
        <w:spacing w:before="240" w:after="120" w:line="240" w:lineRule="auto"/>
        <w:ind w:left="0" w:firstLine="0"/>
        <w:jc w:val="center"/>
        <w:outlineLvl w:val="3"/>
        <w:rPr>
          <w:rFonts w:ascii="Arial" w:eastAsia="Calibri" w:hAnsi="Arial" w:cs="Arial"/>
          <w:b/>
        </w:rPr>
      </w:pPr>
      <w:r w:rsidRPr="00615972">
        <w:rPr>
          <w:rFonts w:ascii="Arial" w:eastAsia="Calibri" w:hAnsi="Arial" w:cs="Arial"/>
          <w:b/>
        </w:rPr>
        <w:br/>
        <w:t>Po</w:t>
      </w:r>
      <w:r w:rsidR="000639CA">
        <w:rPr>
          <w:rFonts w:ascii="Arial" w:eastAsia="Calibri" w:hAnsi="Arial" w:cs="Arial"/>
          <w:b/>
        </w:rPr>
        <w:t>dmínky poskytování služeb</w:t>
      </w:r>
      <w:r w:rsidRPr="00615972">
        <w:rPr>
          <w:rFonts w:ascii="Arial" w:eastAsia="Calibri" w:hAnsi="Arial" w:cs="Arial"/>
          <w:b/>
        </w:rPr>
        <w:t>, odpovědnost za vady</w:t>
      </w:r>
    </w:p>
    <w:p w:rsidR="00615972" w:rsidRPr="00615972" w:rsidP="00602732" w14:paraId="518822D0" w14:textId="6C71FD5C">
      <w:pPr>
        <w:numPr>
          <w:ilvl w:val="0"/>
          <w:numId w:val="5"/>
        </w:numPr>
        <w:spacing w:before="120" w:after="120" w:line="240" w:lineRule="auto"/>
        <w:ind w:left="425" w:hanging="425"/>
        <w:jc w:val="both"/>
        <w:rPr>
          <w:rFonts w:ascii="Arial" w:eastAsia="Calibri" w:hAnsi="Arial" w:cs="Arial"/>
        </w:rPr>
      </w:pPr>
      <w:r w:rsidRPr="00615972">
        <w:rPr>
          <w:rFonts w:ascii="Arial" w:eastAsia="Calibri" w:hAnsi="Arial" w:cs="Arial"/>
        </w:rPr>
        <w:t xml:space="preserve">Poskytovatel je při poskytování </w:t>
      </w:r>
      <w:r w:rsidR="000639CA">
        <w:rPr>
          <w:rFonts w:ascii="Arial" w:eastAsia="Calibri" w:hAnsi="Arial" w:cs="Arial"/>
        </w:rPr>
        <w:t>služeb</w:t>
      </w:r>
      <w:r w:rsidRPr="00615972">
        <w:rPr>
          <w:rFonts w:ascii="Arial" w:eastAsia="Calibri" w:hAnsi="Arial" w:cs="Arial"/>
        </w:rPr>
        <w:t xml:space="preserve"> povinen postupovat s odbornou péčí, podle svých nejlepších znalostí a schopností, přičemž je při své činnosti povinen sledovat a chránit zájmy a dobré jméno objednatele a postupovat v souladu s jeho pokyny. Objednatel je povinen poskytovat poskytovateli součinnost nezbytnou k řádnému plnění povinností poskytovatele dle této smlouvy. V případě nevhodných pokynů objednatele je poskytovatel povinen na nevhodnost těchto pokynů objednatele písemně upozornit, v opačném případě nese poskytovatel odpovědnost za vady a za škodu, které v důsledku nevhodných pokynů vznikly.</w:t>
      </w:r>
    </w:p>
    <w:p w:rsidR="00615972" w:rsidRPr="00615972" w:rsidP="00602732" w14:paraId="6EAC75A7" w14:textId="4147A51C">
      <w:pPr>
        <w:numPr>
          <w:ilvl w:val="0"/>
          <w:numId w:val="5"/>
        </w:numPr>
        <w:spacing w:before="120" w:after="120" w:line="240" w:lineRule="auto"/>
        <w:ind w:left="425" w:hanging="425"/>
        <w:jc w:val="both"/>
        <w:rPr>
          <w:rFonts w:ascii="Arial" w:eastAsia="Calibri" w:hAnsi="Arial" w:cs="Arial"/>
        </w:rPr>
      </w:pPr>
      <w:r w:rsidRPr="00615972">
        <w:rPr>
          <w:rFonts w:ascii="Arial" w:eastAsia="Calibri" w:hAnsi="Arial" w:cs="Arial"/>
        </w:rPr>
        <w:t>Poskytovatel odpovídá za řádné poskytování s</w:t>
      </w:r>
      <w:r w:rsidR="00555364">
        <w:rPr>
          <w:rFonts w:ascii="Arial" w:eastAsia="Calibri" w:hAnsi="Arial" w:cs="Arial"/>
        </w:rPr>
        <w:t>lužeb</w:t>
      </w:r>
      <w:r w:rsidRPr="00615972">
        <w:rPr>
          <w:rFonts w:ascii="Arial" w:eastAsia="Calibri" w:hAnsi="Arial" w:cs="Arial"/>
        </w:rPr>
        <w:t xml:space="preserve"> dle této smlouvy po dobu účinnosti této smlouvy.</w:t>
      </w:r>
    </w:p>
    <w:p w:rsidR="00615972" w:rsidRPr="00E61ADD" w:rsidP="00E61ADD" w14:paraId="692A7DAE" w14:textId="04E6FBA1">
      <w:pPr>
        <w:numPr>
          <w:ilvl w:val="0"/>
          <w:numId w:val="5"/>
        </w:numPr>
        <w:spacing w:before="120" w:after="120" w:line="240" w:lineRule="auto"/>
        <w:ind w:left="425" w:hanging="425"/>
        <w:jc w:val="both"/>
        <w:rPr>
          <w:rFonts w:ascii="Arial" w:eastAsia="Calibri" w:hAnsi="Arial" w:cs="Arial"/>
        </w:rPr>
      </w:pPr>
      <w:r w:rsidRPr="00E61ADD">
        <w:rPr>
          <w:rFonts w:ascii="Arial" w:eastAsia="Calibri" w:hAnsi="Arial" w:cs="Arial"/>
        </w:rPr>
        <w:t xml:space="preserve">Objednatel je povinen uplatňovat vady na předmětu plnění v co nejkratší lhůtě po jejich zjištění. Uplatnění vad se provede e-mailovou formou na e-mail poskytovatele </w:t>
      </w:r>
      <w:r w:rsidRPr="00E61ADD" w:rsidR="00E61ADD">
        <w:rPr>
          <w:rFonts w:ascii="Arial" w:eastAsia="Calibri" w:hAnsi="Arial" w:cs="Arial"/>
        </w:rPr>
        <w:t>isoc</w:t>
      </w:r>
      <w:hyperlink r:id="rId9" w:tooltip="mailto:pavel.pesek@cetin.cz" w:history="1">
        <w:r w:rsidRPr="00655F57" w:rsidR="00E61ADD">
          <w:rPr>
            <w:rStyle w:val="Hyperlink"/>
            <w:rFonts w:ascii="Arial" w:eastAsia="Calibri" w:hAnsi="Arial" w:cs="Arial"/>
            <w:color w:val="auto"/>
          </w:rPr>
          <w:t>@</w:t>
        </w:r>
      </w:hyperlink>
      <w:r w:rsidRPr="00E61ADD" w:rsidR="00E61ADD">
        <w:rPr>
          <w:rFonts w:ascii="Arial" w:eastAsia="Calibri" w:hAnsi="Arial" w:cs="Arial"/>
        </w:rPr>
        <w:t xml:space="preserve">cetin.cz </w:t>
      </w:r>
      <w:r w:rsidRPr="00E61ADD">
        <w:rPr>
          <w:rFonts w:ascii="Arial" w:eastAsia="Calibri" w:hAnsi="Arial" w:cs="Arial"/>
        </w:rPr>
        <w:t>nebo prostřednictvím helpdesk systému poskytovatele, a to v době pracovních dnů od 09:00 hod. do 17:00 hod. s tím, že poskytovatel je povinen potvrdit objednateli nahlášení závady do 4 hodin od odeslání předmětného nahlášení, dále zahájit práce na odstranění vad nejpozději do druhého pracovního dne od nahlášení závady, a dále odstranit vady do 5 pracovních dnů ode dne jejich nahlášení, nestanoví-li objednatel lhůtu delší. V případě, že poskytovatel nezahájí odstraňování vad nebo neodstraní vady ve lhůtách dle předchozí věty, je objednatel oprávněn odstranit vady na</w:t>
      </w:r>
      <w:r w:rsidRPr="00E61ADD" w:rsidR="00602732">
        <w:rPr>
          <w:rFonts w:ascii="Arial" w:eastAsia="Calibri" w:hAnsi="Arial" w:cs="Arial"/>
        </w:rPr>
        <w:t> </w:t>
      </w:r>
      <w:r w:rsidRPr="00E61ADD">
        <w:rPr>
          <w:rFonts w:ascii="Arial" w:eastAsia="Calibri" w:hAnsi="Arial" w:cs="Arial"/>
        </w:rPr>
        <w:t>vlastní náklady, které je poskytovatel povinen následně objednateli uhradit do 14 dnů ode dne obdržení faktury. Tímto ujednáním není dotčeno právo objednatele na náhradu škody.</w:t>
      </w:r>
    </w:p>
    <w:p w:rsidR="00615972" w:rsidRPr="00615972" w:rsidP="00602732" w14:paraId="1E245959" w14:textId="77777777">
      <w:pPr>
        <w:numPr>
          <w:ilvl w:val="0"/>
          <w:numId w:val="5"/>
        </w:numPr>
        <w:spacing w:before="120" w:after="120" w:line="240" w:lineRule="auto"/>
        <w:ind w:left="425" w:hanging="425"/>
        <w:jc w:val="both"/>
        <w:rPr>
          <w:rFonts w:ascii="Arial" w:eastAsia="Calibri" w:hAnsi="Arial" w:cs="Arial"/>
        </w:rPr>
      </w:pPr>
      <w:r w:rsidRPr="00615972">
        <w:rPr>
          <w:rFonts w:ascii="Arial" w:eastAsia="Calibri" w:hAnsi="Arial" w:cs="Arial"/>
        </w:rPr>
        <w:t>Uplatněním odpovědnosti za vady nejsou dotčeny nároky na náhradu škody nebo na uplatnění smluvní pokuty.</w:t>
      </w:r>
    </w:p>
    <w:p w:rsidR="00615972" w:rsidRPr="00615972" w:rsidP="00602732" w14:paraId="73847CB4" w14:textId="77777777">
      <w:pPr>
        <w:numPr>
          <w:ilvl w:val="0"/>
          <w:numId w:val="1"/>
        </w:numPr>
        <w:spacing w:before="120" w:after="120" w:line="240" w:lineRule="auto"/>
        <w:ind w:left="0" w:firstLine="0"/>
        <w:jc w:val="center"/>
        <w:outlineLvl w:val="3"/>
        <w:rPr>
          <w:rFonts w:ascii="Arial" w:eastAsia="Calibri" w:hAnsi="Arial" w:cs="Arial"/>
          <w:b/>
        </w:rPr>
      </w:pPr>
      <w:r w:rsidRPr="00615972">
        <w:rPr>
          <w:rFonts w:ascii="Arial" w:eastAsia="Calibri" w:hAnsi="Arial" w:cs="Arial"/>
          <w:b/>
        </w:rPr>
        <w:br/>
        <w:t>Cena a platební podmínky</w:t>
      </w:r>
    </w:p>
    <w:p w:rsidR="00615972" w:rsidRPr="00615972" w:rsidP="00602732" w14:paraId="3CB0E945" w14:textId="77777777">
      <w:pPr>
        <w:numPr>
          <w:ilvl w:val="0"/>
          <w:numId w:val="6"/>
        </w:numPr>
        <w:spacing w:before="120" w:after="120" w:line="240" w:lineRule="auto"/>
        <w:ind w:left="425" w:hanging="425"/>
        <w:jc w:val="both"/>
        <w:rPr>
          <w:rFonts w:ascii="Arial" w:eastAsia="Calibri" w:hAnsi="Arial" w:cs="Arial"/>
        </w:rPr>
      </w:pPr>
      <w:r w:rsidRPr="00615972">
        <w:rPr>
          <w:rFonts w:ascii="Arial" w:eastAsia="Calibri" w:hAnsi="Arial" w:cs="Arial"/>
        </w:rPr>
        <w:t xml:space="preserve">Objednatel se zavazuje zaplatit poskytovateli za předmět plnění dle této smlouvy </w:t>
      </w:r>
    </w:p>
    <w:p w:rsidR="00615972" w:rsidRPr="00DE67A5" w:rsidP="00602732" w14:paraId="69F1DAD9" w14:textId="467218D7">
      <w:pPr>
        <w:numPr>
          <w:ilvl w:val="0"/>
          <w:numId w:val="7"/>
        </w:numPr>
        <w:spacing w:before="120" w:after="120" w:line="240" w:lineRule="auto"/>
        <w:ind w:left="992" w:hanging="567"/>
        <w:jc w:val="both"/>
        <w:rPr>
          <w:rFonts w:ascii="Arial" w:eastAsia="Calibri" w:hAnsi="Arial" w:cs="Arial"/>
        </w:rPr>
      </w:pPr>
      <w:r w:rsidRPr="00DE67A5">
        <w:rPr>
          <w:rFonts w:ascii="Arial" w:eastAsia="Calibri" w:hAnsi="Arial" w:cs="Arial"/>
        </w:rPr>
        <w:t xml:space="preserve">cenu za jednorázové zřízení služby Dark Fiber (zřízení přenosové trasy a konfigurace služby) ve výši </w:t>
      </w:r>
      <w:r w:rsidRPr="00DE67A5" w:rsidR="00DE67A5">
        <w:rPr>
          <w:rFonts w:ascii="Arial" w:eastAsia="Calibri" w:hAnsi="Arial" w:cs="Arial"/>
        </w:rPr>
        <w:t xml:space="preserve">1,- Kč </w:t>
      </w:r>
      <w:r w:rsidRPr="00DE67A5">
        <w:rPr>
          <w:rFonts w:ascii="Arial" w:eastAsia="Calibri" w:hAnsi="Arial" w:cs="Arial"/>
        </w:rPr>
        <w:t xml:space="preserve">bez DPH, tj. </w:t>
      </w:r>
      <w:r w:rsidRPr="00DE67A5" w:rsidR="00DE67A5">
        <w:rPr>
          <w:rFonts w:ascii="Arial" w:eastAsia="Calibri" w:hAnsi="Arial" w:cs="Arial"/>
        </w:rPr>
        <w:t>1,21 Kč</w:t>
      </w:r>
      <w:r w:rsidR="00DE67A5">
        <w:rPr>
          <w:rFonts w:ascii="Arial" w:eastAsia="Calibri" w:hAnsi="Arial" w:cs="Arial"/>
        </w:rPr>
        <w:t xml:space="preserve"> </w:t>
      </w:r>
      <w:r w:rsidRPr="00DE67A5">
        <w:rPr>
          <w:rFonts w:ascii="Arial" w:eastAsia="Calibri" w:hAnsi="Arial" w:cs="Arial"/>
        </w:rPr>
        <w:t>včetně DPH;</w:t>
      </w:r>
    </w:p>
    <w:p w:rsidR="00615972" w:rsidRPr="00DE67A5" w:rsidP="00602732" w14:paraId="7E65AE6A" w14:textId="66592D65">
      <w:pPr>
        <w:numPr>
          <w:ilvl w:val="0"/>
          <w:numId w:val="7"/>
        </w:numPr>
        <w:spacing w:before="120" w:after="120" w:line="240" w:lineRule="auto"/>
        <w:ind w:left="993" w:hanging="567"/>
        <w:jc w:val="both"/>
        <w:rPr>
          <w:rFonts w:ascii="Arial" w:eastAsia="Calibri" w:hAnsi="Arial" w:cs="Arial"/>
        </w:rPr>
      </w:pPr>
      <w:r w:rsidRPr="00DE67A5">
        <w:rPr>
          <w:rFonts w:ascii="Arial" w:eastAsia="Calibri" w:hAnsi="Arial" w:cs="Arial"/>
        </w:rPr>
        <w:t xml:space="preserve">měsíční cenu za poskytování služeb Dark Fiber ve výši </w:t>
      </w:r>
      <w:r w:rsidRPr="00DE67A5" w:rsidR="00DE67A5">
        <w:rPr>
          <w:rFonts w:ascii="Arial" w:eastAsia="Calibri" w:hAnsi="Arial" w:cs="Arial"/>
        </w:rPr>
        <w:t>12.000, - Kč bez</w:t>
      </w:r>
      <w:r w:rsidRPr="00DE67A5">
        <w:rPr>
          <w:rFonts w:ascii="Arial" w:eastAsia="Calibri" w:hAnsi="Arial" w:cs="Arial"/>
        </w:rPr>
        <w:t xml:space="preserve"> DPH, tj.</w:t>
      </w:r>
      <w:r w:rsidR="000B6EF9">
        <w:rPr>
          <w:rFonts w:ascii="Arial" w:eastAsia="Calibri" w:hAnsi="Arial" w:cs="Arial"/>
        </w:rPr>
        <w:t> </w:t>
      </w:r>
      <w:r w:rsidRPr="00DE67A5" w:rsidR="00DE67A5">
        <w:rPr>
          <w:rFonts w:ascii="Arial" w:eastAsia="Calibri" w:hAnsi="Arial" w:cs="Arial"/>
        </w:rPr>
        <w:t xml:space="preserve">14.520, </w:t>
      </w:r>
      <w:r w:rsidRPr="00DE67A5" w:rsidR="000B6EF9">
        <w:rPr>
          <w:rFonts w:ascii="Arial" w:eastAsia="Calibri" w:hAnsi="Arial" w:cs="Arial"/>
        </w:rPr>
        <w:t xml:space="preserve">- </w:t>
      </w:r>
      <w:r w:rsidR="000B6EF9">
        <w:rPr>
          <w:rFonts w:ascii="Arial" w:eastAsia="Calibri" w:hAnsi="Arial" w:cs="Arial"/>
        </w:rPr>
        <w:t>Kč</w:t>
      </w:r>
      <w:r w:rsidRPr="00DE67A5" w:rsidR="00DE67A5">
        <w:rPr>
          <w:rFonts w:ascii="Arial" w:eastAsia="Calibri" w:hAnsi="Arial" w:cs="Arial"/>
        </w:rPr>
        <w:t xml:space="preserve"> včetně</w:t>
      </w:r>
      <w:r w:rsidRPr="00DE67A5">
        <w:rPr>
          <w:rFonts w:ascii="Arial" w:eastAsia="Calibri" w:hAnsi="Arial" w:cs="Arial"/>
        </w:rPr>
        <w:t xml:space="preserve"> DPH.</w:t>
      </w:r>
    </w:p>
    <w:p w:rsidR="00615972" w:rsidRPr="00615972" w:rsidP="00602732" w14:paraId="1DE114D1" w14:textId="77777777">
      <w:pPr>
        <w:numPr>
          <w:ilvl w:val="0"/>
          <w:numId w:val="6"/>
        </w:numPr>
        <w:spacing w:before="120" w:after="120" w:line="240" w:lineRule="auto"/>
        <w:ind w:left="425" w:hanging="425"/>
        <w:jc w:val="both"/>
        <w:rPr>
          <w:rFonts w:ascii="Arial" w:eastAsia="Calibri" w:hAnsi="Arial" w:cs="Arial"/>
        </w:rPr>
      </w:pPr>
      <w:r w:rsidRPr="00615972">
        <w:rPr>
          <w:rFonts w:ascii="Arial" w:eastAsia="Calibri" w:hAnsi="Arial" w:cs="Arial"/>
        </w:rPr>
        <w:t>Cena za jednorázové zřízení služby Dark Fiber a měsíční cena za poskytování služeb dle čl. IV odst. 1 této smlouvy jsou stanoveny jako ceny nejvýše přípustné</w:t>
      </w:r>
      <w:r w:rsidRPr="00615972">
        <w:rPr>
          <w:rFonts w:ascii="Arial" w:eastAsia="Calibri" w:hAnsi="Arial" w:cs="Arial"/>
        </w:rPr>
        <w:br/>
        <w:t xml:space="preserve">a překročitelné pouze za podmínek stanovených níže v tomto odstavci a zahrnují zejména veškeré náklady poskytovatele spojené s plněním předmětu smlouvy (včetně dopravy do místa plnění náklady na tisk, poplatky za udělení autorských práv, telefonní poplatky apod.). V případě změny sazby DPH není třeba uzavírat dodatek k této smlouvě, ale bude aplikována sazba DPH vždy v aktuální výši dle platných právních předpisů </w:t>
      </w:r>
    </w:p>
    <w:p w:rsidR="00615972" w:rsidRPr="00615972" w:rsidP="00602732" w14:paraId="5EE85696" w14:textId="77777777">
      <w:pPr>
        <w:numPr>
          <w:ilvl w:val="0"/>
          <w:numId w:val="6"/>
        </w:numPr>
        <w:spacing w:before="120" w:after="120" w:line="240" w:lineRule="auto"/>
        <w:ind w:left="425" w:hanging="425"/>
        <w:jc w:val="both"/>
        <w:rPr>
          <w:rFonts w:ascii="Arial" w:eastAsia="Calibri" w:hAnsi="Arial" w:cs="Arial"/>
        </w:rPr>
      </w:pPr>
      <w:r w:rsidRPr="00615972">
        <w:rPr>
          <w:rFonts w:ascii="Arial" w:eastAsia="Calibri" w:hAnsi="Arial" w:cs="Arial"/>
        </w:rPr>
        <w:t>Cenu za jednorázové zřízení a konfiguraci služby Dark Fiber dle čl. IV odst. 1 písm. a) této smlouvy je poskytovatel oprávněn fakturovat objednateli po převzetí části plnění objednatelem dle čl. II odst. 3 této smlouvy. Cenu za poskytnuté plnění uhradí objednatel na základě faktury poskytovatele bezhotovostním převodem, přičemž splatnost faktury je 21 dnů ode dne jejího doručení objednateli.</w:t>
      </w:r>
    </w:p>
    <w:p w:rsidR="00615972" w:rsidRPr="00615972" w:rsidP="00602732" w14:paraId="124EAF55" w14:textId="6539159C">
      <w:pPr>
        <w:numPr>
          <w:ilvl w:val="0"/>
          <w:numId w:val="6"/>
        </w:numPr>
        <w:spacing w:before="120" w:after="120" w:line="240" w:lineRule="auto"/>
        <w:ind w:left="425" w:hanging="425"/>
        <w:jc w:val="both"/>
        <w:rPr>
          <w:rFonts w:ascii="Arial" w:eastAsia="Calibri" w:hAnsi="Arial" w:cs="Arial"/>
        </w:rPr>
      </w:pPr>
      <w:r w:rsidRPr="00615972">
        <w:rPr>
          <w:rFonts w:ascii="Arial" w:eastAsia="Calibri" w:hAnsi="Arial" w:cs="Arial"/>
        </w:rPr>
        <w:t>Měsíční cenu za poskytování služeb Dark Fiber dle čl. IV odst. 1 písm. b) smlouvy je poskytovatel oprávněn fakturovat objednateli měsíčně zpětně, a to na základě faktury poskytovatele bezhotovostním</w:t>
      </w:r>
      <w:r w:rsidR="00F21EB9">
        <w:rPr>
          <w:rFonts w:ascii="Arial" w:eastAsia="Calibri" w:hAnsi="Arial" w:cs="Arial"/>
        </w:rPr>
        <w:t xml:space="preserve"> </w:t>
      </w:r>
      <w:r w:rsidRPr="00615972">
        <w:rPr>
          <w:rFonts w:ascii="Arial" w:eastAsia="Calibri" w:hAnsi="Arial" w:cs="Arial"/>
        </w:rPr>
        <w:t>převodem</w:t>
      </w:r>
      <w:r w:rsidR="00F21EB9">
        <w:rPr>
          <w:rFonts w:ascii="Arial" w:eastAsia="Calibri" w:hAnsi="Arial" w:cs="Arial"/>
        </w:rPr>
        <w:t>,</w:t>
      </w:r>
      <w:r w:rsidRPr="00615972">
        <w:rPr>
          <w:rFonts w:ascii="Arial" w:eastAsia="Calibri" w:hAnsi="Arial" w:cs="Arial"/>
        </w:rPr>
        <w:t xml:space="preserve"> přičemž splatnost faktury je 21 dnů ode dne jejího doručení objednateli.</w:t>
      </w:r>
    </w:p>
    <w:p w:rsidR="00615972" w:rsidRPr="00615972" w:rsidP="00602732" w14:paraId="6FA90680" w14:textId="51BF61E1">
      <w:pPr>
        <w:numPr>
          <w:ilvl w:val="0"/>
          <w:numId w:val="6"/>
        </w:numPr>
        <w:spacing w:before="120" w:after="120" w:line="240" w:lineRule="auto"/>
        <w:ind w:left="425" w:hanging="425"/>
        <w:jc w:val="both"/>
        <w:rPr>
          <w:rFonts w:ascii="Arial" w:eastAsia="Calibri" w:hAnsi="Arial" w:cs="Arial"/>
        </w:rPr>
      </w:pPr>
      <w:r w:rsidRPr="00615972">
        <w:rPr>
          <w:rFonts w:ascii="Arial" w:eastAsia="Calibri" w:hAnsi="Arial" w:cs="Arial"/>
        </w:rPr>
        <w:t>Faktura poskytovatele musí vždy obsahovat náležitosti obchodní listiny dle § 435 občanského zákoníku a daňového dokladu dle zákona č. 563/1991 Sb., o účetnictví, ve</w:t>
      </w:r>
      <w:r w:rsidR="00602732">
        <w:rPr>
          <w:rFonts w:ascii="Arial" w:eastAsia="Calibri" w:hAnsi="Arial" w:cs="Arial"/>
        </w:rPr>
        <w:t> </w:t>
      </w:r>
      <w:r w:rsidRPr="00615972">
        <w:rPr>
          <w:rFonts w:ascii="Arial" w:eastAsia="Calibri" w:hAnsi="Arial" w:cs="Arial"/>
        </w:rPr>
        <w:t>znění pozdějších předpisů a dle zákona č. 235/2004 Sb., o dani z přidané hodnoty, ve</w:t>
      </w:r>
      <w:r w:rsidR="00602732">
        <w:rPr>
          <w:rFonts w:ascii="Arial" w:eastAsia="Calibri" w:hAnsi="Arial" w:cs="Arial"/>
        </w:rPr>
        <w:t> </w:t>
      </w:r>
      <w:r w:rsidRPr="00615972">
        <w:rPr>
          <w:rFonts w:ascii="Arial" w:eastAsia="Calibri" w:hAnsi="Arial" w:cs="Arial"/>
        </w:rPr>
        <w:t>znění pozdějších předpisů (dále jen „ZDPH“). Na faktuře musí být uvedeno evidenční číslo této smlouvy uvedené objednatelem v záhlaví této smlouvy a přílohou faktury musí být v případě fakturace ceny za jednorázové zřízení a konfiguraci služeb Dark Fiber dle odst. 4 tohoto článku kopie předávacího protokolu oboustranně podepsaného dle čl. II odst. 3 této smlouvy.</w:t>
      </w:r>
    </w:p>
    <w:p w:rsidR="00615972" w:rsidRPr="00615972" w:rsidP="00602732" w14:paraId="426B464D" w14:textId="77777777">
      <w:pPr>
        <w:numPr>
          <w:ilvl w:val="0"/>
          <w:numId w:val="6"/>
        </w:numPr>
        <w:spacing w:before="120" w:after="120" w:line="240" w:lineRule="auto"/>
        <w:ind w:left="425" w:hanging="425"/>
        <w:jc w:val="both"/>
        <w:rPr>
          <w:rFonts w:ascii="Arial" w:eastAsia="Calibri" w:hAnsi="Arial" w:cs="Arial"/>
        </w:rPr>
      </w:pPr>
      <w:r w:rsidRPr="00615972">
        <w:rPr>
          <w:rFonts w:ascii="Arial" w:eastAsia="Calibri" w:hAnsi="Arial" w:cs="Arial"/>
        </w:rPr>
        <w:t>V případě, že faktura nebude mít stanovené náležitosti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w:t>
      </w:r>
    </w:p>
    <w:p w:rsidR="00615972" w:rsidRPr="00615972" w:rsidP="00602732" w14:paraId="2874BDBC" w14:textId="4DD723C2">
      <w:pPr>
        <w:numPr>
          <w:ilvl w:val="0"/>
          <w:numId w:val="6"/>
        </w:numPr>
        <w:spacing w:before="120" w:after="120" w:line="240" w:lineRule="auto"/>
        <w:ind w:left="425" w:hanging="425"/>
        <w:jc w:val="both"/>
        <w:rPr>
          <w:rFonts w:ascii="Arial" w:eastAsia="Calibri" w:hAnsi="Arial" w:cs="Arial"/>
        </w:rPr>
      </w:pPr>
      <w:r w:rsidRPr="00615972">
        <w:rPr>
          <w:rFonts w:ascii="Arial" w:eastAsia="Calibri" w:hAnsi="Arial" w:cs="Arial"/>
        </w:rPr>
        <w:t>Poskytovatel je oprávněn fakturu včetně všech jejích příloh vystavit v elektronické formě dle § 26 ZDPH, a to ve formátu ISDOC nebo ISDOCX verze 5.2 nebo vyšší. Poskytovatel je dále oprávněn vystavit fakturu ve formátu, který je v souladu s evropským standardem elektronické faktury dle technické normy ČSN EN 16931-1:2017. Elektronickou fakturu je možné zaslat datovou schránkou (identifikace: trfaa33) nebo elektronickou poštou na</w:t>
      </w:r>
      <w:r w:rsidR="00A31C1E">
        <w:rPr>
          <w:rFonts w:ascii="Arial" w:eastAsia="Calibri" w:hAnsi="Arial" w:cs="Arial"/>
        </w:rPr>
        <w:t> </w:t>
      </w:r>
      <w:r w:rsidRPr="00615972">
        <w:rPr>
          <w:rFonts w:ascii="Arial" w:eastAsia="Calibri" w:hAnsi="Arial" w:cs="Arial"/>
        </w:rPr>
        <w:t xml:space="preserve">adresu </w:t>
      </w:r>
      <w:hyperlink r:id="rId10" w:history="1">
        <w:r w:rsidRPr="00F21EB9" w:rsidR="00A31C1E">
          <w:rPr>
            <w:rStyle w:val="Hyperlink"/>
            <w:rFonts w:ascii="Arial" w:eastAsia="Calibri" w:hAnsi="Arial" w:cs="Arial"/>
            <w:color w:val="auto"/>
            <w:u w:val="none"/>
          </w:rPr>
          <w:t>posta@vlada.gov.cz</w:t>
        </w:r>
      </w:hyperlink>
      <w:r w:rsidR="00A31C1E">
        <w:rPr>
          <w:rFonts w:ascii="Arial" w:eastAsia="Calibri" w:hAnsi="Arial" w:cs="Arial"/>
        </w:rPr>
        <w:t>.</w:t>
      </w:r>
    </w:p>
    <w:p w:rsidR="00615972" w:rsidRPr="00615972" w:rsidP="00602732" w14:paraId="219F8CE5" w14:textId="4239EACE">
      <w:pPr>
        <w:numPr>
          <w:ilvl w:val="0"/>
          <w:numId w:val="6"/>
        </w:numPr>
        <w:spacing w:before="120" w:after="120" w:line="240" w:lineRule="auto"/>
        <w:ind w:left="425" w:hanging="425"/>
        <w:jc w:val="both"/>
        <w:rPr>
          <w:rFonts w:ascii="Arial" w:eastAsia="Calibri" w:hAnsi="Arial" w:cs="Arial"/>
        </w:rPr>
      </w:pPr>
      <w:r w:rsidRPr="00615972">
        <w:rPr>
          <w:rFonts w:ascii="Arial" w:eastAsia="Calibri" w:hAnsi="Arial" w:cs="Arial"/>
        </w:rPr>
        <w:t>V případě, že úhrada má být provedena zcela nebo zčásti bezhotovostním převodem na</w:t>
      </w:r>
      <w:r w:rsidR="00A31C1E">
        <w:rPr>
          <w:rFonts w:ascii="Arial" w:eastAsia="Calibri" w:hAnsi="Arial" w:cs="Arial"/>
        </w:rPr>
        <w:t> </w:t>
      </w:r>
      <w:r w:rsidRPr="00615972">
        <w:rPr>
          <w:rFonts w:ascii="Arial" w:eastAsia="Calibri" w:hAnsi="Arial" w:cs="Arial"/>
        </w:rPr>
        <w:t xml:space="preserve">účet vedený poskytovatelem platebních služeb mimo tuzemsko ve smyslu § 109 odst. 2 písm. b) ZDPH, nebo číslo bankovního účtu poskytovatele uvedené v této smlouvě nebo na daňovém dokladu vystaveném poskytovatelem nebude uveřejněno způsobem umožňujícím dálkový přístup ve smyslu § 109 odst. 2 písm. c) ZDPH a nebo stane-li se poskytovatel nespolehlivým plátcem ve smyslu § 106a ZDPH, je objednatel oprávněn uhradit poskytovateli pouze tu část peněžitého závazku vyplývajícího z daňového dokladu, jež odpovídá výši základu daně, a zbylou část pak ve smyslu § 109a ZDPH uhradit přímo </w:t>
      </w:r>
      <w:r w:rsidRPr="00615972">
        <w:rPr>
          <w:rFonts w:ascii="Arial" w:eastAsia="Calibri" w:hAnsi="Arial" w:cs="Arial"/>
        </w:rPr>
        <w:t xml:space="preserve">správci daně s tím, že se má za to, že úhrada daňového dokladu (faktury) bez DPH je provedena ve správné výši. </w:t>
      </w:r>
    </w:p>
    <w:p w:rsidR="00615972" w:rsidRPr="00615972" w:rsidP="00602732" w14:paraId="00ECFE7E" w14:textId="77777777">
      <w:pPr>
        <w:numPr>
          <w:ilvl w:val="0"/>
          <w:numId w:val="6"/>
        </w:numPr>
        <w:spacing w:before="120" w:after="120" w:line="240" w:lineRule="auto"/>
        <w:ind w:left="425" w:hanging="425"/>
        <w:jc w:val="both"/>
        <w:rPr>
          <w:rFonts w:ascii="Arial" w:eastAsia="Calibri" w:hAnsi="Arial" w:cs="Arial"/>
        </w:rPr>
      </w:pPr>
      <w:r w:rsidRPr="00615972">
        <w:rPr>
          <w:rFonts w:ascii="Arial" w:eastAsia="Calibri" w:hAnsi="Arial" w:cs="Arial"/>
        </w:rPr>
        <w:t>Povinnost objednatele zaplatit fakturovanou částku dle této smlouvy je splněna odepsáním příslušné částky z účtu objednatele ve prospěch účtu poskytovatele.</w:t>
      </w:r>
    </w:p>
    <w:p w:rsidR="00615972" w:rsidRPr="00615972" w:rsidP="00602732" w14:paraId="1EEBDE53" w14:textId="77777777">
      <w:pPr>
        <w:numPr>
          <w:ilvl w:val="0"/>
          <w:numId w:val="6"/>
        </w:numPr>
        <w:spacing w:before="120" w:after="120" w:line="240" w:lineRule="auto"/>
        <w:ind w:left="425" w:hanging="425"/>
        <w:jc w:val="both"/>
        <w:rPr>
          <w:rFonts w:ascii="Arial" w:eastAsia="Calibri" w:hAnsi="Arial" w:cs="Arial"/>
        </w:rPr>
      </w:pPr>
      <w:r w:rsidRPr="00615972">
        <w:rPr>
          <w:rFonts w:ascii="Arial" w:eastAsia="Calibri" w:hAnsi="Arial" w:cs="Arial"/>
        </w:rPr>
        <w:t>Inflační doložka:</w:t>
      </w:r>
    </w:p>
    <w:p w:rsidR="00615972" w:rsidP="00602732" w14:paraId="59BCD29F" w14:textId="1C364C12">
      <w:pPr>
        <w:spacing w:before="120" w:after="120" w:line="240" w:lineRule="auto"/>
        <w:ind w:left="425"/>
        <w:jc w:val="both"/>
        <w:rPr>
          <w:rFonts w:ascii="Arial" w:eastAsia="Calibri" w:hAnsi="Arial" w:cs="Arial"/>
        </w:rPr>
      </w:pPr>
      <w:r w:rsidRPr="0025636D">
        <w:rPr>
          <w:rFonts w:ascii="Arial" w:eastAsia="Calibri" w:hAnsi="Arial" w:cs="Arial"/>
        </w:rPr>
        <w:t>Poskytovatel je oprávněn písemně požádat objednatele o navýšení ceny předmětu plnění uvedených v článku IV odst. 1 této smlouvy o inflaci</w:t>
      </w:r>
      <w:r w:rsidRPr="0025636D" w:rsidR="0025636D">
        <w:rPr>
          <w:rFonts w:ascii="Arial" w:eastAsia="Calibri" w:hAnsi="Arial" w:cs="Arial"/>
        </w:rPr>
        <w:t>.</w:t>
      </w:r>
      <w:r w:rsidRPr="00615972">
        <w:rPr>
          <w:rFonts w:ascii="Arial" w:eastAsia="Calibri" w:hAnsi="Arial" w:cs="Arial"/>
        </w:rPr>
        <w:t xml:space="preserve"> </w:t>
      </w:r>
    </w:p>
    <w:p w:rsidR="00577552" w:rsidRPr="0025636D" w:rsidP="0025636D" w14:paraId="6F347395" w14:textId="2E976191">
      <w:pPr>
        <w:pStyle w:val="BodyText"/>
        <w:tabs>
          <w:tab w:val="left" w:pos="426"/>
        </w:tabs>
        <w:spacing w:after="120"/>
        <w:ind w:left="426"/>
        <w:jc w:val="both"/>
        <w:rPr>
          <w:rFonts w:ascii="Arial" w:hAnsi="Arial" w:cs="Arial"/>
        </w:rPr>
      </w:pPr>
      <w:r>
        <w:rPr>
          <w:rFonts w:ascii="Arial" w:hAnsi="Arial" w:cs="Arial"/>
          <w:b w:val="0"/>
          <w:i w:val="0"/>
          <w:color w:val="333333"/>
          <w:sz w:val="22"/>
          <w:szCs w:val="22"/>
          <w:lang w:eastAsia="cs-CZ"/>
        </w:rPr>
        <w:t>V případě, že průměrná roční míra inflace vyhlášená Českým statistickým úřadem vždy v</w:t>
      </w:r>
      <w:r>
        <w:rPr>
          <w:rFonts w:ascii="Arial" w:hAnsi="Arial" w:cs="Arial"/>
          <w:b w:val="0"/>
          <w:i w:val="0"/>
          <w:color w:val="333333"/>
          <w:sz w:val="22"/>
          <w:szCs w:val="22"/>
          <w:lang w:val="cs-CZ" w:eastAsia="cs-CZ"/>
        </w:rPr>
        <w:t> </w:t>
      </w:r>
      <w:r>
        <w:rPr>
          <w:rFonts w:ascii="Arial" w:hAnsi="Arial" w:cs="Arial"/>
          <w:b w:val="0"/>
          <w:i w:val="0"/>
          <w:color w:val="333333"/>
          <w:sz w:val="22"/>
          <w:szCs w:val="22"/>
          <w:lang w:eastAsia="cs-CZ"/>
        </w:rPr>
        <w:t xml:space="preserve">lednu daného roku za předcházející kalendářní rok přesáhne </w:t>
      </w:r>
      <w:r>
        <w:rPr>
          <w:rFonts w:ascii="Arial" w:hAnsi="Arial" w:cs="Arial"/>
          <w:bCs w:val="0"/>
          <w:i w:val="0"/>
          <w:color w:val="333333"/>
          <w:sz w:val="22"/>
          <w:szCs w:val="22"/>
          <w:lang w:eastAsia="cs-CZ"/>
        </w:rPr>
        <w:t>3 %</w:t>
      </w:r>
      <w:r>
        <w:rPr>
          <w:rFonts w:ascii="Arial" w:hAnsi="Arial" w:cs="Arial"/>
          <w:b w:val="0"/>
          <w:i w:val="0"/>
          <w:color w:val="333333"/>
          <w:sz w:val="22"/>
          <w:szCs w:val="22"/>
          <w:lang w:eastAsia="cs-CZ"/>
        </w:rPr>
        <w:t xml:space="preserve">, může být cena zvýšena o polovinu dosažené průměrné roční míry inflace, a to prostřednictvím uzavření dodatku ke smlouvě na základě předchozí žádosti </w:t>
      </w:r>
      <w:r>
        <w:rPr>
          <w:rFonts w:ascii="Arial" w:hAnsi="Arial" w:cs="Arial"/>
          <w:b w:val="0"/>
          <w:i w:val="0"/>
          <w:color w:val="333333"/>
          <w:sz w:val="22"/>
          <w:szCs w:val="22"/>
          <w:lang w:val="cs-CZ" w:eastAsia="cs-CZ"/>
        </w:rPr>
        <w:t>poskytovatele</w:t>
      </w:r>
      <w:r>
        <w:rPr>
          <w:rFonts w:ascii="Arial" w:hAnsi="Arial" w:cs="Arial"/>
          <w:b w:val="0"/>
          <w:i w:val="0"/>
          <w:color w:val="333333"/>
          <w:sz w:val="22"/>
          <w:szCs w:val="22"/>
          <w:lang w:eastAsia="cs-CZ"/>
        </w:rPr>
        <w:t xml:space="preserve">, nejdříve však po uplynutí 24 měsíců ode dne nabytí účinnosti původní smlouvy. </w:t>
      </w:r>
      <w:r>
        <w:rPr>
          <w:rFonts w:ascii="Arial" w:hAnsi="Arial" w:cs="Arial"/>
          <w:b w:val="0"/>
          <w:i w:val="0"/>
          <w:sz w:val="22"/>
          <w:szCs w:val="22"/>
          <w:lang w:val="cs-CZ" w:eastAsia="cs-CZ"/>
        </w:rPr>
        <w:t xml:space="preserve">Cenu je možné zvýšit pouze o polovinu </w:t>
      </w:r>
      <w:r>
        <w:rPr>
          <w:rFonts w:ascii="Arial" w:hAnsi="Arial" w:cs="Arial"/>
          <w:i w:val="0"/>
          <w:sz w:val="22"/>
          <w:szCs w:val="22"/>
          <w:lang w:val="cs-CZ" w:eastAsia="cs-CZ"/>
        </w:rPr>
        <w:t xml:space="preserve">průměrné roční míry inflace </w:t>
      </w:r>
      <w:r>
        <w:rPr>
          <w:rFonts w:ascii="Arial" w:hAnsi="Arial" w:cs="Arial"/>
          <w:b w:val="0"/>
          <w:i w:val="0"/>
          <w:sz w:val="22"/>
          <w:szCs w:val="22"/>
          <w:lang w:val="cs-CZ" w:eastAsia="cs-CZ"/>
        </w:rPr>
        <w:t xml:space="preserve">dosažené v kalendářním roce, který bezprostředně předcházel okamžiku doručení žádosti o její zvýšení. </w:t>
      </w:r>
      <w:r>
        <w:rPr>
          <w:rFonts w:ascii="Arial" w:hAnsi="Arial" w:cs="Arial"/>
          <w:b w:val="0"/>
          <w:i w:val="0"/>
          <w:color w:val="333333"/>
          <w:sz w:val="22"/>
          <w:szCs w:val="22"/>
          <w:lang w:eastAsia="cs-CZ"/>
        </w:rPr>
        <w:t>Zvýšení jednotkové ceny  je účinné prvním dnem měsíce následujícího po měsíci, ve kterém byl dodatek uveřejněn v Registru smluv.</w:t>
      </w:r>
    </w:p>
    <w:p w:rsidR="00615972" w:rsidRPr="00615972" w:rsidP="00A31C1E" w14:paraId="3BE8F325" w14:textId="77777777">
      <w:pPr>
        <w:keepNext/>
        <w:keepLines/>
        <w:numPr>
          <w:ilvl w:val="0"/>
          <w:numId w:val="1"/>
        </w:numPr>
        <w:spacing w:before="240" w:after="120" w:line="240" w:lineRule="auto"/>
        <w:ind w:left="0" w:firstLine="0"/>
        <w:jc w:val="center"/>
        <w:outlineLvl w:val="3"/>
        <w:rPr>
          <w:rFonts w:ascii="Arial" w:eastAsia="Calibri" w:hAnsi="Arial" w:cs="Arial"/>
          <w:b/>
        </w:rPr>
      </w:pPr>
      <w:r w:rsidRPr="00615972">
        <w:rPr>
          <w:rFonts w:ascii="Arial" w:eastAsia="Calibri" w:hAnsi="Arial" w:cs="Arial"/>
          <w:b/>
        </w:rPr>
        <w:br/>
        <w:t>Ochrana informací</w:t>
      </w:r>
    </w:p>
    <w:p w:rsidR="00615972" w:rsidRPr="00615972" w:rsidP="00A31C1E" w14:paraId="72C49846"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6"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Smluvní strany jsou si vědomy toho, že v rámci plnění závazků z této smlouvy</w:t>
      </w:r>
    </w:p>
    <w:p w:rsidR="00615972" w:rsidRPr="00615972" w:rsidP="00A31C1E" w14:paraId="7B129A5B" w14:textId="77777777">
      <w:pPr>
        <w:numPr>
          <w:ilvl w:val="0"/>
          <w:numId w:val="9"/>
        </w:numPr>
        <w:tabs>
          <w:tab w:val="left" w:pos="-720"/>
          <w:tab w:val="left" w:pos="0"/>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si mohou vzájemně vědomě nebo opomenutím poskytnout informace, které budou považovány za důvěrné (dále jen „důvěrné informace“),</w:t>
      </w:r>
    </w:p>
    <w:p w:rsidR="00615972" w:rsidRPr="00615972" w:rsidP="00A31C1E" w14:paraId="13B888AD" w14:textId="77777777">
      <w:pPr>
        <w:numPr>
          <w:ilvl w:val="0"/>
          <w:numId w:val="9"/>
        </w:numPr>
        <w:tabs>
          <w:tab w:val="left" w:pos="-720"/>
          <w:tab w:val="left" w:pos="0"/>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mohou jejich zaměstnanci či osoby v obdobném postavení získat vědomou činností druhé smluvní strany nebo i jejím opomenutím přístup k důvěrným informacím druhé smluvní strany.</w:t>
      </w:r>
    </w:p>
    <w:p w:rsidR="00615972" w:rsidRPr="00615972" w:rsidP="00A31C1E" w14:paraId="296012D1"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615972" w:rsidRPr="00615972" w:rsidP="00A31C1E" w14:paraId="65BE97B7"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Za třetí osoby dle odst. 2 tohoto článku se nepovažují:</w:t>
      </w:r>
    </w:p>
    <w:p w:rsidR="00615972" w:rsidRPr="00615972" w:rsidP="00A31C1E" w14:paraId="5BCF45BC" w14:textId="77777777">
      <w:pPr>
        <w:numPr>
          <w:ilvl w:val="0"/>
          <w:numId w:val="10"/>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zaměstnanci smluvních stran a osoby v obdobném postavení,</w:t>
      </w:r>
    </w:p>
    <w:p w:rsidR="00615972" w:rsidRPr="00615972" w:rsidP="00A31C1E" w14:paraId="39B3199C" w14:textId="77777777">
      <w:pPr>
        <w:numPr>
          <w:ilvl w:val="0"/>
          <w:numId w:val="10"/>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orgány smluvních stran a jejich členové,</w:t>
      </w:r>
    </w:p>
    <w:p w:rsidR="00615972" w:rsidRPr="00615972" w:rsidP="00A31C1E" w14:paraId="26EA471F" w14:textId="77777777">
      <w:pPr>
        <w:numPr>
          <w:ilvl w:val="0"/>
          <w:numId w:val="10"/>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ve vztahu k důvěrným informacím objednatele subdodavatelé poskytovatele,</w:t>
      </w:r>
    </w:p>
    <w:p w:rsidR="00615972" w:rsidRPr="00615972" w:rsidP="00A31C1E" w14:paraId="04B734C0" w14:textId="77777777">
      <w:pPr>
        <w:numPr>
          <w:ilvl w:val="0"/>
          <w:numId w:val="10"/>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ve vztahu k důvěrným informacím poskytovatele externí dodavatelé objednatele, a to i potenciální,</w:t>
      </w:r>
    </w:p>
    <w:p w:rsidR="00615972" w:rsidRPr="00615972" w:rsidP="00A31C1E" w14:paraId="036F5DFB"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jc w:val="both"/>
        <w:rPr>
          <w:rFonts w:ascii="Arial" w:eastAsia="@Arial Unicode MS" w:hAnsi="Arial" w:cs="Arial"/>
          <w:color w:val="000000"/>
          <w:lang w:eastAsia="cs-CZ"/>
        </w:rPr>
      </w:pPr>
      <w:r w:rsidRPr="00615972">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615972" w:rsidRPr="00615972" w:rsidP="00A31C1E" w14:paraId="62750A72"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 xml:space="preserve">Smluvní strany se zavazují v plném rozsahu zachovávat povinnost mlčenlivosti a povinnost chránit důvěrné informace vyplývající z této smlouvy a z příslušných právních předpisů, zejména povinnosti vyplývající z </w:t>
      </w:r>
      <w:r w:rsidRPr="00615972">
        <w:rPr>
          <w:rFonts w:ascii="Arial" w:eastAsia="Calibri" w:hAnsi="Arial" w:cs="Arial"/>
          <w:lang w:eastAsia="cs-CZ"/>
        </w:rPr>
        <w:t>Nařízení Evropského parlamentu a Rady (EU) 2016/679 ze dne 27. dubna 2016 o ochraně fyzických osob v souvislosti se zpracováním osobních údajů a o volném pohybu těchto údajů a o zrušení směrnice 95/46/ES (dále jen „obecné nařízení“).</w:t>
      </w:r>
    </w:p>
    <w:p w:rsidR="00615972" w:rsidRPr="00615972" w:rsidP="00A31C1E" w14:paraId="3F1EB452"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615972" w:rsidRPr="00615972" w:rsidP="00A31C1E" w14:paraId="17F87FC3"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Budou-li informace poskytnuté objednatelem, poskytovatelem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615972" w:rsidRPr="00615972" w:rsidP="00A31C1E" w14:paraId="334A2ABE"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w:t>
      </w:r>
      <w:r w:rsidRPr="00615972">
        <w:rPr>
          <w:rFonts w:ascii="Arial" w:eastAsia="@Arial Unicode MS" w:hAnsi="Arial" w:cs="Arial"/>
          <w:color w:val="000000"/>
          <w:lang w:eastAsia="cs-CZ"/>
        </w:rPr>
        <w:t>jinak,</w:t>
      </w:r>
      <w:r w:rsidRPr="00615972">
        <w:rPr>
          <w:rFonts w:ascii="Arial" w:eastAsia="@Arial Unicode MS" w:hAnsi="Arial" w:cs="Arial"/>
          <w:color w:val="000000"/>
          <w:lang w:eastAsia="cs-CZ"/>
        </w:rPr>
        <w:t xml:space="preserve"> než za účelem plnění této smlouvy.</w:t>
      </w:r>
    </w:p>
    <w:p w:rsidR="00615972" w:rsidRPr="00615972" w:rsidP="00A31C1E" w14:paraId="3F5678C4"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615972" w:rsidRPr="00615972" w:rsidP="00A31C1E" w14:paraId="7363C474"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615972" w:rsidRPr="00615972" w:rsidP="00A31C1E" w14:paraId="55747A65"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Bez ohledu na výše uvedená ustanovení se za důvěrné nepovažují informace, které:</w:t>
      </w:r>
    </w:p>
    <w:p w:rsidR="00615972" w:rsidRPr="00615972" w:rsidP="00A31C1E" w14:paraId="70885007"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se staly veřejně známými, aniž by jejich zveřejněním došlo k porušení závazků přijímající smluvní strany či právních předpisů,</w:t>
      </w:r>
    </w:p>
    <w:p w:rsidR="00615972" w:rsidRPr="00615972" w:rsidP="00A31C1E" w14:paraId="3873067E"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měla přijímající strana prokazatelně legálně k dispozici před uzavřením této smlouvy, pokud takové informace nebyly předmětem jiné, dříve mezi smluvními stranami uzavřené smlouvy o ochraně informací,</w:t>
      </w:r>
    </w:p>
    <w:p w:rsidR="00615972" w:rsidRPr="00615972" w:rsidP="00A31C1E" w14:paraId="2FCCE39F"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 xml:space="preserve">jsou výsledkem postupu, při kterém k nim přijímající strana dospěje </w:t>
      </w:r>
      <w:r w:rsidRPr="00615972">
        <w:rPr>
          <w:rFonts w:ascii="Arial" w:eastAsia="@Arial Unicode MS" w:hAnsi="Arial" w:cs="Arial"/>
          <w:color w:val="000000"/>
          <w:lang w:eastAsia="cs-CZ"/>
        </w:rPr>
        <w:t>nezávisle</w:t>
      </w:r>
      <w:r w:rsidRPr="00615972">
        <w:rPr>
          <w:rFonts w:ascii="Arial" w:eastAsia="@Arial Unicode MS" w:hAnsi="Arial" w:cs="Arial"/>
          <w:color w:val="000000"/>
          <w:lang w:eastAsia="cs-CZ"/>
        </w:rPr>
        <w:t xml:space="preserve"> a to je schopna doložit svými záznamy nebo informacemi, včetně důvěrných, třetí strany,</w:t>
      </w:r>
    </w:p>
    <w:p w:rsidR="00615972" w:rsidRPr="00615972" w:rsidP="00A31C1E" w14:paraId="6245080D"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po podpisu této smlouvy poskytne přijímající straně třetí osoba, jež není omezena v takovém nakládání s informacemi,</w:t>
      </w:r>
    </w:p>
    <w:p w:rsidR="00615972" w:rsidRPr="00615972" w:rsidP="00A31C1E" w14:paraId="0D52CAE5"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mají být zpřístupněny na základě zákona či jiného právního předpisu včetně práva EU nebo závazného rozhodnutí oprávněného orgánu veřejné moci,</w:t>
      </w:r>
    </w:p>
    <w:p w:rsidR="00615972" w:rsidRPr="00615972" w:rsidP="00A31C1E" w14:paraId="3C3E6372"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615972">
        <w:rPr>
          <w:rFonts w:ascii="Arial" w:eastAsia="@Arial Unicode MS" w:hAnsi="Arial" w:cs="Arial"/>
          <w:color w:val="000000"/>
          <w:lang w:eastAsia="cs-CZ"/>
        </w:rPr>
        <w:t>jsou obsažené v této smlouvě a jsou zveřejněné dle § 219 ZZVZ nebo dle zákona č. 340/2015 Sb., o zvláštních podmínkách účinnosti některých smluv, uveřejňování těchto smluv a o registru smluv, ve znění pozdějších předpisů (dále jen „zákon o registru smluv“).</w:t>
      </w:r>
    </w:p>
    <w:p w:rsidR="00615972" w:rsidRPr="00615972" w:rsidP="00A31C1E" w14:paraId="4079E55B" w14:textId="77777777">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40" w:lineRule="auto"/>
        <w:ind w:left="425" w:hanging="425"/>
        <w:jc w:val="both"/>
        <w:rPr>
          <w:rFonts w:ascii="Arial" w:eastAsia="@Arial Unicode MS" w:hAnsi="Arial" w:cs="Arial"/>
          <w:color w:val="000000"/>
          <w:lang w:eastAsia="cs-CZ"/>
        </w:rPr>
      </w:pPr>
      <w:r w:rsidRPr="00615972">
        <w:rPr>
          <w:rFonts w:ascii="Arial" w:eastAsia="@Arial Unicode MS" w:hAnsi="Arial" w:cs="Arial"/>
          <w:color w:val="000000"/>
          <w:lang w:eastAsia="cs-CZ"/>
        </w:rPr>
        <w:t xml:space="preserve">Každá smluvní strana se zavazuje přijmout technická a organizační vnitřní opatření nezbytná k ochraně důvěrných informací. Poskytovatel je povinen poučit své </w:t>
      </w:r>
      <w:r w:rsidRPr="00615972">
        <w:rPr>
          <w:rFonts w:ascii="Arial" w:eastAsia="@Arial Unicode MS" w:hAnsi="Arial" w:cs="Arial"/>
          <w:color w:val="000000"/>
          <w:lang w:eastAsia="cs-CZ"/>
        </w:rPr>
        <w:t>zaměstnance a členy svých orgánů o povinnosti zachovávat mlčenlivost podle této smlouvy a je povinen zachování mlčenlivosti z jejich strany řádně kontrolovat. Zaměstnanci poskytovatele nesmí důvěrné skutečnosti, které se dozvěděli v souvislosti s touto smlouvou, sdělovat ani jiným zaměstnancům poskytovatele nebo členům orgánů poskytovatele, není-li to nezbytné k plnění jejich pracovních úkolů nebo z hlediska funkčního zařazení.</w:t>
      </w:r>
    </w:p>
    <w:p w:rsidR="00615972" w:rsidRPr="00615972" w:rsidP="00A31C1E" w14:paraId="1F609ED7" w14:textId="77777777">
      <w:pPr>
        <w:numPr>
          <w:ilvl w:val="0"/>
          <w:numId w:val="8"/>
        </w:numPr>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 xml:space="preserve">Poskytovatel je povinen zavázat povinností mlčenlivosti a ochrany důvěrných informací dle tohoto článku rovněž všechny poddodavatele, kteří se budou podílet na plnění předmětu veřejné zakázky dle této smlouvy. </w:t>
      </w:r>
    </w:p>
    <w:p w:rsidR="00615972" w:rsidRPr="00615972" w:rsidP="00A31C1E" w14:paraId="58BA5C38" w14:textId="77777777">
      <w:pPr>
        <w:numPr>
          <w:ilvl w:val="0"/>
          <w:numId w:val="8"/>
        </w:numPr>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Za porušení povinnosti mlčenlivosti osobami, které se budou podílet na plnění předmětu smlouvy, odpovídá poskytovatel, jako by povinnost porušil sám.</w:t>
      </w:r>
    </w:p>
    <w:p w:rsidR="00615972" w:rsidRPr="00615972" w:rsidP="00A31C1E" w14:paraId="0070C071" w14:textId="77777777">
      <w:pPr>
        <w:numPr>
          <w:ilvl w:val="0"/>
          <w:numId w:val="8"/>
        </w:numPr>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Poskytovatel je povinen po ukončení smluvního vztahu založeného touto smlouvou zajistit nevratnou likvidaci předaných dat a důvěrných informací získaných v souvislosti s plněním předmětu této smlouvy, k jejichž dalšímu uchovávání nemá další právní titul.</w:t>
      </w:r>
    </w:p>
    <w:p w:rsidR="00615972" w:rsidRPr="00615972" w:rsidP="00A31C1E" w14:paraId="00935857" w14:textId="77777777">
      <w:pPr>
        <w:numPr>
          <w:ilvl w:val="0"/>
          <w:numId w:val="8"/>
        </w:numPr>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Ukončení účinnosti této smlouvy z jakéhokoliv důvodu se nedotkne ustanovení tohoto článku a jeho účinnost přetrvá i po ukončení účinnosti této smlouvy.</w:t>
      </w:r>
    </w:p>
    <w:p w:rsidR="00615972" w:rsidRPr="00615972" w:rsidP="00A31C1E" w14:paraId="2FB0B84E" w14:textId="77777777">
      <w:pPr>
        <w:numPr>
          <w:ilvl w:val="0"/>
          <w:numId w:val="8"/>
        </w:numPr>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Poskytovatel je povinen neprodleně informovat objednatele o bezpečnostních incidentech souvisejících s plněním této smlouvy, které mohou mít vliv na bezpečnost informací (např. napadení elektronické komunikace poskytovatele příp. jeho poddodavatelů, napadení serverů poskytovatele příp. jeho poddodavatelů, ztráta informací v papírové podobě nebo na nosičích dat apod.) a mohou narušit dostupnost, důvěrnost nebo integritu informačních systémů objednatele. Dále je poskytovatel povinen informovat dodavatele o způsobu řízení rizik na své straně a o zbytkových rizicích souvisejících s plněním smlouvy. Poskytovatel je povinen seznámit se s příslušnou Bezpečnostní politikou objednatele týkající se předmětu této smlouvy, pokud existuje, a tuto bezpečnostní politiku dodržovat.</w:t>
      </w:r>
    </w:p>
    <w:p w:rsidR="00615972" w:rsidRPr="00615972" w:rsidP="00A31C1E" w14:paraId="299B5E3E" w14:textId="77777777">
      <w:pPr>
        <w:numPr>
          <w:ilvl w:val="0"/>
          <w:numId w:val="1"/>
        </w:numPr>
        <w:spacing w:before="240" w:after="120" w:line="240" w:lineRule="auto"/>
        <w:ind w:left="0" w:firstLine="0"/>
        <w:jc w:val="center"/>
        <w:outlineLvl w:val="3"/>
        <w:rPr>
          <w:rFonts w:ascii="Arial" w:eastAsia="Calibri" w:hAnsi="Arial" w:cs="Arial"/>
          <w:b/>
        </w:rPr>
      </w:pPr>
      <w:r w:rsidRPr="00615972">
        <w:rPr>
          <w:rFonts w:ascii="Arial" w:eastAsia="Calibri" w:hAnsi="Arial" w:cs="Arial"/>
          <w:b/>
        </w:rPr>
        <w:br/>
        <w:t>Práva duševního vlastnictví</w:t>
      </w:r>
    </w:p>
    <w:p w:rsidR="00615972" w:rsidRPr="00615972" w:rsidP="00A31C1E" w14:paraId="487B29CE" w14:textId="77777777">
      <w:pPr>
        <w:numPr>
          <w:ilvl w:val="0"/>
          <w:numId w:val="12"/>
        </w:numPr>
        <w:tabs>
          <w:tab w:val="left" w:pos="426"/>
        </w:tabs>
        <w:autoSpaceDE w:val="0"/>
        <w:autoSpaceDN w:val="0"/>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Poskytovatel se zavazuje, že při poskytování plnění dle této smlouvy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výstupů poskytovaného plnění (dále pro účely tohoto článku jen „dílo“) objednatelem, včetně případného zajištění dalších souhlasů a licencí od autorů děl v souladu se autorským zákonem, popř. od nositelů jiných práv duševního vlastnictví v souladu s právními předpisy. Poskytovatel se zavazuje, že objednateli uhradí veškeré náklady, výdaje, škody a majetkovou i nemajetkovou újmu, které objednateli vzniknou v důsledku porušení povinností dle předchozí věty.</w:t>
      </w:r>
    </w:p>
    <w:p w:rsidR="00615972" w:rsidRPr="00615972" w:rsidP="00A31C1E" w14:paraId="37FFABA6" w14:textId="77777777">
      <w:pPr>
        <w:numPr>
          <w:ilvl w:val="0"/>
          <w:numId w:val="12"/>
        </w:numPr>
        <w:tabs>
          <w:tab w:val="left" w:pos="426"/>
        </w:tabs>
        <w:autoSpaceDE w:val="0"/>
        <w:autoSpaceDN w:val="0"/>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 xml:space="preserve">Je-li výsledkem činnosti poskytovatele dle této smlouvy anebo součástí předaného díla výtvor, který je předmětem práv autorských, práv souvisejících či předmětem práv pořizovatele k jím pořízené databázi, a nejde přitom ve smyslu odst. 6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Poskytovatel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w:t>
      </w:r>
      <w:r w:rsidRPr="00615972">
        <w:rPr>
          <w:rFonts w:ascii="Arial" w:eastAsia="Calibri" w:hAnsi="Arial" w:cs="Arial"/>
          <w:lang w:eastAsia="cs-CZ"/>
        </w:rPr>
        <w:t xml:space="preserve">s jiným dílem či prvky. Oprávnění k užití Předmětů ochrany podle autorského zákona získává objednatel jako převoditelná s právem podlicence a dále postupitelná. Postoupení licence nebo její části na třetí osobu nevyžaduje souhlas poskytovatele a objednatel není povinen postoupení licence nebo její části na třetí osobu poskytovateli oznamovat. Toto právo objednatele k Předmětům ochrany podle autorského zákona se automaticky vztahuje i na všechny nové verze, úpravy a překlady Předmětů ochrany podle autorského zákona dodané poskytovatelem. Objednatel není povinen výše uvedenou licenci využít. Dohodou smluvních stran se stanoví, že cena za užití Předmětů ochrany podle autorského zákona dle tohoto odstavce je součástí ceny dle čl. IV odst. 1 této smlouvy. </w:t>
      </w:r>
    </w:p>
    <w:p w:rsidR="00615972" w:rsidRPr="00615972" w:rsidP="00A31C1E" w14:paraId="6668DF5C" w14:textId="77777777">
      <w:pPr>
        <w:numPr>
          <w:ilvl w:val="0"/>
          <w:numId w:val="12"/>
        </w:numPr>
        <w:tabs>
          <w:tab w:val="left" w:pos="426"/>
        </w:tabs>
        <w:autoSpaceDE w:val="0"/>
        <w:autoSpaceDN w:val="0"/>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Je-li výsledkem činnosti poskytovatele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poskytovatel na objednatele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poskytovatelem na základě této smlouvy. Poskytovatel je o takovémto výtvoru povinen objednatele neprodleně informovat. Dohodou smluvních stran se stanoví, že cena za převod práv k Nezapsaným předmětům průmyslových práv je součástí ceny dle čl. IV odst. 1 této smlouvy.</w:t>
      </w:r>
    </w:p>
    <w:p w:rsidR="00615972" w:rsidRPr="00615972" w:rsidP="00A31C1E" w14:paraId="604DC761" w14:textId="77777777">
      <w:pPr>
        <w:numPr>
          <w:ilvl w:val="0"/>
          <w:numId w:val="12"/>
        </w:numPr>
        <w:tabs>
          <w:tab w:val="left" w:pos="426"/>
        </w:tabs>
        <w:autoSpaceDE w:val="0"/>
        <w:autoSpaceDN w:val="0"/>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Je-li výsledkem činnosti poskytovatele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díla podle této smlouvy k Zapsaným předmětům průmyslových práv výhradní neomezené právo k užití těchto Zapsaných předmětů průmyslových práv, a to pro území celého světa včetně České republiky. Poskytovatel touto smlouvou opravňuje objednatele k výkonu uvedených 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poskytovatelem, ať již budou přihlášeny k ochraně či nikoliv. Poskytovatel je o takovémto výtvoru povinen objednatele neprodleně informovat. Poskytovatel je dále povinen učinit veškeré nezbytné úkony a poskytnout objednateli veškerou nezbytnou součinnost směřující k zápisu uvedené licence k Zapsaným předmětům průmyslových práv do příslušných rejstříků. Poskytovatel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ceny dle č. IV odst. 1 této smlouvy.</w:t>
      </w:r>
    </w:p>
    <w:p w:rsidR="00615972" w:rsidRPr="00615972" w:rsidP="00A31C1E" w14:paraId="22E6B0DA" w14:textId="77777777">
      <w:pPr>
        <w:numPr>
          <w:ilvl w:val="0"/>
          <w:numId w:val="12"/>
        </w:numPr>
        <w:tabs>
          <w:tab w:val="left" w:pos="426"/>
        </w:tabs>
        <w:autoSpaceDE w:val="0"/>
        <w:autoSpaceDN w:val="0"/>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 xml:space="preserve">Je-li výsledkem činnosti poskytovatele dle této smlouvy anebo součástí předaného díla výtvor, který může být předmětem majetkových práv, vyjma v předchozích odstavcích tohoto článku a odst. 6 tohoto článku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poskytovatel na objednatele od </w:t>
      </w:r>
      <w:r w:rsidRPr="00615972">
        <w:rPr>
          <w:rFonts w:ascii="Arial" w:eastAsia="Calibri" w:hAnsi="Arial" w:cs="Arial"/>
          <w:lang w:eastAsia="cs-CZ"/>
        </w:rPr>
        <w:t>okamžiku předání díla veškerá práva k Ostatním předmětům duševního vlastnictví. Objednatel je oprávněn zejména Ostatní předměty duševního vlastnictví neomezeně využívat na území celého světa včetně České republiky. Toto právo objednatele k Ostatním předmětům duševního vlastnictví se automaticky vztahuje i na všechny nové verze a úpravy Ostatních předmětů duševního vlastnictví dodaných poskytovatelem. Poskytovatel je o takovémto výtvoru povinen objednatele neprodleně informovat. Dohodou smluvních stran se stanoví, že cena za užití Ostatních předmětů duševního vlastnictví dle tohoto odstavce je součástí ceny dle čl. IV odst. 1 této smlouvy.</w:t>
      </w:r>
    </w:p>
    <w:p w:rsidR="00615972" w:rsidRPr="00615972" w:rsidP="00A31C1E" w14:paraId="071B6228" w14:textId="77777777">
      <w:pPr>
        <w:numPr>
          <w:ilvl w:val="0"/>
          <w:numId w:val="12"/>
        </w:numPr>
        <w:tabs>
          <w:tab w:val="left" w:pos="426"/>
        </w:tabs>
        <w:autoSpaceDE w:val="0"/>
        <w:autoSpaceDN w:val="0"/>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Je-li výsledkem nebo součástí díla i zaměstnanecké či kolektivní dílo, které je předmětem autorských práv, práv souvisejících s právem autorským či práv pořizovatele k jím pořízené databázi, poskytovatel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dle čl. IV odst. 1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Poskytovateli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w:t>
      </w:r>
    </w:p>
    <w:p w:rsidR="00615972" w:rsidRPr="00615972" w:rsidP="00A31C1E" w14:paraId="40914C88" w14:textId="77777777">
      <w:pPr>
        <w:numPr>
          <w:ilvl w:val="0"/>
          <w:numId w:val="12"/>
        </w:numPr>
        <w:tabs>
          <w:tab w:val="left" w:pos="426"/>
        </w:tabs>
        <w:autoSpaceDE w:val="0"/>
        <w:autoSpaceDN w:val="0"/>
        <w:spacing w:before="120" w:after="120" w:line="240" w:lineRule="auto"/>
        <w:ind w:left="425" w:hanging="425"/>
        <w:jc w:val="both"/>
        <w:rPr>
          <w:rFonts w:ascii="Arial" w:eastAsia="Calibri" w:hAnsi="Arial" w:cs="Arial"/>
          <w:lang w:eastAsia="cs-CZ"/>
        </w:rPr>
      </w:pPr>
      <w:r w:rsidRPr="00615972">
        <w:rPr>
          <w:rFonts w:ascii="Arial" w:eastAsia="Calibri" w:hAnsi="Arial" w:cs="Arial"/>
          <w:lang w:eastAsia="cs-CZ"/>
        </w:rPr>
        <w:t>Poskytovatel je povinen předat objednateli bezodkladně veškeré informace, doklady a dokumentaci potřebné pro výkon práv dle tohoto článku.</w:t>
      </w:r>
    </w:p>
    <w:p w:rsidR="00615972" w:rsidRPr="00615972" w:rsidP="001428C7" w14:paraId="2131D97F" w14:textId="77777777">
      <w:pPr>
        <w:keepNext/>
        <w:numPr>
          <w:ilvl w:val="0"/>
          <w:numId w:val="1"/>
        </w:numPr>
        <w:spacing w:before="240" w:after="120" w:line="240" w:lineRule="auto"/>
        <w:ind w:left="0" w:firstLine="0"/>
        <w:jc w:val="center"/>
        <w:outlineLvl w:val="3"/>
        <w:rPr>
          <w:rFonts w:ascii="Arial" w:eastAsia="Calibri" w:hAnsi="Arial" w:cs="Arial"/>
          <w:b/>
        </w:rPr>
      </w:pPr>
      <w:r w:rsidRPr="00615972">
        <w:rPr>
          <w:rFonts w:ascii="Arial" w:eastAsia="Calibri" w:hAnsi="Arial" w:cs="Arial"/>
          <w:b/>
        </w:rPr>
        <w:br/>
        <w:t>Sleva z plnění, smluvní pokuta, úrok z prodlení</w:t>
      </w:r>
    </w:p>
    <w:p w:rsidR="0043599B" w:rsidRPr="0043599B" w:rsidP="0043599B" w14:paraId="7E96A500" w14:textId="16669918">
      <w:pPr>
        <w:numPr>
          <w:ilvl w:val="0"/>
          <w:numId w:val="13"/>
        </w:numPr>
        <w:spacing w:before="120" w:after="120" w:line="240" w:lineRule="auto"/>
        <w:ind w:left="425" w:hanging="425"/>
        <w:jc w:val="both"/>
        <w:rPr>
          <w:rFonts w:ascii="Arial" w:eastAsia="Calibri" w:hAnsi="Arial" w:cs="Arial"/>
        </w:rPr>
      </w:pPr>
      <w:r w:rsidRPr="00615972">
        <w:rPr>
          <w:rFonts w:ascii="Arial" w:eastAsia="Calibri" w:hAnsi="Arial" w:cs="Arial"/>
        </w:rPr>
        <w:t>V případě prodlení poskytovatele s předáním plnění dle čl. II odst. 2 této smlouvy, a to i v</w:t>
      </w:r>
      <w:r w:rsidR="00821D5E">
        <w:rPr>
          <w:rFonts w:ascii="Arial" w:eastAsia="Calibri" w:hAnsi="Arial" w:cs="Arial"/>
        </w:rPr>
        <w:t> </w:t>
      </w:r>
      <w:r w:rsidRPr="00615972">
        <w:rPr>
          <w:rFonts w:ascii="Arial" w:eastAsia="Calibri" w:hAnsi="Arial" w:cs="Arial"/>
        </w:rPr>
        <w:t>případě jeho nepřevzetí objednatelem z titulu jeho vad je objednatel oprávněn účtovat poskytovateli slevu z ceny ve výši 0,5 % z celkové nabídkové ceny vč. DPH uvedené poskytovatelem jako dodavatelem v nabídce podané ve výběrovém řízení za každý započatý den prodlení max. však do celkové výše 10 % z celkové nabídkové ceny vč. DPH uvedené poskytovatelem jako dodavatelem v nabídce podané ve výběrovém řízení.</w:t>
      </w:r>
    </w:p>
    <w:p w:rsidR="00555364" w:rsidP="00A31C1E" w14:paraId="42402176" w14:textId="77777777">
      <w:pPr>
        <w:numPr>
          <w:ilvl w:val="0"/>
          <w:numId w:val="13"/>
        </w:numPr>
        <w:spacing w:before="120" w:after="120" w:line="240" w:lineRule="auto"/>
        <w:ind w:left="425" w:hanging="425"/>
        <w:jc w:val="both"/>
        <w:rPr>
          <w:rFonts w:ascii="Arial" w:eastAsia="Calibri" w:hAnsi="Arial" w:cs="Arial"/>
        </w:rPr>
      </w:pPr>
      <w:r w:rsidRPr="00615972">
        <w:rPr>
          <w:rFonts w:ascii="Arial" w:eastAsia="Calibri" w:hAnsi="Arial" w:cs="Arial"/>
        </w:rPr>
        <w:t>V případě, že poskytovatel nedodrží lhůtu pro odstranění vad plnění podle čl. II odst. 4 nebo čl. III odst. 3 této smlouvy, je povinen zaplatit objednateli smluvní pokutu ve výši 0,05 % z celkové nabídkové ceny vč. DPH uvedené poskytovatelem jako dodavatelem v</w:t>
      </w:r>
      <w:r w:rsidR="00601BFB">
        <w:rPr>
          <w:rFonts w:ascii="Arial" w:eastAsia="Calibri" w:hAnsi="Arial" w:cs="Arial"/>
        </w:rPr>
        <w:t> </w:t>
      </w:r>
      <w:r w:rsidRPr="00615972">
        <w:rPr>
          <w:rFonts w:ascii="Arial" w:eastAsia="Calibri" w:hAnsi="Arial" w:cs="Arial"/>
        </w:rPr>
        <w:t xml:space="preserve">nabídce podané ve výběrovém řízení za každý započatý den prodlení. </w:t>
      </w:r>
    </w:p>
    <w:p w:rsidR="0043599B" w:rsidRPr="00DE67A5" w:rsidP="0043599B" w14:paraId="75156747" w14:textId="77777777">
      <w:pPr>
        <w:numPr>
          <w:ilvl w:val="0"/>
          <w:numId w:val="13"/>
        </w:numPr>
        <w:spacing w:before="120" w:after="120" w:line="240" w:lineRule="auto"/>
        <w:ind w:left="426" w:hanging="426"/>
        <w:jc w:val="both"/>
        <w:rPr>
          <w:rFonts w:ascii="Arial" w:eastAsia="Calibri" w:hAnsi="Arial" w:cs="Arial"/>
        </w:rPr>
      </w:pPr>
      <w:r w:rsidRPr="00DE67A5">
        <w:rPr>
          <w:rFonts w:ascii="Arial" w:eastAsia="Calibri" w:hAnsi="Arial" w:cs="Arial"/>
        </w:rPr>
        <w:t>V případě, že poskytovatel nedodrží garantovanou měsíční dostupnost služby ve výši 99,5 % je objednatel oprávněn uplatnit vůči poskytovateli následující smluvní pokutu:</w:t>
      </w:r>
    </w:p>
    <w:tbl>
      <w:tblPr>
        <w:tblW w:w="0" w:type="auto"/>
        <w:tblInd w:w="416" w:type="dxa"/>
        <w:shd w:val="clear" w:color="auto" w:fill="FFFFFF"/>
        <w:tblCellMar>
          <w:left w:w="0" w:type="dxa"/>
          <w:right w:w="0" w:type="dxa"/>
        </w:tblCellMar>
        <w:tblLook w:val="04A0"/>
      </w:tblPr>
      <w:tblGrid>
        <w:gridCol w:w="3564"/>
        <w:gridCol w:w="3442"/>
      </w:tblGrid>
      <w:tr w14:paraId="13C3089D" w14:textId="77777777" w:rsidTr="00D46856">
        <w:tblPrEx>
          <w:tblW w:w="0" w:type="auto"/>
          <w:tblInd w:w="416" w:type="dxa"/>
          <w:shd w:val="clear" w:color="auto" w:fill="FFFFFF"/>
          <w:tblCellMar>
            <w:left w:w="0" w:type="dxa"/>
            <w:right w:w="0" w:type="dxa"/>
          </w:tblCellMar>
          <w:tblLook w:val="04A0"/>
        </w:tblPrEx>
        <w:trPr>
          <w:trHeight w:val="266"/>
        </w:trPr>
        <w:tc>
          <w:tcPr>
            <w:tcW w:w="356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3599B" w:rsidRPr="00DE67A5" w:rsidP="00D46856" w14:paraId="512804F4" w14:textId="77777777">
            <w:pPr>
              <w:spacing w:after="0" w:line="240" w:lineRule="auto"/>
              <w:ind w:left="720"/>
              <w:rPr>
                <w:rFonts w:ascii="Aptos" w:eastAsia="Times New Roman" w:hAnsi="Aptos" w:cs="Segoe UI"/>
                <w:lang w:eastAsia="cs-CZ"/>
              </w:rPr>
            </w:pPr>
            <w:r w:rsidRPr="00DE67A5">
              <w:rPr>
                <w:rFonts w:ascii="Aptos" w:eastAsia="Times New Roman" w:hAnsi="Aptos" w:cs="Segoe UI"/>
                <w:b/>
                <w:bCs/>
                <w:bdr w:val="none" w:sz="0" w:space="0" w:color="auto" w:frame="1"/>
                <w:lang w:eastAsia="cs-CZ"/>
              </w:rPr>
              <w:t>Měsíční dostupnost služby</w:t>
            </w:r>
          </w:p>
        </w:tc>
        <w:tc>
          <w:tcPr>
            <w:tcW w:w="344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3599B" w:rsidRPr="00DE67A5" w:rsidP="00D46856" w14:paraId="0752EFB8" w14:textId="77777777">
            <w:pPr>
              <w:spacing w:after="0" w:line="240" w:lineRule="auto"/>
              <w:ind w:left="720"/>
              <w:rPr>
                <w:rFonts w:ascii="Aptos" w:eastAsia="Times New Roman" w:hAnsi="Aptos" w:cs="Segoe UI"/>
                <w:lang w:eastAsia="cs-CZ"/>
              </w:rPr>
            </w:pPr>
            <w:r w:rsidRPr="00DE67A5">
              <w:rPr>
                <w:rFonts w:ascii="Aptos" w:eastAsia="Times New Roman" w:hAnsi="Aptos" w:cs="Segoe UI"/>
                <w:b/>
                <w:bCs/>
                <w:bdr w:val="none" w:sz="0" w:space="0" w:color="auto" w:frame="1"/>
                <w:lang w:eastAsia="cs-CZ"/>
              </w:rPr>
              <w:t>Pokuta z měsíčního poplatku za dotčenou službu</w:t>
            </w:r>
          </w:p>
        </w:tc>
      </w:tr>
      <w:tr w14:paraId="7BE0ECFB" w14:textId="77777777" w:rsidTr="00D46856">
        <w:tblPrEx>
          <w:tblW w:w="0" w:type="auto"/>
          <w:tblInd w:w="416" w:type="dxa"/>
          <w:shd w:val="clear" w:color="auto" w:fill="FFFFFF"/>
          <w:tblCellMar>
            <w:left w:w="0" w:type="dxa"/>
            <w:right w:w="0" w:type="dxa"/>
          </w:tblCellMar>
          <w:tblLook w:val="04A0"/>
        </w:tblPrEx>
        <w:tc>
          <w:tcPr>
            <w:tcW w:w="356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43599B" w:rsidRPr="00DE67A5" w:rsidP="00D46856" w14:paraId="3C2E2D4D" w14:textId="77777777">
            <w:pPr>
              <w:spacing w:after="0" w:line="240" w:lineRule="auto"/>
              <w:ind w:left="720"/>
              <w:rPr>
                <w:rFonts w:ascii="Aptos" w:eastAsia="Times New Roman" w:hAnsi="Aptos" w:cs="Segoe UI"/>
                <w:lang w:eastAsia="cs-CZ"/>
              </w:rPr>
            </w:pPr>
            <w:r w:rsidRPr="00DE67A5">
              <w:rPr>
                <w:rFonts w:ascii="Aptos" w:eastAsia="Times New Roman" w:hAnsi="Aptos" w:cs="Segoe UI"/>
                <w:bdr w:val="none" w:sz="0" w:space="0" w:color="auto" w:frame="1"/>
                <w:lang w:eastAsia="cs-CZ"/>
              </w:rPr>
              <w:t>99,4 % - 99,0 %</w:t>
            </w:r>
          </w:p>
        </w:tc>
        <w:tc>
          <w:tcPr>
            <w:tcW w:w="344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3599B" w:rsidRPr="00DE67A5" w:rsidP="00D46856" w14:paraId="528CBAA3" w14:textId="77777777">
            <w:pPr>
              <w:spacing w:after="0" w:line="240" w:lineRule="auto"/>
              <w:ind w:left="720"/>
              <w:rPr>
                <w:rFonts w:ascii="Aptos" w:eastAsia="Times New Roman" w:hAnsi="Aptos" w:cs="Segoe UI"/>
                <w:lang w:eastAsia="cs-CZ"/>
              </w:rPr>
            </w:pPr>
            <w:r w:rsidRPr="00DE67A5">
              <w:rPr>
                <w:rFonts w:ascii="Aptos" w:eastAsia="Times New Roman" w:hAnsi="Aptos" w:cs="Segoe UI"/>
                <w:bdr w:val="none" w:sz="0" w:space="0" w:color="auto" w:frame="1"/>
                <w:lang w:eastAsia="cs-CZ"/>
              </w:rPr>
              <w:t>10 %</w:t>
            </w:r>
          </w:p>
        </w:tc>
      </w:tr>
      <w:tr w14:paraId="66F9BEE2" w14:textId="77777777" w:rsidTr="009E1377">
        <w:tblPrEx>
          <w:tblW w:w="0" w:type="auto"/>
          <w:tblInd w:w="416" w:type="dxa"/>
          <w:shd w:val="clear" w:color="auto" w:fill="FFFFFF"/>
          <w:tblCellMar>
            <w:left w:w="0" w:type="dxa"/>
            <w:right w:w="0" w:type="dxa"/>
          </w:tblCellMar>
          <w:tblLook w:val="04A0"/>
        </w:tblPrEx>
        <w:tc>
          <w:tcPr>
            <w:tcW w:w="3564"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43599B" w:rsidRPr="00DE67A5" w:rsidP="00D46856" w14:paraId="7EF05D5B" w14:textId="77777777">
            <w:pPr>
              <w:spacing w:after="0" w:line="240" w:lineRule="auto"/>
              <w:ind w:left="720"/>
              <w:rPr>
                <w:rFonts w:ascii="Aptos" w:eastAsia="Times New Roman" w:hAnsi="Aptos" w:cs="Segoe UI"/>
                <w:lang w:eastAsia="cs-CZ"/>
              </w:rPr>
            </w:pPr>
            <w:r w:rsidRPr="00DE67A5">
              <w:rPr>
                <w:rFonts w:ascii="Aptos" w:eastAsia="Times New Roman" w:hAnsi="Aptos" w:cs="Segoe UI"/>
                <w:bdr w:val="none" w:sz="0" w:space="0" w:color="auto" w:frame="1"/>
                <w:lang w:eastAsia="cs-CZ"/>
              </w:rPr>
              <w:t>98,9 % - 98,5 %</w:t>
            </w:r>
          </w:p>
        </w:tc>
        <w:tc>
          <w:tcPr>
            <w:tcW w:w="3442" w:type="dxa"/>
            <w:tcBorders>
              <w:top w:val="nil"/>
              <w:left w:val="nil"/>
              <w:bottom w:val="single" w:sz="4" w:space="0" w:color="auto"/>
              <w:right w:val="single" w:sz="8" w:space="0" w:color="auto"/>
            </w:tcBorders>
            <w:shd w:val="clear" w:color="auto" w:fill="FFFFFF"/>
            <w:tcMar>
              <w:top w:w="0" w:type="dxa"/>
              <w:left w:w="70" w:type="dxa"/>
              <w:bottom w:w="0" w:type="dxa"/>
              <w:right w:w="70" w:type="dxa"/>
            </w:tcMar>
            <w:hideMark/>
          </w:tcPr>
          <w:p w:rsidR="0043599B" w:rsidRPr="00DE67A5" w:rsidP="00D46856" w14:paraId="663A55C8" w14:textId="77777777">
            <w:pPr>
              <w:spacing w:after="0" w:line="240" w:lineRule="auto"/>
              <w:ind w:left="720"/>
              <w:rPr>
                <w:rFonts w:ascii="Aptos" w:eastAsia="Times New Roman" w:hAnsi="Aptos" w:cs="Segoe UI"/>
                <w:lang w:eastAsia="cs-CZ"/>
              </w:rPr>
            </w:pPr>
            <w:r w:rsidRPr="00DE67A5">
              <w:rPr>
                <w:rFonts w:ascii="Aptos" w:eastAsia="Times New Roman" w:hAnsi="Aptos" w:cs="Segoe UI"/>
                <w:bdr w:val="none" w:sz="0" w:space="0" w:color="auto" w:frame="1"/>
                <w:lang w:eastAsia="cs-CZ"/>
              </w:rPr>
              <w:t>20 %</w:t>
            </w:r>
          </w:p>
        </w:tc>
      </w:tr>
      <w:tr w14:paraId="484593E7" w14:textId="77777777" w:rsidTr="009E1377">
        <w:tblPrEx>
          <w:tblW w:w="0" w:type="auto"/>
          <w:tblInd w:w="416" w:type="dxa"/>
          <w:shd w:val="clear" w:color="auto" w:fill="FFFFFF"/>
          <w:tblCellMar>
            <w:left w:w="0" w:type="dxa"/>
            <w:right w:w="0" w:type="dxa"/>
          </w:tblCellMar>
          <w:tblLook w:val="04A0"/>
        </w:tblPrEx>
        <w:tc>
          <w:tcPr>
            <w:tcW w:w="356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43599B" w:rsidRPr="00DE67A5" w:rsidP="00D46856" w14:paraId="161CCD27" w14:textId="77777777">
            <w:pPr>
              <w:spacing w:after="0" w:line="240" w:lineRule="auto"/>
              <w:ind w:left="720"/>
              <w:rPr>
                <w:rFonts w:ascii="Aptos" w:eastAsia="Times New Roman" w:hAnsi="Aptos" w:cs="Segoe UI"/>
                <w:lang w:eastAsia="cs-CZ"/>
              </w:rPr>
            </w:pPr>
            <w:r w:rsidRPr="00DE67A5">
              <w:rPr>
                <w:rFonts w:ascii="Aptos" w:eastAsia="Times New Roman" w:hAnsi="Aptos" w:cs="Segoe UI"/>
                <w:bdr w:val="none" w:sz="0" w:space="0" w:color="auto" w:frame="1"/>
                <w:lang w:eastAsia="cs-CZ"/>
              </w:rPr>
              <w:t>98,4 % - 98,0 %</w:t>
            </w:r>
          </w:p>
        </w:tc>
        <w:tc>
          <w:tcPr>
            <w:tcW w:w="344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43599B" w:rsidRPr="00DE67A5" w:rsidP="00D46856" w14:paraId="69F71DF8" w14:textId="77777777">
            <w:pPr>
              <w:spacing w:after="0" w:line="240" w:lineRule="auto"/>
              <w:ind w:left="720"/>
              <w:rPr>
                <w:rFonts w:ascii="Aptos" w:eastAsia="Times New Roman" w:hAnsi="Aptos" w:cs="Segoe UI"/>
                <w:lang w:eastAsia="cs-CZ"/>
              </w:rPr>
            </w:pPr>
            <w:r w:rsidRPr="00DE67A5">
              <w:rPr>
                <w:rFonts w:ascii="Aptos" w:eastAsia="Times New Roman" w:hAnsi="Aptos" w:cs="Segoe UI"/>
                <w:bdr w:val="none" w:sz="0" w:space="0" w:color="auto" w:frame="1"/>
                <w:lang w:eastAsia="cs-CZ"/>
              </w:rPr>
              <w:t>30 %</w:t>
            </w:r>
          </w:p>
        </w:tc>
      </w:tr>
      <w:tr w14:paraId="2559D721" w14:textId="77777777" w:rsidTr="009E1377">
        <w:tblPrEx>
          <w:tblW w:w="0" w:type="auto"/>
          <w:tblInd w:w="416" w:type="dxa"/>
          <w:shd w:val="clear" w:color="auto" w:fill="FFFFFF"/>
          <w:tblCellMar>
            <w:left w:w="0" w:type="dxa"/>
            <w:right w:w="0" w:type="dxa"/>
          </w:tblCellMar>
          <w:tblLook w:val="04A0"/>
        </w:tblPrEx>
        <w:tc>
          <w:tcPr>
            <w:tcW w:w="3564"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43599B" w:rsidRPr="00DE67A5" w:rsidP="00D46856" w14:paraId="3047D278" w14:textId="77777777">
            <w:pPr>
              <w:spacing w:after="0" w:line="240" w:lineRule="auto"/>
              <w:ind w:left="720"/>
              <w:rPr>
                <w:rFonts w:ascii="Aptos" w:eastAsia="Times New Roman" w:hAnsi="Aptos" w:cs="Segoe UI"/>
                <w:lang w:eastAsia="cs-CZ"/>
              </w:rPr>
            </w:pPr>
            <w:r w:rsidRPr="00DE67A5">
              <w:rPr>
                <w:rFonts w:ascii="Aptos" w:eastAsia="Times New Roman" w:hAnsi="Aptos" w:cs="Segoe UI"/>
                <w:bdr w:val="none" w:sz="0" w:space="0" w:color="auto" w:frame="1"/>
                <w:lang w:eastAsia="cs-CZ"/>
              </w:rPr>
              <w:t>nižší než 98 %</w:t>
            </w:r>
          </w:p>
        </w:tc>
        <w:tc>
          <w:tcPr>
            <w:tcW w:w="3442"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43599B" w:rsidRPr="009E1377" w:rsidP="00D46856" w14:paraId="4E621F5B" w14:textId="77777777">
            <w:pPr>
              <w:spacing w:after="0" w:line="240" w:lineRule="auto"/>
              <w:ind w:left="720"/>
              <w:rPr>
                <w:rFonts w:ascii="Aptos" w:eastAsia="Times New Roman" w:hAnsi="Aptos" w:cs="Segoe UI"/>
                <w:lang w:eastAsia="cs-CZ"/>
              </w:rPr>
            </w:pPr>
            <w:r w:rsidRPr="00DE67A5">
              <w:rPr>
                <w:rFonts w:ascii="Aptos" w:eastAsia="Times New Roman" w:hAnsi="Aptos" w:cs="Segoe UI"/>
                <w:bdr w:val="none" w:sz="0" w:space="0" w:color="auto" w:frame="1"/>
                <w:lang w:eastAsia="cs-CZ"/>
              </w:rPr>
              <w:t>40 %</w:t>
            </w:r>
          </w:p>
        </w:tc>
      </w:tr>
    </w:tbl>
    <w:p w:rsidR="0043599B" w:rsidP="0043599B" w14:paraId="40778D0F" w14:textId="77777777">
      <w:pPr>
        <w:spacing w:before="120" w:after="120" w:line="240" w:lineRule="auto"/>
        <w:jc w:val="both"/>
        <w:rPr>
          <w:rFonts w:ascii="Arial" w:eastAsia="Calibri" w:hAnsi="Arial" w:cs="Arial"/>
        </w:rPr>
      </w:pPr>
    </w:p>
    <w:p w:rsidR="00615972" w:rsidRPr="00615972" w:rsidP="00A31C1E" w14:paraId="7121790E" w14:textId="4F6DCC36">
      <w:pPr>
        <w:numPr>
          <w:ilvl w:val="0"/>
          <w:numId w:val="13"/>
        </w:numPr>
        <w:spacing w:before="120" w:after="120" w:line="240" w:lineRule="auto"/>
        <w:ind w:left="425" w:hanging="425"/>
        <w:jc w:val="both"/>
        <w:rPr>
          <w:rFonts w:ascii="Arial" w:eastAsia="Calibri" w:hAnsi="Arial" w:cs="Arial"/>
        </w:rPr>
      </w:pPr>
      <w:r w:rsidRPr="00615972">
        <w:rPr>
          <w:rFonts w:ascii="Arial" w:eastAsia="Calibri" w:hAnsi="Arial" w:cs="Arial"/>
        </w:rPr>
        <w:t>V případě, že poskytovatel poruší povinnosti uvedené v čl. V této smlouvy, je povinen zaplatit objednateli smluvní pokutu ve výši 5.000 Kč za každý jednotlivý případ.</w:t>
      </w:r>
    </w:p>
    <w:p w:rsidR="00615972" w:rsidRPr="00615972" w:rsidP="00A31C1E" w14:paraId="2C2E0DEA" w14:textId="77777777">
      <w:pPr>
        <w:numPr>
          <w:ilvl w:val="0"/>
          <w:numId w:val="13"/>
        </w:numPr>
        <w:spacing w:before="120" w:after="120" w:line="240" w:lineRule="auto"/>
        <w:ind w:left="425" w:hanging="425"/>
        <w:jc w:val="both"/>
        <w:rPr>
          <w:rFonts w:ascii="Arial" w:eastAsia="Calibri" w:hAnsi="Arial" w:cs="Arial"/>
        </w:rPr>
      </w:pPr>
      <w:r w:rsidRPr="00615972">
        <w:rPr>
          <w:rFonts w:ascii="Arial" w:eastAsia="Calibri" w:hAnsi="Arial" w:cs="Arial"/>
        </w:rPr>
        <w:t>V případě, že poskytovatel poruší povinnosti uvedené v čl. VI této smlouvy, je povinen zaplatit objednateli smluvní pokutu ve výši 5.000 Kč za každý jednotlivý případ.</w:t>
      </w:r>
    </w:p>
    <w:p w:rsidR="00615972" w:rsidRPr="00615972" w:rsidP="00A31C1E" w14:paraId="7DD89F59" w14:textId="77777777">
      <w:pPr>
        <w:numPr>
          <w:ilvl w:val="0"/>
          <w:numId w:val="13"/>
        </w:numPr>
        <w:spacing w:before="120" w:after="120" w:line="240" w:lineRule="auto"/>
        <w:ind w:left="425" w:hanging="425"/>
        <w:jc w:val="both"/>
        <w:rPr>
          <w:rFonts w:ascii="Arial" w:eastAsia="Calibri" w:hAnsi="Arial" w:cs="Arial"/>
        </w:rPr>
      </w:pPr>
      <w:r w:rsidRPr="00615972">
        <w:rPr>
          <w:rFonts w:ascii="Arial" w:eastAsia="Calibri" w:hAnsi="Arial" w:cs="Arial"/>
        </w:rPr>
        <w:t>V případě prodlení objednatele se zaplacením faktury poskytovatele je poskytovatel oprávněn účtovat mu úroky z prodlení v zákonné výši z dlužné částky za každý den prodlení.</w:t>
      </w:r>
    </w:p>
    <w:p w:rsidR="00615972" w:rsidRPr="00615972" w:rsidP="00A31C1E" w14:paraId="7A661543" w14:textId="77777777">
      <w:pPr>
        <w:numPr>
          <w:ilvl w:val="0"/>
          <w:numId w:val="13"/>
        </w:numPr>
        <w:spacing w:before="120" w:after="120" w:line="240" w:lineRule="auto"/>
        <w:ind w:left="425" w:hanging="425"/>
        <w:jc w:val="both"/>
        <w:rPr>
          <w:rFonts w:ascii="Arial" w:eastAsia="Calibri" w:hAnsi="Arial" w:cs="Arial"/>
        </w:rPr>
      </w:pPr>
      <w:r w:rsidRPr="00615972">
        <w:rPr>
          <w:rFonts w:ascii="Arial" w:eastAsia="Calibri" w:hAnsi="Arial" w:cs="Arial"/>
          <w:iCs/>
        </w:rPr>
        <w:t xml:space="preserve">Poskytovatel se zavazuje řádně a včas plnit své povinnosti vztahující se ke správě </w:t>
      </w:r>
      <w:r w:rsidRPr="00615972">
        <w:rPr>
          <w:rFonts w:ascii="Arial" w:eastAsia="Calibri" w:hAnsi="Arial" w:cs="Arial"/>
        </w:rPr>
        <w:t>DPH po dobu trvání této smlouvy, zejména tuto daň řádně a včas zaplatit. Pokud v</w:t>
      </w:r>
      <w:r w:rsidRPr="00615972">
        <w:rPr>
          <w:rFonts w:ascii="Arial" w:eastAsia="Calibri" w:hAnsi="Arial" w:cs="Arial"/>
          <w:iCs/>
        </w:rPr>
        <w:t xml:space="preserve"> důsledku porušení tohoto závazku příslušný finanční úřad vyzve objednatele k zaplacení DPH z důvodu jeho ručení, zavazuje se poskytovatel zaplatit objednateli jednorázovou smluvní pokutu ve výši DPH</w:t>
      </w:r>
      <w:r w:rsidRPr="00615972">
        <w:rPr>
          <w:rFonts w:ascii="Arial" w:eastAsia="Calibri" w:hAnsi="Arial" w:cs="Arial"/>
        </w:rPr>
        <w:t xml:space="preserve"> </w:t>
      </w:r>
      <w:r w:rsidRPr="00615972">
        <w:rPr>
          <w:rFonts w:ascii="Arial" w:eastAsia="Calibri" w:hAnsi="Arial" w:cs="Arial"/>
          <w:iCs/>
        </w:rPr>
        <w:t>vztahující se k porušení závazku poskytovatele řádně a včas zaplatit DPH (včetně příslušenství), s níž je spojeno ručení objednatele</w:t>
      </w:r>
      <w:r w:rsidRPr="00615972">
        <w:rPr>
          <w:rFonts w:ascii="Arial" w:eastAsia="Calibri" w:hAnsi="Arial" w:cs="Arial"/>
        </w:rPr>
        <w:t>.</w:t>
      </w:r>
    </w:p>
    <w:p w:rsidR="00615972" w:rsidRPr="00615972" w:rsidP="00A31C1E" w14:paraId="394A95F7" w14:textId="77777777">
      <w:pPr>
        <w:numPr>
          <w:ilvl w:val="0"/>
          <w:numId w:val="13"/>
        </w:numPr>
        <w:spacing w:before="120" w:after="120" w:line="240" w:lineRule="auto"/>
        <w:ind w:left="425" w:hanging="425"/>
        <w:jc w:val="both"/>
        <w:rPr>
          <w:rFonts w:ascii="Arial" w:eastAsia="Calibri" w:hAnsi="Arial" w:cs="Arial"/>
        </w:rPr>
      </w:pPr>
      <w:r w:rsidRPr="00615972">
        <w:rPr>
          <w:rFonts w:ascii="Arial" w:eastAsia="Calibri" w:hAnsi="Arial" w:cs="Arial"/>
        </w:rPr>
        <w:t>Smluvní pokuta nebo úroky z prodlení jsou splatné do 21 dnů ode dne doručení oznámení o uložení smluvní pokuty objednatelem poskytovateli nebo oznámení o započetí s účtováním úroků z prodlení poskytovatele objednateli. Pro případ pochybností o doručení oznámení o uložení smluvní pokuty nebo oznámení o započetí s účtováním úroků z prodlení se sjednává, že se oznámení považuje za doručené druhé straně třetím dnem od podání zásilky k poštovní přepravě.</w:t>
      </w:r>
    </w:p>
    <w:p w:rsidR="00615972" w:rsidRPr="00615972" w:rsidP="00A31C1E" w14:paraId="7D67EA7C" w14:textId="77777777">
      <w:pPr>
        <w:numPr>
          <w:ilvl w:val="0"/>
          <w:numId w:val="13"/>
        </w:numPr>
        <w:spacing w:before="120" w:after="120" w:line="240" w:lineRule="auto"/>
        <w:ind w:left="425" w:hanging="425"/>
        <w:jc w:val="both"/>
        <w:rPr>
          <w:rFonts w:ascii="Arial" w:eastAsia="Calibri" w:hAnsi="Arial" w:cs="Arial"/>
        </w:rPr>
      </w:pPr>
      <w:r w:rsidRPr="00615972">
        <w:rPr>
          <w:rFonts w:ascii="Arial" w:eastAsia="Calibri" w:hAnsi="Arial" w:cs="Arial"/>
        </w:rPr>
        <w:t>Celková výše smluvních pokut není omezena jakýmkoliv limitem a smluvní pokuty mohou být kombinovány (tzn., že uplatnění jedné smluvní pokuty nevylučuje souběžné uplatnění jakékoliv jiné smluvní pokuty).</w:t>
      </w:r>
    </w:p>
    <w:p w:rsidR="00615972" w:rsidRPr="00615972" w:rsidP="00A31C1E" w14:paraId="169B9B60" w14:textId="77777777">
      <w:pPr>
        <w:numPr>
          <w:ilvl w:val="0"/>
          <w:numId w:val="13"/>
        </w:numPr>
        <w:spacing w:before="120" w:after="120" w:line="240" w:lineRule="auto"/>
        <w:ind w:left="425" w:hanging="425"/>
        <w:jc w:val="both"/>
        <w:rPr>
          <w:rFonts w:ascii="Arial" w:eastAsia="Calibri" w:hAnsi="Arial" w:cs="Arial"/>
        </w:rPr>
      </w:pPr>
      <w:r w:rsidRPr="00615972">
        <w:rPr>
          <w:rFonts w:ascii="Arial" w:eastAsia="Calibri" w:hAnsi="Arial" w:cs="Arial"/>
        </w:rPr>
        <w:t>Zaplacením smluvní pokuty není dotčen nárok objednatele na náhradu škody a na řádné dokončení plnění předmětu smlouvy.</w:t>
      </w:r>
    </w:p>
    <w:p w:rsidR="00615972" w:rsidRPr="00615972" w:rsidP="001769B0" w14:paraId="3E8F0DDA" w14:textId="77777777">
      <w:pPr>
        <w:keepNext/>
        <w:keepLines/>
        <w:numPr>
          <w:ilvl w:val="0"/>
          <w:numId w:val="1"/>
        </w:numPr>
        <w:spacing w:before="240" w:after="120" w:line="240" w:lineRule="auto"/>
        <w:ind w:left="0" w:firstLine="0"/>
        <w:jc w:val="center"/>
        <w:outlineLvl w:val="3"/>
        <w:rPr>
          <w:rFonts w:ascii="Arial" w:eastAsia="Calibri" w:hAnsi="Arial" w:cs="Arial"/>
          <w:b/>
        </w:rPr>
      </w:pPr>
      <w:r w:rsidRPr="00615972">
        <w:rPr>
          <w:rFonts w:ascii="Arial" w:eastAsia="Calibri" w:hAnsi="Arial" w:cs="Arial"/>
          <w:b/>
        </w:rPr>
        <w:br/>
        <w:t>Ukončení smluvního vztahu</w:t>
      </w:r>
    </w:p>
    <w:p w:rsidR="00615972" w:rsidRPr="00615972" w:rsidP="001769B0" w14:paraId="11133EC9" w14:textId="77777777">
      <w:pPr>
        <w:numPr>
          <w:ilvl w:val="0"/>
          <w:numId w:val="14"/>
        </w:numPr>
        <w:spacing w:before="120" w:after="120" w:line="240" w:lineRule="auto"/>
        <w:ind w:left="425" w:hanging="425"/>
        <w:jc w:val="both"/>
        <w:rPr>
          <w:rFonts w:ascii="Arial" w:eastAsia="Calibri" w:hAnsi="Arial" w:cs="Arial"/>
        </w:rPr>
      </w:pPr>
      <w:r w:rsidRPr="00615972">
        <w:rPr>
          <w:rFonts w:ascii="Arial" w:eastAsia="Calibri" w:hAnsi="Arial" w:cs="Arial"/>
        </w:rPr>
        <w:t>Smluvní vztah vzniklý na základě této smlouvy lze ukončit těmito způsoby:</w:t>
      </w:r>
    </w:p>
    <w:p w:rsidR="00615972" w:rsidRPr="00615972" w:rsidP="001769B0" w14:paraId="2A5C6FA6" w14:textId="77777777">
      <w:pPr>
        <w:numPr>
          <w:ilvl w:val="0"/>
          <w:numId w:val="15"/>
        </w:numPr>
        <w:spacing w:before="120" w:after="120" w:line="240" w:lineRule="auto"/>
        <w:ind w:left="850" w:hanging="425"/>
        <w:jc w:val="both"/>
        <w:rPr>
          <w:rFonts w:ascii="Arial" w:eastAsia="Calibri" w:hAnsi="Arial" w:cs="Arial"/>
        </w:rPr>
      </w:pPr>
      <w:r w:rsidRPr="00615972">
        <w:rPr>
          <w:rFonts w:ascii="Arial" w:eastAsia="Calibri" w:hAnsi="Arial" w:cs="Arial"/>
        </w:rPr>
        <w:t>odstoupením od smlouvy:</w:t>
      </w:r>
    </w:p>
    <w:p w:rsidR="00615972" w:rsidRPr="00615972" w:rsidP="001769B0" w14:paraId="373409D9" w14:textId="77777777">
      <w:pPr>
        <w:numPr>
          <w:ilvl w:val="0"/>
          <w:numId w:val="16"/>
        </w:numPr>
        <w:spacing w:before="120" w:after="120" w:line="240" w:lineRule="auto"/>
        <w:ind w:left="1134" w:hanging="141"/>
        <w:contextualSpacing/>
        <w:jc w:val="both"/>
        <w:rPr>
          <w:rFonts w:ascii="Arial" w:eastAsia="Calibri" w:hAnsi="Arial" w:cs="Arial"/>
        </w:rPr>
      </w:pPr>
      <w:r w:rsidRPr="00615972">
        <w:rPr>
          <w:rFonts w:ascii="Arial" w:eastAsia="Calibri" w:hAnsi="Arial" w:cs="Arial"/>
        </w:rPr>
        <w:t>za podmínek uvedených v § 2002 a násl. občanského zákoníku v případě porušení smlouvy druhou smluvní stranou podstatným způsobem,</w:t>
      </w:r>
    </w:p>
    <w:p w:rsidR="00615972" w:rsidRPr="00615972" w:rsidP="001769B0" w14:paraId="626A9BCD" w14:textId="77777777">
      <w:pPr>
        <w:numPr>
          <w:ilvl w:val="0"/>
          <w:numId w:val="16"/>
        </w:numPr>
        <w:spacing w:before="120" w:after="120" w:line="240" w:lineRule="auto"/>
        <w:ind w:left="1135" w:hanging="141"/>
        <w:jc w:val="both"/>
        <w:rPr>
          <w:rFonts w:ascii="Arial" w:eastAsia="Calibri" w:hAnsi="Arial" w:cs="Arial"/>
        </w:rPr>
      </w:pPr>
      <w:r w:rsidRPr="00615972">
        <w:rPr>
          <w:rFonts w:ascii="Arial" w:eastAsia="Calibri" w:hAnsi="Arial" w:cs="Arial"/>
        </w:rPr>
        <w:t xml:space="preserve">v případech, které si smluvní strany ujednaly dále v tomto článku smlouvy, </w:t>
      </w:r>
    </w:p>
    <w:p w:rsidR="00615972" w:rsidRPr="00615972" w:rsidP="001769B0" w14:paraId="2EE7FCBD" w14:textId="06E56F56">
      <w:pPr>
        <w:numPr>
          <w:ilvl w:val="0"/>
          <w:numId w:val="15"/>
        </w:numPr>
        <w:spacing w:before="120" w:after="120" w:line="240" w:lineRule="auto"/>
        <w:ind w:left="850" w:hanging="425"/>
        <w:jc w:val="both"/>
        <w:rPr>
          <w:rFonts w:ascii="Arial" w:eastAsia="Calibri" w:hAnsi="Arial" w:cs="Arial"/>
        </w:rPr>
      </w:pPr>
      <w:r w:rsidRPr="00615972">
        <w:rPr>
          <w:rFonts w:ascii="Arial" w:eastAsia="Calibri" w:hAnsi="Arial" w:cs="Arial"/>
        </w:rPr>
        <w:t>dohodou smluvních stran,</w:t>
      </w:r>
    </w:p>
    <w:p w:rsidR="00615972" w:rsidRPr="00577552" w:rsidP="00577552" w14:paraId="14D79C67" w14:textId="77777777">
      <w:pPr>
        <w:numPr>
          <w:ilvl w:val="0"/>
          <w:numId w:val="15"/>
        </w:numPr>
        <w:spacing w:before="120" w:after="120" w:line="240" w:lineRule="auto"/>
        <w:ind w:left="850" w:hanging="425"/>
        <w:jc w:val="both"/>
        <w:rPr>
          <w:rFonts w:ascii="Arial" w:eastAsia="Calibri" w:hAnsi="Arial" w:cs="Arial"/>
        </w:rPr>
      </w:pPr>
      <w:r w:rsidRPr="00577552">
        <w:rPr>
          <w:rFonts w:ascii="Arial" w:eastAsia="Calibri" w:hAnsi="Arial" w:cs="Arial"/>
        </w:rPr>
        <w:t>výpovědí.</w:t>
      </w:r>
    </w:p>
    <w:p w:rsidR="00615972" w:rsidRPr="00615972" w:rsidP="001769B0" w14:paraId="2E97E8AC" w14:textId="77777777">
      <w:pPr>
        <w:numPr>
          <w:ilvl w:val="0"/>
          <w:numId w:val="14"/>
        </w:numPr>
        <w:spacing w:before="120" w:after="120" w:line="240" w:lineRule="auto"/>
        <w:ind w:left="425" w:hanging="425"/>
        <w:jc w:val="both"/>
        <w:rPr>
          <w:rFonts w:ascii="Arial" w:eastAsia="Calibri" w:hAnsi="Arial" w:cs="Arial"/>
        </w:rPr>
      </w:pPr>
      <w:r w:rsidRPr="00615972">
        <w:rPr>
          <w:rFonts w:ascii="Arial" w:eastAsia="Calibri" w:hAnsi="Arial" w:cs="Arial"/>
        </w:rPr>
        <w:t>Objednatel je oprávněn odstoupit od smlouvy v případě:</w:t>
      </w:r>
    </w:p>
    <w:p w:rsidR="00615972" w:rsidRPr="00615972" w:rsidP="001769B0" w14:paraId="14C5CC61" w14:textId="77777777">
      <w:pPr>
        <w:numPr>
          <w:ilvl w:val="0"/>
          <w:numId w:val="17"/>
        </w:numPr>
        <w:spacing w:before="120" w:after="120" w:line="240" w:lineRule="auto"/>
        <w:ind w:left="850" w:hanging="425"/>
        <w:jc w:val="both"/>
        <w:rPr>
          <w:rFonts w:ascii="Arial" w:eastAsia="Calibri" w:hAnsi="Arial" w:cs="Arial"/>
        </w:rPr>
      </w:pPr>
      <w:r w:rsidRPr="00615972">
        <w:rPr>
          <w:rFonts w:ascii="Arial" w:eastAsia="Calibri" w:hAnsi="Arial" w:cs="Arial"/>
        </w:rPr>
        <w:t>prodlení poskytovatele s předáním jednotlivého výpisu podpory delšího než 15 dnů, a to i v případě nepřevzetí výpisu podpory objednatelem z titulu jeho vad,</w:t>
      </w:r>
    </w:p>
    <w:p w:rsidR="00615972" w:rsidRPr="00615972" w:rsidP="001769B0" w14:paraId="033E5A11" w14:textId="77777777">
      <w:pPr>
        <w:numPr>
          <w:ilvl w:val="0"/>
          <w:numId w:val="17"/>
        </w:numPr>
        <w:spacing w:before="120" w:after="120" w:line="240" w:lineRule="auto"/>
        <w:ind w:left="850" w:hanging="425"/>
        <w:jc w:val="both"/>
        <w:rPr>
          <w:rFonts w:ascii="Arial" w:eastAsia="Calibri" w:hAnsi="Arial" w:cs="Arial"/>
        </w:rPr>
      </w:pPr>
      <w:r w:rsidRPr="00615972">
        <w:rPr>
          <w:rFonts w:ascii="Arial" w:eastAsia="Calibri" w:hAnsi="Arial" w:cs="Arial"/>
        </w:rPr>
        <w:t>prodlení poskytovatele s odstraněním vad plnění podle čl. II odst. 4 nebo čl. III odst. 3 této smlouvy delšího než 10 dnů.</w:t>
      </w:r>
    </w:p>
    <w:p w:rsidR="00615972" w:rsidRPr="00615972" w:rsidP="001769B0" w14:paraId="0A11F3D4" w14:textId="77777777">
      <w:pPr>
        <w:numPr>
          <w:ilvl w:val="0"/>
          <w:numId w:val="14"/>
        </w:numPr>
        <w:spacing w:before="120" w:after="120" w:line="240" w:lineRule="auto"/>
        <w:ind w:left="425" w:hanging="425"/>
        <w:jc w:val="both"/>
        <w:rPr>
          <w:rFonts w:ascii="Arial" w:eastAsia="Calibri" w:hAnsi="Arial" w:cs="Arial"/>
        </w:rPr>
      </w:pPr>
      <w:r w:rsidRPr="00615972">
        <w:rPr>
          <w:rFonts w:ascii="Arial" w:eastAsia="Calibri" w:hAnsi="Arial" w:cs="Arial"/>
        </w:rPr>
        <w:t>Poskytovatel je oprávněn odstoupit od smlouvy v případě prodlení objednatele se zaplacením ceny delšího než 15 dnů.</w:t>
      </w:r>
    </w:p>
    <w:p w:rsidR="00615972" w:rsidRPr="00615972" w:rsidP="001769B0" w14:paraId="6DC3C197" w14:textId="77777777">
      <w:pPr>
        <w:numPr>
          <w:ilvl w:val="0"/>
          <w:numId w:val="14"/>
        </w:numPr>
        <w:spacing w:before="120" w:after="120" w:line="240" w:lineRule="auto"/>
        <w:ind w:left="425" w:hanging="425"/>
        <w:jc w:val="both"/>
        <w:rPr>
          <w:rFonts w:ascii="Arial" w:eastAsia="Calibri" w:hAnsi="Arial" w:cs="Arial"/>
        </w:rPr>
      </w:pPr>
      <w:r w:rsidRPr="00615972">
        <w:rPr>
          <w:rFonts w:ascii="Arial" w:eastAsia="Calibri" w:hAnsi="Arial" w:cs="Arial"/>
        </w:rPr>
        <w:t>Účinky odstoupení od smlouvy nastávají okamžikem doručení písemného projevu vůle odstoupit od této smlouvy druhé smluvní straně. Pro případ pochybností o doručení odstoupení se sjednává, že se odstoupení považuje za doručené druhé straně třetím dnem od podání zásilky k poštovní přepravě.</w:t>
      </w:r>
    </w:p>
    <w:p w:rsidR="00615972" w:rsidRPr="00615972" w:rsidP="001769B0" w14:paraId="09E6A9D2" w14:textId="77777777">
      <w:pPr>
        <w:numPr>
          <w:ilvl w:val="0"/>
          <w:numId w:val="14"/>
        </w:numPr>
        <w:spacing w:before="120" w:after="120" w:line="240" w:lineRule="auto"/>
        <w:ind w:left="425" w:hanging="425"/>
        <w:jc w:val="both"/>
        <w:rPr>
          <w:rFonts w:ascii="Arial" w:eastAsia="Calibri" w:hAnsi="Arial" w:cs="Arial"/>
        </w:rPr>
      </w:pPr>
      <w:r w:rsidRPr="00615972">
        <w:rPr>
          <w:rFonts w:ascii="Arial" w:eastAsia="Calibri" w:hAnsi="Arial" w:cs="Arial"/>
        </w:rPr>
        <w:t>Odstoupením od smlouvy není dotčen případný nárok na zaplacení sjednaných smluvních pokut nebo úroků z prodlení ani případný nárok na náhradu škody.</w:t>
      </w:r>
    </w:p>
    <w:p w:rsidR="00615972" w:rsidRPr="00615972" w:rsidP="001769B0" w14:paraId="710D9E19" w14:textId="72662991">
      <w:pPr>
        <w:numPr>
          <w:ilvl w:val="0"/>
          <w:numId w:val="14"/>
        </w:numPr>
        <w:spacing w:before="120" w:after="120" w:line="240" w:lineRule="auto"/>
        <w:ind w:left="425" w:hanging="425"/>
        <w:jc w:val="both"/>
        <w:rPr>
          <w:rFonts w:ascii="Arial" w:eastAsia="Calibri" w:hAnsi="Arial" w:cs="Arial"/>
        </w:rPr>
      </w:pPr>
      <w:r w:rsidRPr="00615972">
        <w:rPr>
          <w:rFonts w:ascii="Arial" w:eastAsia="Calibri" w:hAnsi="Arial" w:cs="Arial"/>
        </w:rPr>
        <w:t>Tuto smlouvu může vypovědět kterákoliv ze smluvních stran písemnou výpovědí, a to i bez udání důvodu. Výpovědní lhůta je 3 měsíce a počíná běžet prvním dnem kalendářního měsíce následujícího po doručení výpovědi druhé smluvní straně. Pro</w:t>
      </w:r>
      <w:r w:rsidR="00601BFB">
        <w:rPr>
          <w:rFonts w:ascii="Arial" w:eastAsia="Calibri" w:hAnsi="Arial" w:cs="Arial"/>
        </w:rPr>
        <w:t> </w:t>
      </w:r>
      <w:r w:rsidRPr="00615972">
        <w:rPr>
          <w:rFonts w:ascii="Arial" w:eastAsia="Calibri" w:hAnsi="Arial" w:cs="Arial"/>
        </w:rPr>
        <w:t>případ pochybností o doručení výpovědi se sjednává, že se výpověď považuje za</w:t>
      </w:r>
      <w:r w:rsidR="00601BFB">
        <w:rPr>
          <w:rFonts w:ascii="Arial" w:eastAsia="Calibri" w:hAnsi="Arial" w:cs="Arial"/>
        </w:rPr>
        <w:t> </w:t>
      </w:r>
      <w:r w:rsidRPr="00615972">
        <w:rPr>
          <w:rFonts w:ascii="Arial" w:eastAsia="Calibri" w:hAnsi="Arial" w:cs="Arial"/>
        </w:rPr>
        <w:t>doručenou druhé straně třetím dnem od podání zásilky k poštovní přepravě.</w:t>
      </w:r>
    </w:p>
    <w:p w:rsidR="00615972" w:rsidRPr="00615972" w:rsidP="001769B0" w14:paraId="327729DB" w14:textId="77777777">
      <w:pPr>
        <w:numPr>
          <w:ilvl w:val="0"/>
          <w:numId w:val="14"/>
        </w:numPr>
        <w:spacing w:before="120" w:after="120" w:line="240" w:lineRule="auto"/>
        <w:ind w:left="425" w:hanging="425"/>
        <w:jc w:val="both"/>
        <w:rPr>
          <w:rFonts w:ascii="Arial" w:eastAsia="Calibri" w:hAnsi="Arial" w:cs="Arial"/>
        </w:rPr>
      </w:pPr>
      <w:r w:rsidRPr="00615972">
        <w:rPr>
          <w:rFonts w:ascii="Arial" w:eastAsia="Calibri" w:hAnsi="Arial" w:cs="Arial"/>
        </w:rPr>
        <w:t>Práva a povinnosti smluvních stran, z jejichž povahy je zřejmé, že mají být zachována i po splnění závazků z této smlouvy vyplývajících, zůstávají zachována i po zániku těchto závazků.</w:t>
      </w:r>
    </w:p>
    <w:p w:rsidR="00615972" w:rsidRPr="00615972" w:rsidP="00601BFB" w14:paraId="208D8B4E" w14:textId="77777777">
      <w:pPr>
        <w:keepNext/>
        <w:numPr>
          <w:ilvl w:val="0"/>
          <w:numId w:val="1"/>
        </w:numPr>
        <w:spacing w:before="240" w:after="120" w:line="240" w:lineRule="auto"/>
        <w:ind w:left="0" w:firstLine="0"/>
        <w:jc w:val="center"/>
        <w:outlineLvl w:val="3"/>
        <w:rPr>
          <w:rFonts w:ascii="Arial" w:eastAsia="Calibri" w:hAnsi="Arial" w:cs="Arial"/>
          <w:b/>
        </w:rPr>
      </w:pPr>
      <w:r w:rsidRPr="00615972">
        <w:rPr>
          <w:rFonts w:ascii="Arial" w:eastAsia="Calibri" w:hAnsi="Arial" w:cs="Arial"/>
          <w:b/>
        </w:rPr>
        <w:br/>
        <w:t>Vyšší moc</w:t>
      </w:r>
    </w:p>
    <w:p w:rsidR="00615972" w:rsidRPr="00615972" w:rsidP="001769B0" w14:paraId="7125F385" w14:textId="77777777">
      <w:pPr>
        <w:numPr>
          <w:ilvl w:val="0"/>
          <w:numId w:val="18"/>
        </w:numPr>
        <w:spacing w:before="120" w:after="120" w:line="240" w:lineRule="auto"/>
        <w:ind w:left="425" w:hanging="425"/>
        <w:jc w:val="both"/>
        <w:rPr>
          <w:rFonts w:ascii="Arial" w:eastAsia="Calibri" w:hAnsi="Arial" w:cs="Arial"/>
        </w:rPr>
      </w:pPr>
      <w:r w:rsidRPr="00615972">
        <w:rPr>
          <w:rFonts w:ascii="Arial" w:eastAsia="Calibri" w:hAnsi="Arial"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615972" w:rsidRPr="00615972" w:rsidP="001769B0" w14:paraId="57FC1A65" w14:textId="77777777">
      <w:pPr>
        <w:numPr>
          <w:ilvl w:val="0"/>
          <w:numId w:val="18"/>
        </w:numPr>
        <w:spacing w:before="120" w:after="120" w:line="240" w:lineRule="auto"/>
        <w:ind w:left="425" w:hanging="425"/>
        <w:jc w:val="both"/>
        <w:rPr>
          <w:rFonts w:ascii="Arial" w:eastAsia="Calibri" w:hAnsi="Arial" w:cs="Arial"/>
        </w:rPr>
      </w:pPr>
      <w:r w:rsidRPr="00615972">
        <w:rPr>
          <w:rFonts w:ascii="Arial" w:eastAsia="Calibri"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615972" w:rsidRPr="00615972" w:rsidP="001769B0" w14:paraId="7D8D6FE0" w14:textId="77777777">
      <w:pPr>
        <w:numPr>
          <w:ilvl w:val="0"/>
          <w:numId w:val="18"/>
        </w:numPr>
        <w:spacing w:before="120" w:after="120" w:line="240" w:lineRule="auto"/>
        <w:ind w:left="425" w:hanging="425"/>
        <w:jc w:val="both"/>
        <w:rPr>
          <w:rFonts w:ascii="Arial" w:eastAsia="Calibri" w:hAnsi="Arial" w:cs="Arial"/>
        </w:rPr>
      </w:pPr>
      <w:r w:rsidRPr="00615972">
        <w:rPr>
          <w:rFonts w:ascii="Arial" w:eastAsia="Calibri" w:hAnsi="Arial" w:cs="Arial"/>
        </w:rPr>
        <w:t xml:space="preserve">Pro účely této smlouvy se za vyšší moc dále považují i situace, které na základě rozhodnutí objednatele znemožní poskytovateli přístup do prostor objednatele.   </w:t>
      </w:r>
    </w:p>
    <w:p w:rsidR="00615972" w:rsidRPr="00615972" w:rsidP="001769B0" w14:paraId="3609E6C0" w14:textId="77777777">
      <w:pPr>
        <w:numPr>
          <w:ilvl w:val="0"/>
          <w:numId w:val="18"/>
        </w:numPr>
        <w:spacing w:before="120" w:after="120" w:line="240" w:lineRule="auto"/>
        <w:ind w:left="425" w:hanging="425"/>
        <w:jc w:val="both"/>
        <w:rPr>
          <w:rFonts w:ascii="Arial" w:eastAsia="Calibri" w:hAnsi="Arial" w:cs="Arial"/>
        </w:rPr>
      </w:pPr>
      <w:r w:rsidRPr="00615972">
        <w:rPr>
          <w:rFonts w:ascii="Arial" w:eastAsia="Calibri" w:hAnsi="Arial" w:cs="Arial"/>
        </w:rPr>
        <w:t xml:space="preserve">Výslovně se stanovuje, že vyšší mocí není stávka zaměstnanců poskytovatele nebo jeho poddodavatelů, ani hospodářské poměry smluvních stran. </w:t>
      </w:r>
    </w:p>
    <w:p w:rsidR="00615972" w:rsidRPr="00615972" w:rsidP="001769B0" w14:paraId="34E62FB0" w14:textId="77777777">
      <w:pPr>
        <w:numPr>
          <w:ilvl w:val="0"/>
          <w:numId w:val="18"/>
        </w:numPr>
        <w:spacing w:before="120" w:after="120" w:line="240" w:lineRule="auto"/>
        <w:ind w:left="425" w:hanging="425"/>
        <w:jc w:val="both"/>
        <w:rPr>
          <w:rFonts w:ascii="Arial" w:eastAsia="Calibri" w:hAnsi="Arial" w:cs="Arial"/>
        </w:rPr>
      </w:pPr>
      <w:r w:rsidRPr="00615972">
        <w:rPr>
          <w:rFonts w:ascii="Arial" w:eastAsia="Calibri" w:hAnsi="Arial" w:cs="Arial"/>
        </w:rPr>
        <w:t>V případě, že nastane vyšší moc, prodlužuje se lhůta ke splnění smluvních povinností o dobu, během níž vyšší moc trvá a neuplatní se sankce dle čl. VII odst. 1 a 2 této smlouvy.</w:t>
      </w:r>
    </w:p>
    <w:p w:rsidR="00615972" w:rsidRPr="00615972" w:rsidP="001769B0" w14:paraId="7DC047E7" w14:textId="77777777">
      <w:pPr>
        <w:numPr>
          <w:ilvl w:val="0"/>
          <w:numId w:val="18"/>
        </w:numPr>
        <w:spacing w:before="240" w:after="120" w:line="240" w:lineRule="auto"/>
        <w:ind w:left="425" w:hanging="425"/>
        <w:jc w:val="both"/>
        <w:rPr>
          <w:rFonts w:ascii="Arial" w:eastAsia="Calibri" w:hAnsi="Arial" w:cs="Arial"/>
        </w:rPr>
      </w:pPr>
      <w:r w:rsidRPr="00615972">
        <w:rPr>
          <w:rFonts w:ascii="Arial" w:eastAsia="Calibri" w:hAnsi="Arial"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615972" w:rsidRPr="00615972" w:rsidP="00A8493F" w14:paraId="5493685F" w14:textId="77777777">
      <w:pPr>
        <w:keepNext/>
        <w:numPr>
          <w:ilvl w:val="0"/>
          <w:numId w:val="1"/>
        </w:numPr>
        <w:spacing w:before="240" w:after="120" w:line="240" w:lineRule="auto"/>
        <w:ind w:left="0" w:firstLine="0"/>
        <w:jc w:val="center"/>
        <w:outlineLvl w:val="3"/>
        <w:rPr>
          <w:rFonts w:ascii="Arial" w:eastAsia="Calibri" w:hAnsi="Arial" w:cs="Arial"/>
          <w:b/>
        </w:rPr>
      </w:pPr>
      <w:r w:rsidRPr="00615972">
        <w:rPr>
          <w:rFonts w:ascii="Arial" w:eastAsia="Calibri" w:hAnsi="Arial" w:cs="Arial"/>
          <w:b/>
        </w:rPr>
        <w:br/>
        <w:t>Závěrečná ustanovení</w:t>
      </w:r>
    </w:p>
    <w:p w:rsidR="00615972" w:rsidRPr="0043599B" w:rsidP="001769B0" w14:paraId="3617DD4D" w14:textId="77777777">
      <w:pPr>
        <w:numPr>
          <w:ilvl w:val="0"/>
          <w:numId w:val="19"/>
        </w:numPr>
        <w:spacing w:before="120" w:after="120" w:line="240" w:lineRule="auto"/>
        <w:ind w:left="425" w:hanging="425"/>
        <w:jc w:val="both"/>
        <w:rPr>
          <w:rFonts w:ascii="Arial" w:eastAsia="Calibri" w:hAnsi="Arial" w:cs="Arial"/>
        </w:rPr>
      </w:pPr>
      <w:r w:rsidRPr="00615972">
        <w:rPr>
          <w:rFonts w:ascii="Arial" w:eastAsia="Calibri" w:hAnsi="Arial" w:cs="Arial"/>
          <w:color w:val="000000"/>
        </w:rPr>
        <w:t xml:space="preserve">Vztahy mezi smluvními stranami se řídí českým právním řádem. Práva a povinnosti smluvních stran vyplývající z této smlouvy a jí výslovně neupravené se řídí obecně </w:t>
      </w:r>
      <w:r w:rsidRPr="0043599B">
        <w:rPr>
          <w:rFonts w:ascii="Arial" w:eastAsia="Calibri" w:hAnsi="Arial" w:cs="Arial"/>
        </w:rPr>
        <w:t>závaznými právními předpisy, zejména občanským zákoníkem.</w:t>
      </w:r>
    </w:p>
    <w:p w:rsidR="000E6784" w:rsidRPr="00DE67A5" w:rsidP="00380F52" w14:paraId="28EF7BB1" w14:textId="5BE44EFC">
      <w:pPr>
        <w:numPr>
          <w:ilvl w:val="0"/>
          <w:numId w:val="19"/>
        </w:numPr>
        <w:spacing w:before="120" w:after="120" w:line="240" w:lineRule="auto"/>
        <w:ind w:left="426" w:hanging="426"/>
        <w:jc w:val="both"/>
        <w:rPr>
          <w:rFonts w:ascii="Arial" w:eastAsia="Calibri" w:hAnsi="Arial" w:cs="Arial"/>
        </w:rPr>
      </w:pPr>
      <w:r w:rsidRPr="00DE67A5">
        <w:rPr>
          <w:rFonts w:ascii="Arial" w:eastAsia="Calibri" w:hAnsi="Arial" w:cs="Arial"/>
        </w:rPr>
        <w:t>Není-li v této smlouvě výslovně uvedeno jinak, rozumí se pojmem „dny“ kalendářní dny.</w:t>
      </w:r>
    </w:p>
    <w:p w:rsidR="00615972" w:rsidRPr="00615972" w:rsidP="001769B0" w14:paraId="4C91B62D"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w:t>
      </w:r>
      <w:r w:rsidRPr="00615972">
        <w:rPr>
          <w:rFonts w:ascii="Arial" w:eastAsia="Calibri" w:hAnsi="Arial" w:cs="Arial"/>
          <w:color w:val="000000"/>
        </w:rPr>
        <w:t>jehož předmět bude nejlépe odpovídat předmětu a ekonomickému účelu původního závazku či ustanovení.</w:t>
      </w:r>
    </w:p>
    <w:p w:rsidR="00615972" w:rsidRPr="00615972" w:rsidP="001769B0" w14:paraId="0D06C912"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rsidR="00615972" w:rsidRPr="00615972" w:rsidP="001769B0" w14:paraId="585C8085"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V případě, že je potřeba během plnění přijetí licenčních podmínek, bez ohledu na to, zda takové přijetí licenčních podmínek provede poskytovatel nebo objednatel, má vždy v případě jakéhokoliv rozporu přednost znění smlouvy před zněním takto přijatých licenčních podmínek.</w:t>
      </w:r>
    </w:p>
    <w:p w:rsidR="00615972" w:rsidRPr="00615972" w:rsidP="001769B0" w14:paraId="6FBB4501"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Poskytovatel tímto dává objednateli výslovný souhlas se zpracováním a uchováváním, popř. uveřejněním (pokud takové uveřejní zvláštní právní předpisy vyžadují) osobních údajů dle obecného nařízení, a to v rozsahu, v jakém poskytovatel poskytl tyto údaje objednateli v rámci výběrového řízení (zejména jména a kontaktní údaje pověřených a kontaktních osob zastupujících poskytovatele, jména skutečných vlastníků právnických osob, údajů, jejichž předložení si objednatel vyhradil jako podmínku uzavření smlouvy atd.) a v rozsahu, v jakém jsou nezbytně nutné pro plnění zákonných povinností ze strany objednatele vztahujících se k výběrovému řízení, užívání licencí a plnění smluvních povinností ze strany poskytovatele.</w:t>
      </w:r>
    </w:p>
    <w:p w:rsidR="00615972" w:rsidRPr="00615972" w:rsidP="001769B0" w14:paraId="7E533DA2" w14:textId="3ECEC4CF">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 xml:space="preserve">Tato smlouva v případě jejího listinného sepsání je vyhotovena ve </w:t>
      </w:r>
      <w:r w:rsidR="00601BFB">
        <w:rPr>
          <w:rFonts w:ascii="Arial" w:eastAsia="Calibri" w:hAnsi="Arial" w:cs="Arial"/>
          <w:color w:val="000000"/>
        </w:rPr>
        <w:t>3</w:t>
      </w:r>
      <w:r w:rsidRPr="00615972">
        <w:rPr>
          <w:rFonts w:ascii="Arial" w:eastAsia="Calibri" w:hAnsi="Arial" w:cs="Arial"/>
          <w:color w:val="000000"/>
        </w:rPr>
        <w:t xml:space="preserve"> vyhotoveních s platností originálu, z nichž </w:t>
      </w:r>
      <w:r w:rsidR="00577552">
        <w:rPr>
          <w:rFonts w:ascii="Arial" w:eastAsia="Calibri" w:hAnsi="Arial" w:cs="Arial"/>
          <w:color w:val="000000"/>
        </w:rPr>
        <w:t>2</w:t>
      </w:r>
      <w:r w:rsidRPr="00615972">
        <w:rPr>
          <w:rFonts w:ascii="Arial" w:eastAsia="Calibri" w:hAnsi="Arial" w:cs="Arial"/>
          <w:color w:val="000000"/>
        </w:rPr>
        <w:t xml:space="preserve"> vyhotovení obdrží objednatel a 1 vyhotovení obdrží poskytovatel.</w:t>
      </w:r>
    </w:p>
    <w:p w:rsidR="00615972" w:rsidRPr="00615972" w:rsidP="001769B0" w14:paraId="5A705CDF"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Uzavřenou smlouvu lze měnit nebo zrušit pouze po dohodě smluvních stran, která musí mít formu písemných, číslovaných a datovaných dodatků, které musí být podepsány oběma smluvními stranami.</w:t>
      </w:r>
    </w:p>
    <w:p w:rsidR="00615972" w:rsidRPr="00615972" w:rsidP="001769B0" w14:paraId="23A7BBF1"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w:t>
      </w:r>
    </w:p>
    <w:p w:rsidR="00615972" w:rsidRPr="00615972" w:rsidP="001769B0" w14:paraId="74E1D9B9"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Poskytovatel převzal na sebe nebezpečí změny okolností po uzavření této smlouvy, a proto mu nepřísluší domáhat se práv uvedených v § 1765 odst. 1 občanského zákoníku.</w:t>
      </w:r>
    </w:p>
    <w:p w:rsidR="00615972" w:rsidRPr="00615972" w:rsidP="001769B0" w14:paraId="176A91DC"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rsidR="00615972" w:rsidRPr="00615972" w:rsidP="001769B0" w14:paraId="6E6A5DF1"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 xml:space="preserve">Objednatel je povinným subjektem ve smyslu zákona o registru smluv. Poskytovatel souhlasí se zveřejněním této smlouvy, včetně všech jejích případných dodatků, především na profilu zadavatele a v Registru smluv. Splnění této zákonné povinnosti není porušením důvěrnosti informací. Poskytovatel výslovně souhlasí s tím, že uveřejněno bude úplné znění této smlouvy, včetně všech identifikačních a kontaktních údajů osob, které poskytovatel uvedl v textu této smlouvy. Je-li podle obecného nařízení k uveřejnění těchto údajů potřebný souhlas dotčených osob, poskytovatel výslovně prohlašuje, že takový souhlas všech dotčených osob zajistil. Smluvní strany se dohodly, že smlouvu zašle správci Registru smluv k uveřejnění objednatel a bude poskytovatele písemně informovat o uveřejnění smlouvy v Registru smluv. Poskytovatel je povinen zkontrolovat, že smlouva byla v Registru smluv řádně uveřejněna. V případě, že poskytovatel zjistí jakékoliv nepřesnosti či nedostatky, je povinen bez zbytečného odkladu o nich objednatele </w:t>
      </w:r>
      <w:r w:rsidRPr="00615972">
        <w:rPr>
          <w:rFonts w:ascii="Arial" w:eastAsia="Calibri" w:hAnsi="Arial" w:cs="Arial"/>
          <w:color w:val="000000"/>
        </w:rPr>
        <w:t>informovat. Objednatel je dále v souladu se ZZVZ povinen na profilu zadavatele uveřejnit skutečně uhrazenou cenu.</w:t>
      </w:r>
    </w:p>
    <w:p w:rsidR="00615972" w:rsidRPr="00615972" w:rsidP="001769B0" w14:paraId="01A2C929"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Tato smlouva nabývá platnosti dnem podpisu poslední ze smluvních stran a účinnosti dnem uveřejnění v Registru smluv.</w:t>
      </w:r>
    </w:p>
    <w:p w:rsidR="00615972" w:rsidRPr="00615972" w:rsidP="001769B0" w14:paraId="5D0BDEDE" w14:textId="77777777">
      <w:pPr>
        <w:numPr>
          <w:ilvl w:val="0"/>
          <w:numId w:val="19"/>
        </w:numPr>
        <w:spacing w:before="120" w:after="120" w:line="240" w:lineRule="auto"/>
        <w:ind w:left="425" w:hanging="425"/>
        <w:jc w:val="both"/>
        <w:rPr>
          <w:rFonts w:ascii="Arial" w:eastAsia="Calibri" w:hAnsi="Arial" w:cs="Arial"/>
          <w:color w:val="000000"/>
        </w:rPr>
      </w:pPr>
      <w:r w:rsidRPr="00615972">
        <w:rPr>
          <w:rFonts w:ascii="Arial" w:eastAsia="Calibri" w:hAnsi="Arial" w:cs="Arial"/>
          <w:color w:val="000000"/>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rsidR="00615972" w:rsidP="00615972" w14:paraId="2B71D49A" w14:textId="77777777">
      <w:pPr>
        <w:spacing w:before="360" w:after="120" w:line="260" w:lineRule="atLeast"/>
        <w:rPr>
          <w:rFonts w:ascii="Arial" w:eastAsia="Calibri" w:hAnsi="Arial" w:cs="Arial"/>
        </w:rPr>
      </w:pPr>
    </w:p>
    <w:p w:rsidR="00601BFB" w:rsidRPr="00615972" w:rsidP="00615972" w14:paraId="0D578CF2" w14:textId="77777777">
      <w:pPr>
        <w:spacing w:before="360" w:after="120" w:line="260" w:lineRule="atLeast"/>
        <w:rPr>
          <w:rFonts w:ascii="Arial" w:eastAsia="Calibri" w:hAnsi="Arial" w:cs="Arial"/>
        </w:rPr>
      </w:pPr>
    </w:p>
    <w:p w:rsidR="00615972" w:rsidRPr="00615972" w:rsidP="00615972" w14:paraId="48F5D0BE" w14:textId="66AFD647">
      <w:pPr>
        <w:spacing w:before="360" w:after="120" w:line="260" w:lineRule="atLeast"/>
        <w:rPr>
          <w:rFonts w:ascii="Arial" w:eastAsia="Calibri" w:hAnsi="Arial" w:cs="Arial"/>
        </w:rPr>
      </w:pPr>
      <w:r w:rsidRPr="00615972">
        <w:rPr>
          <w:rFonts w:ascii="Arial" w:eastAsia="Calibri" w:hAnsi="Arial" w:cs="Arial"/>
        </w:rPr>
        <w:t xml:space="preserve">V </w:t>
      </w:r>
      <w:r w:rsidR="00655F57">
        <w:rPr>
          <w:rFonts w:ascii="Arial" w:eastAsia="Calibri" w:hAnsi="Arial" w:cs="Arial"/>
        </w:rPr>
        <w:t>Praze</w:t>
      </w:r>
      <w:r w:rsidRPr="00615972">
        <w:rPr>
          <w:rFonts w:ascii="Arial" w:eastAsia="Calibri" w:hAnsi="Arial" w:cs="Arial"/>
        </w:rPr>
        <w:t xml:space="preserve"> dne</w:t>
      </w:r>
      <w:r w:rsidRPr="00615972">
        <w:rPr>
          <w:rFonts w:ascii="Arial" w:eastAsia="Calibri" w:hAnsi="Arial" w:cs="Arial"/>
        </w:rPr>
        <w:tab/>
      </w:r>
      <w:r w:rsidR="004E55C9">
        <w:rPr>
          <w:rFonts w:ascii="Arial" w:eastAsia="Calibri" w:hAnsi="Arial" w:cs="Arial"/>
        </w:rPr>
        <w:t>07</w:t>
      </w:r>
      <w:r w:rsidR="008715F2">
        <w:rPr>
          <w:rFonts w:ascii="Arial" w:eastAsia="Calibri" w:hAnsi="Arial" w:cs="Arial"/>
        </w:rPr>
        <w:t>. 1</w:t>
      </w:r>
      <w:r w:rsidR="004E55C9">
        <w:rPr>
          <w:rFonts w:ascii="Arial" w:eastAsia="Calibri" w:hAnsi="Arial" w:cs="Arial"/>
        </w:rPr>
        <w:t>1</w:t>
      </w:r>
      <w:r w:rsidR="008715F2">
        <w:rPr>
          <w:rFonts w:ascii="Arial" w:eastAsia="Calibri" w:hAnsi="Arial" w:cs="Arial"/>
        </w:rPr>
        <w:t>. 2025</w:t>
      </w:r>
      <w:r w:rsidRPr="00615972">
        <w:rPr>
          <w:rFonts w:ascii="Arial" w:eastAsia="Calibri" w:hAnsi="Arial" w:cs="Arial"/>
        </w:rPr>
        <w:tab/>
      </w:r>
      <w:r w:rsidRPr="00615972">
        <w:rPr>
          <w:rFonts w:ascii="Arial" w:eastAsia="Calibri" w:hAnsi="Arial" w:cs="Arial"/>
        </w:rPr>
        <w:tab/>
      </w:r>
      <w:r w:rsidR="00F01A84">
        <w:rPr>
          <w:rFonts w:ascii="Arial" w:eastAsia="Calibri" w:hAnsi="Arial" w:cs="Arial"/>
        </w:rPr>
        <w:t xml:space="preserve">            </w:t>
      </w:r>
      <w:r w:rsidRPr="00615972">
        <w:rPr>
          <w:rFonts w:ascii="Arial" w:eastAsia="Calibri" w:hAnsi="Arial" w:cs="Arial"/>
        </w:rPr>
        <w:t xml:space="preserve">V Praze dne </w:t>
      </w:r>
      <w:r w:rsidR="004E55C9">
        <w:rPr>
          <w:rFonts w:ascii="Arial" w:eastAsia="Calibri" w:hAnsi="Arial" w:cs="Arial"/>
        </w:rPr>
        <w:t>07</w:t>
      </w:r>
      <w:r w:rsidR="008715F2">
        <w:rPr>
          <w:rFonts w:ascii="Arial" w:eastAsia="Calibri" w:hAnsi="Arial" w:cs="Arial"/>
        </w:rPr>
        <w:t>. 1</w:t>
      </w:r>
      <w:r w:rsidR="004E55C9">
        <w:rPr>
          <w:rFonts w:ascii="Arial" w:eastAsia="Calibri" w:hAnsi="Arial" w:cs="Arial"/>
        </w:rPr>
        <w:t>1</w:t>
      </w:r>
      <w:r w:rsidR="008715F2">
        <w:rPr>
          <w:rFonts w:ascii="Arial" w:eastAsia="Calibri" w:hAnsi="Arial" w:cs="Arial"/>
        </w:rPr>
        <w:t>. 2025</w:t>
      </w:r>
    </w:p>
    <w:p w:rsidR="00615972" w:rsidRPr="00615972" w:rsidP="00615972" w14:paraId="1955D6BA" w14:textId="77777777">
      <w:pPr>
        <w:tabs>
          <w:tab w:val="left" w:pos="0"/>
          <w:tab w:val="left" w:leader="dot" w:pos="3544"/>
          <w:tab w:val="left" w:pos="4253"/>
          <w:tab w:val="left" w:leader="dot" w:pos="7938"/>
        </w:tabs>
        <w:spacing w:before="360" w:after="120" w:line="260" w:lineRule="atLeast"/>
        <w:rPr>
          <w:rFonts w:ascii="Arial" w:eastAsia="Calibri" w:hAnsi="Arial" w:cs="Arial"/>
        </w:rPr>
      </w:pPr>
      <w:r w:rsidRPr="00615972">
        <w:rPr>
          <w:rFonts w:ascii="Arial" w:eastAsia="Calibri" w:hAnsi="Arial" w:cs="Arial"/>
        </w:rPr>
        <w:tab/>
      </w:r>
      <w:r w:rsidRPr="00615972">
        <w:rPr>
          <w:rFonts w:ascii="Arial" w:eastAsia="Calibri" w:hAnsi="Arial" w:cs="Arial"/>
        </w:rPr>
        <w:tab/>
      </w:r>
      <w:r w:rsidRPr="00615972">
        <w:rPr>
          <w:rFonts w:ascii="Arial" w:eastAsia="Calibri" w:hAnsi="Arial" w:cs="Arial"/>
        </w:rPr>
        <w:tab/>
      </w:r>
    </w:p>
    <w:p w:rsidR="00DB0266" w:rsidRPr="00615972" w:rsidP="00DB0266" w14:paraId="40E655E1" w14:textId="127AC755">
      <w:pPr>
        <w:spacing w:before="120" w:after="120" w:line="260" w:lineRule="atLeast"/>
        <w:ind w:left="4245" w:hanging="4245"/>
        <w:rPr>
          <w:rFonts w:ascii="Arial" w:eastAsia="Calibri" w:hAnsi="Arial" w:cs="Arial"/>
        </w:rPr>
      </w:pPr>
      <w:r w:rsidRPr="00615972">
        <w:rPr>
          <w:rFonts w:ascii="Arial" w:eastAsia="Calibri" w:hAnsi="Arial" w:cs="Arial"/>
        </w:rPr>
        <w:t xml:space="preserve">za </w:t>
      </w:r>
      <w:r w:rsidR="00E61ADD">
        <w:rPr>
          <w:rFonts w:ascii="Arial" w:eastAsia="Calibri" w:hAnsi="Arial" w:cs="Arial"/>
          <w:iCs/>
        </w:rPr>
        <w:t>CETIN a.s.</w:t>
      </w:r>
      <w:r>
        <w:rPr>
          <w:rFonts w:ascii="Arial" w:eastAsia="Calibri" w:hAnsi="Arial" w:cs="Arial"/>
          <w:iCs/>
        </w:rPr>
        <w:t xml:space="preserve">                                               </w:t>
      </w:r>
      <w:r w:rsidRPr="00615972">
        <w:rPr>
          <w:rFonts w:ascii="Arial" w:eastAsia="Calibri" w:hAnsi="Arial" w:cs="Arial"/>
        </w:rPr>
        <w:t>za Českou republiku – Úřad vlády České republiky</w:t>
      </w:r>
    </w:p>
    <w:p w:rsidR="00DB0266" w:rsidP="00615972" w14:paraId="2F3AC6F5" w14:textId="1F1378AF">
      <w:pPr>
        <w:spacing w:before="120" w:after="120" w:line="260" w:lineRule="atLeast"/>
        <w:ind w:left="4245" w:hanging="4245"/>
        <w:rPr>
          <w:rFonts w:ascii="Arial" w:eastAsia="Calibri" w:hAnsi="Arial" w:cs="Arial"/>
        </w:rPr>
      </w:pPr>
      <w:r>
        <w:rPr>
          <w:rFonts w:ascii="Arial" w:eastAsia="Calibri" w:hAnsi="Arial" w:cs="Arial"/>
        </w:rPr>
        <w:t>Naděžda Nedomlelová</w:t>
      </w:r>
      <w:r>
        <w:rPr>
          <w:rFonts w:ascii="Arial" w:eastAsia="Calibri" w:hAnsi="Arial" w:cs="Arial"/>
        </w:rPr>
        <w:t xml:space="preserve"> </w:t>
      </w:r>
      <w:r w:rsidR="008715F2">
        <w:rPr>
          <w:rFonts w:ascii="Arial" w:eastAsia="Calibri" w:hAnsi="Arial" w:cs="Arial"/>
        </w:rPr>
        <w:t>v. r.</w:t>
      </w:r>
      <w:r>
        <w:rPr>
          <w:rFonts w:ascii="Arial" w:eastAsia="Calibri" w:hAnsi="Arial" w:cs="Arial"/>
        </w:rPr>
        <w:t xml:space="preserve">                          </w:t>
      </w:r>
      <w:r w:rsidRPr="00615972">
        <w:rPr>
          <w:rFonts w:ascii="Arial" w:eastAsia="Calibri" w:hAnsi="Arial" w:cs="Arial"/>
        </w:rPr>
        <w:t xml:space="preserve">Ing. </w:t>
      </w:r>
      <w:r>
        <w:rPr>
          <w:rFonts w:ascii="Arial" w:eastAsia="Calibri" w:hAnsi="Arial" w:cs="Arial"/>
        </w:rPr>
        <w:t xml:space="preserve">Jitka Křupková </w:t>
      </w:r>
      <w:r w:rsidR="008715F2">
        <w:rPr>
          <w:rFonts w:ascii="Arial" w:eastAsia="Calibri" w:hAnsi="Arial" w:cs="Arial"/>
        </w:rPr>
        <w:t>v. r.</w:t>
      </w:r>
      <w:r>
        <w:rPr>
          <w:rFonts w:ascii="Arial" w:eastAsia="Calibri" w:hAnsi="Arial" w:cs="Arial"/>
        </w:rPr>
        <w:t xml:space="preserve">             </w:t>
      </w:r>
    </w:p>
    <w:p w:rsidR="00615972" w:rsidRPr="00615972" w:rsidP="00655F57" w14:paraId="6E14D31A" w14:textId="6E6025CA">
      <w:pPr>
        <w:spacing w:before="120" w:after="120" w:line="260" w:lineRule="atLeast"/>
        <w:ind w:left="4245" w:hanging="4245"/>
        <w:rPr>
          <w:rFonts w:ascii="Arial" w:eastAsia="Calibri" w:hAnsi="Arial" w:cs="Arial"/>
        </w:rPr>
      </w:pPr>
      <w:r>
        <w:rPr>
          <w:rFonts w:ascii="Arial" w:eastAsia="Calibri" w:hAnsi="Arial" w:cs="Arial"/>
        </w:rPr>
        <w:t>Ředitel</w:t>
      </w:r>
      <w:r w:rsidR="00655F57">
        <w:rPr>
          <w:rFonts w:ascii="Arial" w:eastAsia="Calibri" w:hAnsi="Arial" w:cs="Arial"/>
        </w:rPr>
        <w:t>k</w:t>
      </w:r>
      <w:r>
        <w:rPr>
          <w:rFonts w:ascii="Arial" w:eastAsia="Calibri" w:hAnsi="Arial" w:cs="Arial"/>
        </w:rPr>
        <w:t>a Public Sector Sales</w:t>
      </w:r>
      <w:r w:rsidRPr="00615972">
        <w:rPr>
          <w:rFonts w:ascii="Arial" w:eastAsia="Calibri" w:hAnsi="Arial" w:cs="Arial"/>
        </w:rPr>
        <w:tab/>
      </w:r>
      <w:r w:rsidRPr="00615972">
        <w:rPr>
          <w:rFonts w:ascii="Arial" w:eastAsia="Calibri" w:hAnsi="Arial" w:cs="Arial"/>
        </w:rPr>
        <w:tab/>
      </w:r>
      <w:r w:rsidRPr="00615972">
        <w:rPr>
          <w:rFonts w:ascii="Arial" w:eastAsia="Calibri" w:hAnsi="Arial" w:cs="Arial"/>
        </w:rPr>
        <w:t>ředitel</w:t>
      </w:r>
      <w:r>
        <w:rPr>
          <w:rFonts w:ascii="Arial" w:eastAsia="Calibri" w:hAnsi="Arial" w:cs="Arial"/>
        </w:rPr>
        <w:t>ka</w:t>
      </w:r>
      <w:r w:rsidRPr="00615972">
        <w:rPr>
          <w:rFonts w:ascii="Arial" w:eastAsia="Calibri" w:hAnsi="Arial" w:cs="Arial"/>
        </w:rPr>
        <w:t xml:space="preserve"> Odboru informatiky</w:t>
      </w:r>
      <w:r w:rsidRPr="00615972">
        <w:rPr>
          <w:rFonts w:ascii="Arial" w:eastAsia="Calibri" w:hAnsi="Arial" w:cs="Arial"/>
        </w:rPr>
        <w:tab/>
      </w:r>
      <w:r w:rsidRPr="00615972">
        <w:rPr>
          <w:rFonts w:ascii="Arial" w:eastAsia="Calibri" w:hAnsi="Arial" w:cs="Arial"/>
        </w:rPr>
        <w:tab/>
      </w:r>
      <w:r w:rsidRPr="00615972">
        <w:rPr>
          <w:rFonts w:ascii="Arial" w:eastAsia="Calibri" w:hAnsi="Arial" w:cs="Arial"/>
        </w:rPr>
        <w:tab/>
      </w:r>
      <w:r w:rsidRPr="00615972">
        <w:rPr>
          <w:rFonts w:ascii="Arial" w:eastAsia="Calibri" w:hAnsi="Arial" w:cs="Arial"/>
          <w:i/>
          <w:sz w:val="20"/>
          <w:szCs w:val="20"/>
        </w:rPr>
        <w:tab/>
      </w:r>
    </w:p>
    <w:p w:rsidR="00615972" w:rsidRPr="00615972" w:rsidP="00615972" w14:paraId="2FF39112" w14:textId="41FB8B47">
      <w:pPr>
        <w:spacing w:after="0" w:line="260" w:lineRule="atLeast"/>
        <w:rPr>
          <w:rFonts w:ascii="Arial" w:eastAsia="Calibri" w:hAnsi="Arial" w:cs="Arial"/>
          <w:b/>
          <w:bCs/>
        </w:rPr>
      </w:pPr>
      <w:r w:rsidRPr="00615972">
        <w:rPr>
          <w:rFonts w:ascii="Arial" w:eastAsia="Calibri" w:hAnsi="Arial" w:cs="Arial"/>
        </w:rPr>
        <w:tab/>
      </w:r>
      <w:r w:rsidRPr="00615972">
        <w:rPr>
          <w:rFonts w:ascii="Arial" w:eastAsia="Calibri" w:hAnsi="Arial" w:cs="Arial"/>
        </w:rPr>
        <w:tab/>
      </w:r>
      <w:r w:rsidRPr="00615972">
        <w:rPr>
          <w:rFonts w:ascii="Arial" w:eastAsia="Calibri" w:hAnsi="Arial" w:cs="Arial"/>
        </w:rPr>
        <w:tab/>
      </w:r>
      <w:r w:rsidRPr="00615972">
        <w:rPr>
          <w:rFonts w:ascii="Arial" w:eastAsia="Calibri" w:hAnsi="Arial" w:cs="Arial"/>
        </w:rPr>
        <w:tab/>
      </w:r>
      <w:r w:rsidRPr="00615972">
        <w:rPr>
          <w:rFonts w:ascii="Arial" w:eastAsia="Calibri" w:hAnsi="Arial" w:cs="Arial"/>
        </w:rPr>
        <w:tab/>
      </w:r>
      <w:r w:rsidRPr="00615972">
        <w:rPr>
          <w:rFonts w:ascii="Arial" w:eastAsia="Calibri" w:hAnsi="Arial" w:cs="Arial"/>
        </w:rPr>
        <w:tab/>
      </w:r>
    </w:p>
    <w:p w:rsidR="00601BFB" w14:paraId="2E11267F" w14:textId="77777777"/>
    <w:sectPr w:rsidSect="0062125A">
      <w:headerReference w:type="even" r:id="rId11"/>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636" w:rsidRPr="00EA6636" w:rsidP="00EA6636" w14:paraId="2B69D66C" w14:textId="46A0C50D">
    <w:pPr>
      <w:pStyle w:val="Footer"/>
      <w:pBdr>
        <w:top w:val="single" w:sz="4" w:space="1" w:color="auto"/>
      </w:pBdr>
      <w:jc w:val="right"/>
    </w:pPr>
    <w:r w:rsidRPr="00EA6636">
      <w:t xml:space="preserve">Stránka </w:t>
    </w:r>
    <w:r w:rsidRPr="00EA6636">
      <w:fldChar w:fldCharType="begin"/>
    </w:r>
    <w:r w:rsidRPr="00EA6636">
      <w:instrText>PAGE  \* Arabic  \* MERGEFORMAT</w:instrText>
    </w:r>
    <w:r w:rsidRPr="00EA6636">
      <w:fldChar w:fldCharType="separate"/>
    </w:r>
    <w:r w:rsidRPr="00EA6636">
      <w:t>13</w:t>
    </w:r>
    <w:r w:rsidRPr="00EA6636">
      <w:fldChar w:fldCharType="end"/>
    </w:r>
    <w:r w:rsidRPr="00EA6636">
      <w:t xml:space="preserve"> </w:t>
    </w:r>
    <w:r w:rsidR="007B7D59">
      <w:t>(celkem</w:t>
    </w:r>
    <w:r w:rsidRPr="00EA6636">
      <w:t xml:space="preserve"> </w:t>
    </w:r>
    <w:r>
      <w:fldChar w:fldCharType="begin"/>
    </w:r>
    <w:r>
      <w:instrText>NUMPAGES  \* Arabic  \* MERGEFORMAT</w:instrText>
    </w:r>
    <w:r>
      <w:fldChar w:fldCharType="separate"/>
    </w:r>
    <w:r w:rsidRPr="00EA6636">
      <w:t>13</w:t>
    </w:r>
    <w:r w:rsidRPr="00EA6636">
      <w:fldChar w:fldCharType="end"/>
    </w:r>
    <w:r w:rsidR="007B7D59">
      <w:t>)</w:t>
    </w:r>
  </w:p>
  <w:p w:rsidR="00EA6636" w14:paraId="136735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21F" w14:paraId="297632A6" w14:textId="3803343E">
    <w:pPr>
      <w:pStyle w:val="Header"/>
    </w:pPr>
    <w:r>
      <w:rPr>
        <w:noProof/>
      </w:rPr>
      <mc:AlternateContent>
        <mc:Choice Requires="wps">
          <w:drawing>
            <wp:anchor distT="0" distB="0" distL="0" distR="0" simplePos="0" relativeHeight="251658240" behindDoc="0" locked="0" layoutInCell="1" allowOverlap="1">
              <wp:simplePos x="0" y="0"/>
              <wp:positionH relativeFrom="page">
                <wp:align>right</wp:align>
              </wp:positionH>
              <wp:positionV relativeFrom="page">
                <wp:align>top</wp:align>
              </wp:positionV>
              <wp:extent cx="1286510" cy="357505"/>
              <wp:effectExtent l="0" t="0" r="0" b="4445"/>
              <wp:wrapNone/>
              <wp:docPr id="1800721490" name="Textové pole 2" descr="Company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6510" cy="357505"/>
                      </a:xfrm>
                      <a:prstGeom prst="rect">
                        <a:avLst/>
                      </a:prstGeom>
                      <a:noFill/>
                      <a:ln>
                        <a:noFill/>
                      </a:ln>
                    </wps:spPr>
                    <wps:txbx>
                      <w:txbxContent>
                        <w:p w:rsidR="0045621F" w:rsidRPr="0045621F" w:rsidP="0045621F" w14:textId="5EDD12F1">
                          <w:pPr>
                            <w:spacing w:after="0"/>
                            <w:rPr>
                              <w:rFonts w:ascii="Calibri" w:eastAsia="Calibri" w:hAnsi="Calibri" w:cs="Calibri"/>
                              <w:noProof/>
                              <w:color w:val="000000"/>
                              <w:sz w:val="20"/>
                              <w:szCs w:val="20"/>
                            </w:rPr>
                          </w:pPr>
                          <w:r w:rsidRPr="0045621F">
                            <w:rPr>
                              <w:rFonts w:ascii="Calibri" w:eastAsia="Calibri" w:hAnsi="Calibri" w:cs="Calibri"/>
                              <w:noProof/>
                              <w:color w:val="000000"/>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2" o:spid="_x0000_s2049" type="#_x0000_t202" alt="Company INTERNAL" style="width:101.3pt;height:28.15pt;margin-top:0;margin-left:50.1pt;mso-position-horizontal:right;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20pt,0">
                <w:txbxContent>
                  <w:p w:rsidR="0045621F" w:rsidRPr="0045621F" w:rsidP="0045621F" w14:paraId="2D02C8C6" w14:textId="5EDD12F1">
                    <w:pPr>
                      <w:spacing w:after="0"/>
                      <w:rPr>
                        <w:rFonts w:ascii="Calibri" w:eastAsia="Calibri" w:hAnsi="Calibri" w:cs="Calibri"/>
                        <w:noProof/>
                        <w:color w:val="000000"/>
                        <w:sz w:val="20"/>
                        <w:szCs w:val="20"/>
                      </w:rPr>
                    </w:pPr>
                    <w:r w:rsidRPr="0045621F">
                      <w:rPr>
                        <w:rFonts w:ascii="Calibri" w:eastAsia="Calibri" w:hAnsi="Calibri" w:cs="Calibri"/>
                        <w:noProof/>
                        <w:color w:val="000000"/>
                        <w:sz w:val="20"/>
                        <w:szCs w:val="20"/>
                      </w:rPr>
                      <w:t>Company INTERNAL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5972" w:rsidRPr="00615972" w:rsidP="00615972" w14:paraId="6D374912" w14:textId="0F82B369">
    <w:pPr>
      <w:pStyle w:val="Header"/>
      <w:jc w:val="right"/>
      <w:rPr>
        <w:rFonts w:ascii="Arial" w:hAnsi="Arial" w:cs="Arial"/>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25A" w:rsidP="0062125A" w14:paraId="328584CC" w14:textId="77777777">
    <w:pPr>
      <w:pStyle w:val="Header"/>
      <w:spacing w:after="120"/>
    </w:pPr>
    <w:r>
      <w:rPr>
        <w:noProof/>
      </w:rPr>
      <w:drawing>
        <wp:inline distT="0" distB="0" distL="0" distR="0">
          <wp:extent cx="2207260" cy="646430"/>
          <wp:effectExtent l="0" t="0" r="2540" b="1270"/>
          <wp:docPr id="589277327" name="Obrázek 1" descr="Obsah obrázku Písmo, symbol,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77327" name="Obrázek 1" descr="Obsah obrázku Písmo, symbol, Grafika, logo&#10;&#10;Obsah vygenerovaný umělou inteligencí může být nesprávný."/>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7260" cy="646430"/>
                  </a:xfrm>
                  <a:prstGeom prst="rect">
                    <a:avLst/>
                  </a:prstGeom>
                  <a:noFill/>
                </pic:spPr>
              </pic:pic>
            </a:graphicData>
          </a:graphic>
        </wp:inline>
      </w:drawing>
    </w:r>
  </w:p>
  <w:tbl>
    <w:tblPr>
      <w:tblStyle w:val="TableGrid"/>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tblPr>
    <w:tblGrid>
      <w:gridCol w:w="9639"/>
    </w:tblGrid>
    <w:tr w14:paraId="219287F3" w14:textId="77777777" w:rsidTr="006565A4">
      <w:tblPrEx>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tblPrEx>
      <w:trPr>
        <w:trHeight w:val="370"/>
      </w:trPr>
      <w:tc>
        <w:tcPr>
          <w:tcW w:w="9639" w:type="dxa"/>
          <w:tcBorders>
            <w:top w:val="single" w:sz="4" w:space="0" w:color="161A48"/>
            <w:bottom w:val="single" w:sz="12" w:space="0" w:color="auto"/>
          </w:tcBorders>
        </w:tcPr>
        <w:bookmarkStart w:id="2" w:name="_Hlk192145854" w:displacedByCustomXml="next"/>
        <w:sdt>
          <w:sdtPr>
            <w:alias w:val="Útvar"/>
            <w:tag w:val="Útvar"/>
            <w:id w:val="-444457324"/>
            <w:placeholder>
              <w:docPart w:val="439C3708C63F4893BA92C57CE6702AC1"/>
            </w:placeholder>
            <w:dropDownList w:lastValue="Odbor informatiky">
              <w:listItem w:value="Zvolte položku."/>
              <w:listItem w:value="Oddělení Sekretariátu vedoucího Úřadu vlády" w:displayText="Oddělení Sekretariátu vedoucího Úřadu vlády"/>
              <w:listItem w:value="Oddělení interního auditu a kontroly" w:displayText="Oddělení interního auditu a kontroly"/>
              <w:listItem w:value="Odbor vládní agendy" w:displayText="Odbor vládní agendy"/>
              <w:listItem w:value="Odbor majetku a služeb" w:displayText="Odbor majetku a služeb"/>
              <w:listItem w:value="Odbor strategické komunikace státu" w:displayText="Odbor strategické komunikace státu"/>
              <w:listItem w:value="Odbor vládního analytického útvaru" w:displayText="Odbor vládního analytického útvaru"/>
              <w:listItem w:value="Sekce pro právo a ekonomiku" w:displayText="Sekce pro právo a ekonomiku"/>
              <w:listItem w:value="Odbor právní" w:displayText="Odbor právní"/>
              <w:listItem w:value="Odbor rozpočtu a financování" w:displayText="Odbor rozpočtu a financování"/>
              <w:listItem w:value="Odbor správy nemovitostí" w:displayText="Odbor správy nemovitostí"/>
              <w:listItem w:value="Oddělení vnitřní bezpečnosti" w:displayText="Oddělení vnitřní bezpečnosti"/>
              <w:listItem w:value="Odbor lidských práv a ochrany menšin" w:displayText="Odbor lidských práv a ochrany menšin"/>
              <w:listItem w:value="Odbor rovnosti žen a mužů" w:displayText="Odbor rovnosti žen a mužů"/>
              <w:listItem w:value="Sekce Legislativní rady vlády" w:displayText="Sekce Legislativní rady vlády"/>
              <w:listItem w:value="Oddělení sekretariátu Legislativní rady vlády a Etické komise ČR pro ocenění účastníků odboje a odporu proti komunismu" w:displayText="Oddělení sekretariátu Legislativní rady vlády a Etické komise ČR pro ocenění účastníků odboje a odporu proti komunismu"/>
              <w:listItem w:value="Odbor vládní legislativy" w:displayText="Odbor vládní legislativy"/>
              <w:listItem w:value="Odbor kompatibility" w:displayText="Odbor kompatibility"/>
              <w:listItem w:value="Sekce státního tajemníka pro řízení služebních vztahů" w:displayText="Sekce státního tajemníka pro řízení služebních vztahů"/>
              <w:listItem w:value="Odbor personální" w:displayText="Odbor personální"/>
              <w:listItem w:value="Odbor informatiky" w:displayText="Odbor informatiky"/>
              <w:listItem w:value="Odbor protidrogové politiky" w:displayText="Odbor protidrogové politiky"/>
              <w:listItem w:value="Odbor bezpečnostní a zahraniční" w:displayText="Odbor bezpečnostní a zahraniční"/>
              <w:listItem w:value="Sekce pro evropské záležitosti" w:displayText="Sekce pro evropské záležitosti"/>
              <w:listItem w:value="Odbor koordinace evropských politik" w:displayText="Odbor koordinace evropských politik"/>
              <w:listItem w:value="Odbor komunikace o evropských záležitostech" w:displayText="Odbor komunikace o evropských záležitostech"/>
              <w:listItem w:value="Oddělení evropské digitální agendy" w:displayText="Oddělení evropské digitální agendy"/>
              <w:listItem w:value="Odbor věcných politik EU" w:displayText="Odbor věcných politik EU"/>
              <w:listItem w:value="Odbor evropské institucionální a právní podpory" w:displayText="Odbor evropské institucionální a právní podpory"/>
              <w:listItem w:value="Sekce Kabinetu předsedy vlády ČR" w:displayText="Sekce Kabinetu předsedy vlády ČR"/>
              <w:listItem w:value="Oddělení Kanceláře předsedy vlády" w:displayText="Oddělení Kanceláře předsedy vlády"/>
              <w:listItem w:value="Odbor komunikace" w:displayText="Odbor komunikace"/>
              <w:listItem w:value="Odbor protokolu" w:displayText="Odbor protokolu"/>
              <w:listItem w:value="Odbor strategie a analýz" w:displayText="Odbor strategie a analýz"/>
              <w:listItem w:value="Odbor Kabinetu ministra pro vědu, výzkum a inovace" w:displayText="Odbor Kabinetu ministra pro vědu, výzkum a inovace"/>
              <w:listItem w:value="Sekce pro vědu, výzkum a inovace" w:displayText="Sekce pro vědu, výzkum a inovace"/>
              <w:listItem w:value="Odbor podpory Rady pro výzkum, vývoj a inovace" w:displayText="Odbor podpory Rady pro výzkum, vývoj a inovace"/>
              <w:listItem w:value="Odbor koordinace výzkumu, vývoje a inovací" w:displayText="Odbor koordinace výzkumu, vývoje a inovací"/>
              <w:listItem w:value="Odbor Kabinetu ministra pro evropské záležitosti" w:displayText="Odbor Kabinetu ministra pro evropské záležitosti"/>
              <w:listItem w:value="Odbor Kabinetu člena vlády pověřeného koordinací digitalizace" w:displayText="Odbor Kabinetu člena vlády pověřeného koordinací digitalizace"/>
              <w:listItem w:value="vrchní ředitel Sekce pro právo a ekonomiku" w:displayText="vrchní ředitel Sekce pro právo a ekonomiku"/>
              <w:listItem w:value="vrchní ředitel Sekce Legislativní rady vlády " w:displayText="vrchní ředitel Sekce Legislativní rady vlády "/>
              <w:listItem w:value="poradce pro národní bezpečnost   " w:displayText="poradce pro národní bezpečnost   "/>
              <w:listItem w:value="vrchní ředitelka Sekce Kabinetu předsedy vlády ČR " w:displayText="vrchní ředitelka Sekce Kabinetu předsedy vlády ČR "/>
              <w:listItem w:value="vrchní ředitel Sekce pro evropské záležitosti   " w:displayText="vrchní ředitel Sekce pro evropské záležitosti   "/>
              <w:listItem w:value="náměstek ministra pro evropské záležitosti " w:displayText="náměstek ministra pro evropské záležitosti "/>
              <w:listItem w:value="náměstkyně ministra pro evropské záležitosti " w:displayText="náměstkyně ministra pro evropské záležitosti "/>
              <w:listItem w:value="náměstek ministra pro vědu, výzkum a inovace " w:displayText="náměstek ministra pro vědu, výzkum a inovace "/>
              <w:listItem w:value="náměstkyně ministra pro vědu, výzkum a inovace " w:displayText="náměstkyně ministra pro vědu, výzkum a inovace "/>
              <w:listItem w:value="vrchní ředitelka Sekce pro vědu, výzkum a inovace " w:displayText="vrchní ředitelka Sekce pro vědu, výzkum a inovace "/>
              <w:listItem w:value="státní tajemník v Úřadu vlády ČR " w:displayText="státní tajemník v Úřadu vlády ČR "/>
              <w:listItem w:value="Národní monitorovací středisko pro drogy a závislosti" w:displayText="Národní monitorovací středisko pro drogy a závislosti"/>
            </w:dropDownList>
          </w:sdtPr>
          <w:sdtContent>
            <w:p w:rsidR="0062125A" w:rsidP="0062125A" w14:paraId="47444832" w14:textId="77777777">
              <w:pPr>
                <w:pStyle w:val="tvar"/>
                <w:spacing w:before="120" w:line="360" w:lineRule="auto"/>
                <w:ind w:left="-108"/>
              </w:pPr>
              <w:r>
                <w:t>Odbor informatiky</w:t>
              </w:r>
            </w:p>
          </w:sdtContent>
        </w:sdt>
        <w:bookmarkEnd w:id="2" w:displacedByCustomXml="prev"/>
      </w:tc>
    </w:tr>
  </w:tbl>
  <w:p w:rsidR="0045621F" w:rsidP="0062125A" w14:paraId="317344A3" w14:textId="77CED0C0">
    <w:pPr>
      <w:pStyle w:val="Header"/>
      <w:tabs>
        <w:tab w:val="clear"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A053F"/>
    <w:multiLevelType w:val="hybridMultilevel"/>
    <w:tmpl w:val="5E66D8BC"/>
    <w:lvl w:ilvl="0">
      <w:start w:val="1"/>
      <w:numFmt w:val="lowerLetter"/>
      <w:lvlText w:val="%1)"/>
      <w:lvlJc w:val="left"/>
      <w:pPr>
        <w:ind w:left="1145" w:hanging="360"/>
      </w:p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
    <w:nsid w:val="0D565B0B"/>
    <w:multiLevelType w:val="hybridMultilevel"/>
    <w:tmpl w:val="3F22540E"/>
    <w:lvl w:ilvl="0">
      <w:start w:val="1"/>
      <w:numFmt w:val="upperRoman"/>
      <w:pStyle w:val="Heading4"/>
      <w:suff w:val="space"/>
      <w:lvlText w:val="Článek %1."/>
      <w:lvlJc w:val="left"/>
      <w:pPr>
        <w:ind w:left="5889"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F2661D3"/>
    <w:multiLevelType w:val="hybridMultilevel"/>
    <w:tmpl w:val="F18ABE2A"/>
    <w:lvl w:ilvl="0">
      <w:start w:val="1"/>
      <w:numFmt w:val="decimal"/>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F513932"/>
    <w:multiLevelType w:val="hybridMultilevel"/>
    <w:tmpl w:val="DA0CB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A046D7"/>
    <w:multiLevelType w:val="hybridMultilevel"/>
    <w:tmpl w:val="51382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140A0F"/>
    <w:multiLevelType w:val="hybridMultilevel"/>
    <w:tmpl w:val="398632E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0"/>
      <w:numFmt w:val="bullet"/>
      <w:lvlText w:val="-"/>
      <w:lvlJc w:val="left"/>
      <w:pPr>
        <w:ind w:left="2880" w:hanging="360"/>
      </w:pPr>
      <w:rPr>
        <w:rFonts w:ascii="Arial" w:eastAsia="Calibri" w:hAnsi="Arial" w:cs="Aria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D555795"/>
    <w:multiLevelType w:val="hybridMultilevel"/>
    <w:tmpl w:val="6DB09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F87A1B"/>
    <w:multiLevelType w:val="hybridMultilevel"/>
    <w:tmpl w:val="5E1006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0B2A8E"/>
    <w:multiLevelType w:val="hybridMultilevel"/>
    <w:tmpl w:val="84E27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84E5184"/>
    <w:multiLevelType w:val="hybridMultilevel"/>
    <w:tmpl w:val="02CCB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5B1B1D"/>
    <w:multiLevelType w:val="hybridMultilevel"/>
    <w:tmpl w:val="5E1006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D15530"/>
    <w:multiLevelType w:val="hybridMultilevel"/>
    <w:tmpl w:val="1A50D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CC169C"/>
    <w:multiLevelType w:val="hybridMultilevel"/>
    <w:tmpl w:val="08109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C7101D"/>
    <w:multiLevelType w:val="hybridMultilevel"/>
    <w:tmpl w:val="C3EA5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EE5380"/>
    <w:multiLevelType w:val="hybridMultilevel"/>
    <w:tmpl w:val="E70EC070"/>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EA6CA0"/>
    <w:multiLevelType w:val="hybridMultilevel"/>
    <w:tmpl w:val="08109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791D4F"/>
    <w:multiLevelType w:val="hybridMultilevel"/>
    <w:tmpl w:val="06BEE8FC"/>
    <w:lvl w:ilvl="0">
      <w:start w:val="1"/>
      <w:numFmt w:val="decimal"/>
      <w:lvlText w:val="%1."/>
      <w:lvlJc w:val="left"/>
      <w:pPr>
        <w:ind w:left="720" w:hanging="360"/>
      </w:pPr>
    </w:lvl>
    <w:lvl w:ilvl="1">
      <w:start w:val="0"/>
      <w:numFmt w:val="bullet"/>
      <w:lvlText w:val=""/>
      <w:lvlJc w:val="left"/>
      <w:pPr>
        <w:ind w:left="1440" w:hanging="360"/>
      </w:pPr>
      <w:rPr>
        <w:rFonts w:ascii="Symbol" w:eastAsia="Calibri" w:hAnsi="Symbol" w:cs="Arial" w:hint="default"/>
      </w:rPr>
    </w:lvl>
    <w:lvl w:ilvl="2">
      <w:start w:val="0"/>
      <w:numFmt w:val="bullet"/>
      <w:lvlText w:val="-"/>
      <w:lvlJc w:val="left"/>
      <w:pPr>
        <w:ind w:left="2340" w:hanging="360"/>
      </w:pPr>
      <w:rPr>
        <w:rFonts w:ascii="Arial" w:eastAsia="Calibri"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1744EC2"/>
    <w:multiLevelType w:val="hybridMultilevel"/>
    <w:tmpl w:val="65C8419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A8120E"/>
    <w:multiLevelType w:val="hybridMultilevel"/>
    <w:tmpl w:val="BEAEC646"/>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nsid w:val="7BCF7AF0"/>
    <w:multiLevelType w:val="hybridMultilevel"/>
    <w:tmpl w:val="50C0336E"/>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72"/>
    <w:rsid w:val="00012DE3"/>
    <w:rsid w:val="0001467C"/>
    <w:rsid w:val="000315F1"/>
    <w:rsid w:val="00061236"/>
    <w:rsid w:val="000639CA"/>
    <w:rsid w:val="00094081"/>
    <w:rsid w:val="00096C22"/>
    <w:rsid w:val="000B6EF9"/>
    <w:rsid w:val="000C22B8"/>
    <w:rsid w:val="000E6784"/>
    <w:rsid w:val="001428C7"/>
    <w:rsid w:val="001756FE"/>
    <w:rsid w:val="001769B0"/>
    <w:rsid w:val="0025110D"/>
    <w:rsid w:val="0025636D"/>
    <w:rsid w:val="00294E75"/>
    <w:rsid w:val="002D338D"/>
    <w:rsid w:val="00380F52"/>
    <w:rsid w:val="0043599B"/>
    <w:rsid w:val="0045621F"/>
    <w:rsid w:val="00464D5D"/>
    <w:rsid w:val="004B1F01"/>
    <w:rsid w:val="004E55C9"/>
    <w:rsid w:val="00555364"/>
    <w:rsid w:val="00577552"/>
    <w:rsid w:val="005B3575"/>
    <w:rsid w:val="00601326"/>
    <w:rsid w:val="00601BFB"/>
    <w:rsid w:val="00602732"/>
    <w:rsid w:val="00615972"/>
    <w:rsid w:val="0062125A"/>
    <w:rsid w:val="0063394F"/>
    <w:rsid w:val="00655F57"/>
    <w:rsid w:val="006B7BB9"/>
    <w:rsid w:val="00797694"/>
    <w:rsid w:val="007B7D59"/>
    <w:rsid w:val="007C419A"/>
    <w:rsid w:val="00821D5E"/>
    <w:rsid w:val="00843F36"/>
    <w:rsid w:val="008715F2"/>
    <w:rsid w:val="00895A70"/>
    <w:rsid w:val="008B1C49"/>
    <w:rsid w:val="00910F0B"/>
    <w:rsid w:val="0098225B"/>
    <w:rsid w:val="00984DAF"/>
    <w:rsid w:val="009D000C"/>
    <w:rsid w:val="009E1377"/>
    <w:rsid w:val="00A31C1E"/>
    <w:rsid w:val="00A35EE1"/>
    <w:rsid w:val="00A66BDA"/>
    <w:rsid w:val="00A8493F"/>
    <w:rsid w:val="00AA657E"/>
    <w:rsid w:val="00AD6312"/>
    <w:rsid w:val="00AD726B"/>
    <w:rsid w:val="00BE0BB0"/>
    <w:rsid w:val="00C1631D"/>
    <w:rsid w:val="00C75DBE"/>
    <w:rsid w:val="00C84B4E"/>
    <w:rsid w:val="00D02F18"/>
    <w:rsid w:val="00D46856"/>
    <w:rsid w:val="00D47F0E"/>
    <w:rsid w:val="00D555D2"/>
    <w:rsid w:val="00D813C4"/>
    <w:rsid w:val="00DA7099"/>
    <w:rsid w:val="00DB0266"/>
    <w:rsid w:val="00DE67A5"/>
    <w:rsid w:val="00E61ADD"/>
    <w:rsid w:val="00EA6636"/>
    <w:rsid w:val="00F01A84"/>
    <w:rsid w:val="00F035A3"/>
    <w:rsid w:val="00F21EB9"/>
    <w:rsid w:val="00F350E1"/>
    <w:rsid w:val="00F448AE"/>
    <w:rsid w:val="00F84867"/>
    <w:rsid w:val="00FD0C0A"/>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7E00EBE4"/>
  <w15:chartTrackingRefBased/>
  <w15:docId w15:val="{AC88EAF1-0515-43E4-A3DF-3CB5F4AF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ListParagraph"/>
    <w:next w:val="Normal"/>
    <w:link w:val="Nadpis4Char"/>
    <w:uiPriority w:val="9"/>
    <w:semiHidden/>
    <w:unhideWhenUsed/>
    <w:qFormat/>
    <w:rsid w:val="00615972"/>
    <w:pPr>
      <w:numPr>
        <w:numId w:val="1"/>
      </w:numPr>
      <w:tabs>
        <w:tab w:val="num" w:pos="360"/>
      </w:tabs>
      <w:spacing w:after="240" w:line="240" w:lineRule="auto"/>
      <w:ind w:left="0" w:firstLine="0"/>
      <w:jc w:val="center"/>
      <w:outlineLvl w:val="3"/>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4Char">
    <w:name w:val="Nadpis 4 Char"/>
    <w:basedOn w:val="DefaultParagraphFont"/>
    <w:link w:val="Heading4"/>
    <w:uiPriority w:val="9"/>
    <w:semiHidden/>
    <w:rsid w:val="00615972"/>
    <w:rPr>
      <w:rFonts w:ascii="Arial" w:eastAsia="Times New Roman" w:hAnsi="Arial" w:cs="Arial"/>
      <w:b/>
    </w:rPr>
  </w:style>
  <w:style w:type="paragraph" w:styleId="ListParagraph">
    <w:name w:val="List Paragraph"/>
    <w:aliases w:val="Conclusion de partie"/>
    <w:basedOn w:val="Normal"/>
    <w:link w:val="OdstavecseseznamemChar"/>
    <w:uiPriority w:val="34"/>
    <w:qFormat/>
    <w:rsid w:val="00615972"/>
    <w:pPr>
      <w:ind w:left="720"/>
      <w:contextualSpacing/>
    </w:pPr>
  </w:style>
  <w:style w:type="paragraph" w:styleId="Header">
    <w:name w:val="header"/>
    <w:basedOn w:val="Normal"/>
    <w:link w:val="ZhlavChar"/>
    <w:uiPriority w:val="99"/>
    <w:unhideWhenUsed/>
    <w:rsid w:val="0061597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615972"/>
  </w:style>
  <w:style w:type="paragraph" w:styleId="Footer">
    <w:name w:val="footer"/>
    <w:basedOn w:val="Normal"/>
    <w:link w:val="ZpatChar"/>
    <w:uiPriority w:val="99"/>
    <w:unhideWhenUsed/>
    <w:rsid w:val="00615972"/>
    <w:pPr>
      <w:tabs>
        <w:tab w:val="center" w:pos="4536"/>
        <w:tab w:val="right" w:pos="9072"/>
      </w:tabs>
      <w:spacing w:after="0" w:line="240" w:lineRule="auto"/>
    </w:pPr>
  </w:style>
  <w:style w:type="character" w:customStyle="1" w:styleId="ZpatChar">
    <w:name w:val="Zápatí Char"/>
    <w:basedOn w:val="DefaultParagraphFont"/>
    <w:link w:val="Footer"/>
    <w:uiPriority w:val="99"/>
    <w:rsid w:val="00615972"/>
  </w:style>
  <w:style w:type="character" w:styleId="Hyperlink">
    <w:name w:val="Hyperlink"/>
    <w:basedOn w:val="DefaultParagraphFont"/>
    <w:uiPriority w:val="99"/>
    <w:unhideWhenUsed/>
    <w:rsid w:val="00A31C1E"/>
    <w:rPr>
      <w:color w:val="0563C1" w:themeColor="hyperlink"/>
      <w:u w:val="single"/>
    </w:rPr>
  </w:style>
  <w:style w:type="character" w:customStyle="1" w:styleId="UnresolvedMention">
    <w:name w:val="Unresolved Mention"/>
    <w:basedOn w:val="DefaultParagraphFont"/>
    <w:uiPriority w:val="99"/>
    <w:semiHidden/>
    <w:unhideWhenUsed/>
    <w:rsid w:val="00A31C1E"/>
    <w:rPr>
      <w:color w:val="605E5C"/>
      <w:shd w:val="clear" w:color="auto" w:fill="E1DFDD"/>
    </w:rPr>
  </w:style>
  <w:style w:type="character" w:styleId="FollowedHyperlink">
    <w:name w:val="FollowedHyperlink"/>
    <w:basedOn w:val="DefaultParagraphFont"/>
    <w:uiPriority w:val="99"/>
    <w:semiHidden/>
    <w:unhideWhenUsed/>
    <w:rsid w:val="00A31C1E"/>
    <w:rPr>
      <w:color w:val="954F72" w:themeColor="followedHyperlink"/>
      <w:u w:val="single"/>
    </w:rPr>
  </w:style>
  <w:style w:type="paragraph" w:styleId="Revision">
    <w:name w:val="Revision"/>
    <w:hidden/>
    <w:uiPriority w:val="99"/>
    <w:semiHidden/>
    <w:rsid w:val="00012DE3"/>
    <w:pPr>
      <w:spacing w:after="0" w:line="240" w:lineRule="auto"/>
    </w:pPr>
  </w:style>
  <w:style w:type="paragraph" w:styleId="CommentText">
    <w:name w:val="annotation text"/>
    <w:basedOn w:val="Normal"/>
    <w:link w:val="TextkomenteChar"/>
    <w:uiPriority w:val="99"/>
    <w:unhideWhenUsed/>
    <w:rsid w:val="00577552"/>
    <w:pPr>
      <w:spacing w:after="0" w:line="240" w:lineRule="auto"/>
      <w:jc w:val="both"/>
    </w:pPr>
    <w:rPr>
      <w:rFonts w:ascii="Times New Roman" w:eastAsia="Calibri" w:hAnsi="Times New Roman" w:cs="Times New Roman"/>
      <w:sz w:val="20"/>
      <w:szCs w:val="20"/>
      <w:lang w:eastAsia="cs-CZ"/>
    </w:rPr>
  </w:style>
  <w:style w:type="character" w:customStyle="1" w:styleId="TextkomenteChar">
    <w:name w:val="Text komentáře Char"/>
    <w:basedOn w:val="DefaultParagraphFont"/>
    <w:link w:val="CommentText"/>
    <w:uiPriority w:val="99"/>
    <w:rsid w:val="00577552"/>
    <w:rPr>
      <w:rFonts w:ascii="Times New Roman" w:eastAsia="Calibri" w:hAnsi="Times New Roman" w:cs="Times New Roman"/>
      <w:sz w:val="20"/>
      <w:szCs w:val="20"/>
      <w:lang w:eastAsia="cs-CZ"/>
    </w:rPr>
  </w:style>
  <w:style w:type="paragraph" w:styleId="BodyText">
    <w:name w:val="Body Text"/>
    <w:basedOn w:val="Normal"/>
    <w:link w:val="ZkladntextChar"/>
    <w:unhideWhenUsed/>
    <w:rsid w:val="00577552"/>
    <w:pPr>
      <w:spacing w:after="0" w:line="240" w:lineRule="auto"/>
      <w:jc w:val="center"/>
    </w:pPr>
    <w:rPr>
      <w:rFonts w:ascii="Times New Roman" w:eastAsia="Times New Roman" w:hAnsi="Times New Roman" w:cs="Times New Roman"/>
      <w:b/>
      <w:bCs/>
      <w:i/>
      <w:iCs/>
      <w:sz w:val="24"/>
      <w:szCs w:val="24"/>
      <w:lang w:val="x-none" w:eastAsia="x-none"/>
    </w:rPr>
  </w:style>
  <w:style w:type="character" w:customStyle="1" w:styleId="ZkladntextChar">
    <w:name w:val="Základní text Char"/>
    <w:basedOn w:val="DefaultParagraphFont"/>
    <w:link w:val="BodyText"/>
    <w:rsid w:val="00577552"/>
    <w:rPr>
      <w:rFonts w:ascii="Times New Roman" w:eastAsia="Times New Roman" w:hAnsi="Times New Roman" w:cs="Times New Roman"/>
      <w:b/>
      <w:bCs/>
      <w:i/>
      <w:iCs/>
      <w:sz w:val="24"/>
      <w:szCs w:val="24"/>
      <w:lang w:val="x-none" w:eastAsia="x-none"/>
    </w:rPr>
  </w:style>
  <w:style w:type="character" w:styleId="CommentReference">
    <w:name w:val="annotation reference"/>
    <w:semiHidden/>
    <w:unhideWhenUsed/>
    <w:rsid w:val="00577552"/>
    <w:rPr>
      <w:sz w:val="16"/>
      <w:szCs w:val="16"/>
    </w:rPr>
  </w:style>
  <w:style w:type="paragraph" w:styleId="CommentSubject">
    <w:name w:val="annotation subject"/>
    <w:basedOn w:val="CommentText"/>
    <w:next w:val="CommentText"/>
    <w:link w:val="PedmtkomenteChar"/>
    <w:uiPriority w:val="99"/>
    <w:semiHidden/>
    <w:unhideWhenUsed/>
    <w:rsid w:val="00294E75"/>
    <w:pPr>
      <w:spacing w:after="16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CommentSubject"/>
    <w:uiPriority w:val="99"/>
    <w:semiHidden/>
    <w:rsid w:val="00294E75"/>
    <w:rPr>
      <w:rFonts w:ascii="Times New Roman" w:eastAsia="Calibri" w:hAnsi="Times New Roman" w:cs="Times New Roman"/>
      <w:b/>
      <w:bCs/>
      <w:sz w:val="20"/>
      <w:szCs w:val="20"/>
      <w:lang w:eastAsia="cs-CZ"/>
    </w:rPr>
  </w:style>
  <w:style w:type="character" w:customStyle="1" w:styleId="OdstavecseseznamemChar">
    <w:name w:val="Odstavec se seznamem Char"/>
    <w:aliases w:val="Conclusion de partie Char"/>
    <w:link w:val="ListParagraph"/>
    <w:uiPriority w:val="34"/>
    <w:rsid w:val="00380F52"/>
  </w:style>
  <w:style w:type="paragraph" w:styleId="NormalWeb">
    <w:name w:val="Normal (Web)"/>
    <w:basedOn w:val="Normal"/>
    <w:uiPriority w:val="99"/>
    <w:semiHidden/>
    <w:unhideWhenUsed/>
    <w:rsid w:val="00797694"/>
    <w:rPr>
      <w:rFonts w:ascii="Times New Roman" w:hAnsi="Times New Roman" w:cs="Times New Roman"/>
      <w:sz w:val="24"/>
      <w:szCs w:val="24"/>
    </w:rPr>
  </w:style>
  <w:style w:type="table" w:styleId="TableGrid">
    <w:name w:val="Table Grid"/>
    <w:basedOn w:val="TableNormal"/>
    <w:uiPriority w:val="39"/>
    <w:rsid w:val="0062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
    <w:name w:val="Útvar"/>
    <w:basedOn w:val="Normal"/>
    <w:link w:val="tvarChar"/>
    <w:uiPriority w:val="9"/>
    <w:qFormat/>
    <w:rsid w:val="0062125A"/>
    <w:pPr>
      <w:spacing w:after="0" w:line="276" w:lineRule="auto"/>
      <w:jc w:val="both"/>
    </w:pPr>
    <w:rPr>
      <w:rFonts w:ascii="Arial" w:eastAsia="Arial" w:hAnsi="Arial" w:cs="Arial"/>
      <w:b/>
      <w:color w:val="161A48"/>
      <w:sz w:val="28"/>
    </w:rPr>
  </w:style>
  <w:style w:type="character" w:customStyle="1" w:styleId="tvarChar">
    <w:name w:val="Útvar Char"/>
    <w:basedOn w:val="ZhlavChar"/>
    <w:link w:val="tvar"/>
    <w:uiPriority w:val="9"/>
    <w:rsid w:val="0062125A"/>
    <w:rPr>
      <w:rFonts w:ascii="Arial" w:eastAsia="Arial" w:hAnsi="Arial" w:cs="Arial"/>
      <w:b/>
      <w:color w:val="161A4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osta@vlada.gov.c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yperlink" Target="mailto:pavel.pesek@cetin.cz" TargetMode="External" /></Relationships>
</file>

<file path=word/_rels/header3.xml.rels>&#65279;<?xml version="1.0" encoding="utf-8" standalone="yes"?><Relationships xmlns="http://schemas.openxmlformats.org/package/2006/relationships"><Relationship Id="rId1" Type="http://schemas.openxmlformats.org/officeDocument/2006/relationships/image" Target="media/image5.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39C3708C63F4893BA92C57CE6702AC1"/>
        <w:category>
          <w:name w:val="Obecné"/>
          <w:gallery w:val="placeholder"/>
        </w:category>
        <w:types>
          <w:type w:val="bbPlcHdr"/>
        </w:types>
        <w:behaviors>
          <w:behavior w:val="content"/>
        </w:behaviors>
        <w:guid w:val="{321A006F-916A-467B-BE84-EFD1525E230D}"/>
      </w:docPartPr>
      <w:docPartBody>
        <w:p w:rsidR="00C75DBE" w:rsidP="00C75DBE">
          <w:pPr>
            <w:pStyle w:val="439C3708C63F4893BA92C57CE6702AC1"/>
          </w:pPr>
          <w:r w:rsidRPr="00984DAF">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BE"/>
    <w:rsid w:val="0001467C"/>
    <w:rsid w:val="0021008D"/>
    <w:rsid w:val="005B3575"/>
    <w:rsid w:val="00A66BDA"/>
    <w:rsid w:val="00C75DBE"/>
    <w:rsid w:val="00C84B4E"/>
    <w:rsid w:val="00D02F18"/>
    <w:rsid w:val="00D555D2"/>
    <w:rsid w:val="00F035A3"/>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DBE"/>
    <w:rPr>
      <w:color w:val="666666"/>
    </w:rPr>
  </w:style>
  <w:style w:type="paragraph" w:customStyle="1" w:styleId="439C3708C63F4893BA92C57CE6702AC1">
    <w:name w:val="439C3708C63F4893BA92C57CE6702AC1"/>
    <w:rsid w:val="00C75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2019-1FB5-4864-8A0F-A9D499D07A94}">
  <ds:schemaRefs>
    <ds:schemaRef ds:uri="http://schemas.openxmlformats.org/officeDocument/2006/bibliography"/>
  </ds:schemaRefs>
</ds:datastoreItem>
</file>

<file path=docMetadata/LabelInfo.xml><?xml version="1.0" encoding="utf-8"?>
<clbl:labelList xmlns:clbl="http://schemas.microsoft.com/office/2020/mipLabelMetadata">
  <clbl:label id="{ba81b7f3-76d5-4bc1-abe7-45a9e5906009}" enabled="1" method="Standard" siteId="{5d1297a0-4793-467b-b782-9ddf79faa41f}"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5947</Words>
  <Characters>35090</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Múdra Barbora</dc:creator>
  <cp:lastModifiedBy>Autor</cp:lastModifiedBy>
  <cp:revision>2</cp:revision>
  <dcterms:created xsi:type="dcterms:W3CDTF">2025-11-07T15:19:00Z</dcterms:created>
  <dcterms:modified xsi:type="dcterms:W3CDTF">2025-11-07T15:19:00Z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43580-2025-UVCR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lassificationContentMarkingHeaderFontProps">
    <vt:lpwstr>#000000,10,Calibri</vt:lpwstr>
  </property>
  <property fmtid="{D5CDD505-2E9C-101B-9397-08002B2CF9AE}" pid="9" name="ClassificationContentMarkingHeaderShapeIds">
    <vt:lpwstr>454bdb81,6b54d452,27f865ac</vt:lpwstr>
  </property>
  <property fmtid="{D5CDD505-2E9C-101B-9397-08002B2CF9AE}" pid="10" name="ClassificationContentMarkingHeaderText">
    <vt:lpwstr>Company INTERNAL</vt:lpwstr>
  </property>
  <property fmtid="{D5CDD505-2E9C-101B-9397-08002B2CF9AE}" pid="11" name="Contact_PostaOdes">
    <vt:lpwstr>ADRESÁT...
ADRESÁT...</vt:lpwstr>
  </property>
  <property fmtid="{D5CDD505-2E9C-101B-9397-08002B2CF9AE}" pid="12" name="Contact_PostaOdes_All">
    <vt:lpwstr>ROZDĚLOVNÍK...</vt:lpwstr>
  </property>
  <property fmtid="{D5CDD505-2E9C-101B-9397-08002B2CF9AE}" pid="13" name="DatumNaroz">
    <vt:lpwstr/>
  </property>
  <property fmtid="{D5CDD505-2E9C-101B-9397-08002B2CF9AE}" pid="14" name="DatumPlatnosti_PisemnostTypZpristupneniInformaciZOSZ_Pisemnost">
    <vt:lpwstr>ZOSZ_DatumPlatnosti</vt:lpwstr>
  </property>
  <property fmtid="{D5CDD505-2E9C-101B-9397-08002B2CF9AE}" pid="15" name="DatumPoriz_Pisemnost">
    <vt:lpwstr>7.11.2025</vt:lpwstr>
  </property>
  <property fmtid="{D5CDD505-2E9C-101B-9397-08002B2CF9AE}" pid="16" name="Datum_PostaDoruc_PisemnostOdpovedNa_Pisemnost">
    <vt:lpwstr>DD.MM.RRRR</vt:lpwstr>
  </property>
  <property fmtid="{D5CDD505-2E9C-101B-9397-08002B2CF9AE}" pid="17" name="DisplayName_CisloObalky_PostaOdes">
    <vt:lpwstr>ČÍSLO OBÁLKY</vt:lpwstr>
  </property>
  <property fmtid="{D5CDD505-2E9C-101B-9397-08002B2CF9AE}" pid="18" name="DisplayName_CJCol">
    <vt:lpwstr>&lt;TABLE&gt;&lt;TR&gt;&lt;TD&gt;Č.j.:&lt;/TD&gt;&lt;TD&gt;43580-2025-UVCR&lt;/TD&gt;&lt;/TR&gt;&lt;TR&gt;&lt;TD&gt;&lt;/TD&gt;&lt;TD&gt;&lt;/TD&gt;&lt;/TR&gt;&lt;/TABLE&gt;</vt:lpwstr>
  </property>
  <property fmtid="{D5CDD505-2E9C-101B-9397-08002B2CF9AE}" pid="19" name="DisplayName_PoziceMa_Pisemnost">
    <vt:lpwstr>Alena Lupjanová</vt:lpwstr>
  </property>
  <property fmtid="{D5CDD505-2E9C-101B-9397-08002B2CF9AE}" pid="20" name="DisplayName_SlozkaStupenUtajeniCollection_Slozka_Pisemnost">
    <vt:lpwstr/>
  </property>
  <property fmtid="{D5CDD505-2E9C-101B-9397-08002B2CF9AE}" pid="21" name="DisplayName_SpisovyUzel_PoziceZodpo_Pisemnost">
    <vt:lpwstr>Odbor právní</vt:lpwstr>
  </property>
  <property fmtid="{D5CDD505-2E9C-101B-9397-08002B2CF9AE}" pid="22" name="DisplayName_Spis_Pisemnost">
    <vt:lpwstr>Registr smluv 01-12/2025</vt:lpwstr>
  </property>
  <property fmtid="{D5CDD505-2E9C-101B-9397-08002B2CF9AE}" pid="23" name="DisplayName_UserPoriz_Pisemnost">
    <vt:lpwstr>Mgr. Hana Střeštíková</vt:lpwstr>
  </property>
  <property fmtid="{D5CDD505-2E9C-101B-9397-08002B2CF9AE}" pid="24" name="DuvodZmeny_SlozkaStupenUtajeniCollection_Slozka_Pisemnost">
    <vt:lpwstr/>
  </property>
  <property fmtid="{D5CDD505-2E9C-101B-9397-08002B2CF9AE}" pid="25" name="EC_Pisemnost">
    <vt:lpwstr>UVCR25D0043528</vt:lpwstr>
  </property>
  <property fmtid="{D5CDD505-2E9C-101B-9397-08002B2CF9AE}" pid="26" name="Key_BarCode_Pisemnost">
    <vt:lpwstr>*UVCR25D0043528*</vt:lpwstr>
  </property>
  <property fmtid="{D5CDD505-2E9C-101B-9397-08002B2CF9AE}" pid="27" name="Key_BarCode_PostaOdes">
    <vt:lpwstr>11101001011</vt:lpwstr>
  </property>
  <property fmtid="{D5CDD505-2E9C-101B-9397-08002B2CF9AE}" pid="28" name="KRukam">
    <vt:lpwstr>{KRukam}</vt:lpwstr>
  </property>
  <property fmtid="{D5CDD505-2E9C-101B-9397-08002B2CF9AE}" pid="29" name="MSIP_Label_4e6f22b5-62e0-4dae-88a1-38ec65c4e260_ActionId">
    <vt:lpwstr>8a069925-d535-4d2a-bda3-a24045213792</vt:lpwstr>
  </property>
  <property fmtid="{D5CDD505-2E9C-101B-9397-08002B2CF9AE}" pid="30" name="MSIP_Label_4e6f22b5-62e0-4dae-88a1-38ec65c4e260_ContentBits">
    <vt:lpwstr>0</vt:lpwstr>
  </property>
  <property fmtid="{D5CDD505-2E9C-101B-9397-08002B2CF9AE}" pid="31" name="MSIP_Label_4e6f22b5-62e0-4dae-88a1-38ec65c4e260_Enabled">
    <vt:lpwstr>true</vt:lpwstr>
  </property>
  <property fmtid="{D5CDD505-2E9C-101B-9397-08002B2CF9AE}" pid="32" name="MSIP_Label_4e6f22b5-62e0-4dae-88a1-38ec65c4e260_Method">
    <vt:lpwstr>Standard</vt:lpwstr>
  </property>
  <property fmtid="{D5CDD505-2E9C-101B-9397-08002B2CF9AE}" pid="33" name="MSIP_Label_4e6f22b5-62e0-4dae-88a1-38ec65c4e260_Name">
    <vt:lpwstr>TLP-GREEN</vt:lpwstr>
  </property>
  <property fmtid="{D5CDD505-2E9C-101B-9397-08002B2CF9AE}" pid="34" name="MSIP_Label_4e6f22b5-62e0-4dae-88a1-38ec65c4e260_SetDate">
    <vt:lpwstr>2025-09-23T07:26:20Z</vt:lpwstr>
  </property>
  <property fmtid="{D5CDD505-2E9C-101B-9397-08002B2CF9AE}" pid="35" name="MSIP_Label_4e6f22b5-62e0-4dae-88a1-38ec65c4e260_SiteId">
    <vt:lpwstr>29292cca-6718-4b9a-a036-6a2467c9b190</vt:lpwstr>
  </property>
  <property fmtid="{D5CDD505-2E9C-101B-9397-08002B2CF9AE}" pid="36" name="MSIP_Label_4e6f22b5-62e0-4dae-88a1-38ec65c4e260_Tag">
    <vt:lpwstr>10, 3, 0, 1</vt:lpwstr>
  </property>
  <property fmtid="{D5CDD505-2E9C-101B-9397-08002B2CF9AE}" pid="37" name="NameAddress_Contact_SpisovyUzel_PoziceZodpo_Pisemnost">
    <vt:lpwstr>Úřad vlády České republiky</vt:lpwstr>
  </property>
  <property fmtid="{D5CDD505-2E9C-101B-9397-08002B2CF9AE}" pid="38" name="NamePostalAddress_Contact_PostaOdes">
    <vt:lpwstr>POŠTOVNÍ ADRESA
{PostalAddress_Contact_PostaOdes}</vt:lpwstr>
  </property>
  <property fmtid="{D5CDD505-2E9C-101B-9397-08002B2CF9AE}" pid="39" name="Odkaz">
    <vt:lpwstr>ODKAZ</vt:lpwstr>
  </property>
  <property fmtid="{D5CDD505-2E9C-101B-9397-08002B2CF9AE}" pid="40" name="Password_PisemnostTypZpristupneniInformaciZOSZ_Pisemnost">
    <vt:lpwstr>ZOSZ_Password</vt:lpwstr>
  </property>
  <property fmtid="{D5CDD505-2E9C-101B-9397-08002B2CF9AE}" pid="41" name="PocetListuDokumentu_Pisemnost">
    <vt:lpwstr>0</vt:lpwstr>
  </property>
  <property fmtid="{D5CDD505-2E9C-101B-9397-08002B2CF9AE}" pid="42" name="PocetListu_Pisemnost">
    <vt:lpwstr>0/13</vt:lpwstr>
  </property>
  <property fmtid="{D5CDD505-2E9C-101B-9397-08002B2CF9AE}" pid="43" name="PocetPriloh_Pisemnost">
    <vt:lpwstr>13</vt:lpwstr>
  </property>
  <property fmtid="{D5CDD505-2E9C-101B-9397-08002B2CF9AE}" pid="44" name="Podpis">
    <vt:lpwstr/>
  </property>
  <property fmtid="{D5CDD505-2E9C-101B-9397-08002B2CF9AE}" pid="45" name="PoleVlastnost">
    <vt:lpwstr/>
  </property>
  <property fmtid="{D5CDD505-2E9C-101B-9397-08002B2CF9AE}" pid="46" name="PostalAddress_Contact_SpisovyUzel_PoziceZodpo_Pisemnost">
    <vt:lpwstr>nábřeží Edvarda Beneše 4/128
11801 Praha 1 - Malá Strana</vt:lpwstr>
  </property>
  <property fmtid="{D5CDD505-2E9C-101B-9397-08002B2CF9AE}" pid="47" name="QREC_Pisemnost">
    <vt:lpwstr>UVCR25D0043528</vt:lpwstr>
  </property>
  <property fmtid="{D5CDD505-2E9C-101B-9397-08002B2CF9AE}" pid="48" name="RC">
    <vt:lpwstr/>
  </property>
  <property fmtid="{D5CDD505-2E9C-101B-9397-08002B2CF9AE}" pid="49" name="SkartacniZnakLhuta_PisemnostZnak">
    <vt:lpwstr>V/10</vt:lpwstr>
  </property>
  <property fmtid="{D5CDD505-2E9C-101B-9397-08002B2CF9AE}" pid="50" name="SmlouvaCislo">
    <vt:lpwstr>ČÍSLO SMLOUVY</vt:lpwstr>
  </property>
  <property fmtid="{D5CDD505-2E9C-101B-9397-08002B2CF9AE}" pid="51" name="SZ_Spis_Pisemnost">
    <vt:lpwstr>SPIS-2025-78</vt:lpwstr>
  </property>
  <property fmtid="{D5CDD505-2E9C-101B-9397-08002B2CF9AE}" pid="52" name="Termin_Pisemnost">
    <vt:lpwstr>DD.MM.RRRR</vt:lpwstr>
  </property>
  <property fmtid="{D5CDD505-2E9C-101B-9397-08002B2CF9AE}" pid="53" name="TEST">
    <vt:lpwstr>testovací pole</vt:lpwstr>
  </property>
  <property fmtid="{D5CDD505-2E9C-101B-9397-08002B2CF9AE}" pid="54" name="TypPrilohy_Pisemnost">
    <vt:lpwstr>13 Dokument</vt:lpwstr>
  </property>
  <property fmtid="{D5CDD505-2E9C-101B-9397-08002B2CF9AE}" pid="55" name="UserName_PisemnostTypZpristupneniInformaciZOSZ_Pisemnost">
    <vt:lpwstr>ZOSZ_UserName</vt:lpwstr>
  </property>
  <property fmtid="{D5CDD505-2E9C-101B-9397-08002B2CF9AE}" pid="56" name="Vec_Pisemnost">
    <vt:lpwstr>OIT - Smlouva o poskytování služeb</vt:lpwstr>
  </property>
  <property fmtid="{D5CDD505-2E9C-101B-9397-08002B2CF9AE}" pid="57" name="Zkratka_SpisovyUzel_PoziceZodpo_Pisemnost">
    <vt:lpwstr>OPR</vt:lpwstr>
  </property>
</Properties>
</file>