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6278757E" w14:textId="77777777" w:rsidR="00463747" w:rsidRPr="00463747" w:rsidRDefault="00463747" w:rsidP="00463747">
      <w:pPr>
        <w:shd w:val="clear" w:color="auto" w:fill="FFFFFF"/>
        <w:ind w:left="28"/>
        <w:jc w:val="center"/>
        <w:rPr>
          <w:color w:val="000000"/>
          <w:spacing w:val="-4"/>
          <w:sz w:val="16"/>
          <w:szCs w:val="22"/>
        </w:rPr>
      </w:pPr>
    </w:p>
    <w:p w14:paraId="606AB3AC" w14:textId="30811111"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191E273E" w14:textId="60511E96" w:rsidR="002559D2" w:rsidRPr="005A45E2" w:rsidRDefault="002559D2" w:rsidP="00C97065">
      <w:pPr>
        <w:shd w:val="clear" w:color="auto" w:fill="FFFFFF"/>
        <w:tabs>
          <w:tab w:val="left" w:pos="1275"/>
        </w:tabs>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463747">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63747">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63747">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79924805" w:rsidR="002559D2" w:rsidRPr="00152B66" w:rsidRDefault="002559D2" w:rsidP="00463747">
      <w:pPr>
        <w:spacing w:after="60"/>
        <w:rPr>
          <w:sz w:val="22"/>
          <w:szCs w:val="22"/>
        </w:rPr>
      </w:pPr>
      <w:r w:rsidRPr="00152B66">
        <w:rPr>
          <w:sz w:val="22"/>
          <w:szCs w:val="22"/>
        </w:rPr>
        <w:t>Jednající/zastoupený:</w:t>
      </w:r>
      <w:r w:rsidRPr="00152B66">
        <w:rPr>
          <w:sz w:val="22"/>
          <w:szCs w:val="22"/>
        </w:rPr>
        <w:tab/>
      </w:r>
      <w:r w:rsidRPr="00152B66">
        <w:rPr>
          <w:sz w:val="22"/>
          <w:szCs w:val="22"/>
        </w:rPr>
        <w:tab/>
      </w:r>
      <w:r w:rsidR="00055DC7">
        <w:rPr>
          <w:sz w:val="22"/>
          <w:szCs w:val="22"/>
        </w:rPr>
        <w:t>………..</w:t>
      </w:r>
      <w:r w:rsidRPr="00152B66">
        <w:rPr>
          <w:sz w:val="22"/>
          <w:szCs w:val="22"/>
        </w:rPr>
        <w:t xml:space="preserve"> Petr Žižka, ředitel</w:t>
      </w:r>
    </w:p>
    <w:p w14:paraId="46CF83A3" w14:textId="30C5ADC0" w:rsidR="002559D2" w:rsidRPr="00152B66" w:rsidRDefault="002559D2" w:rsidP="00463747">
      <w:pPr>
        <w:spacing w:after="60"/>
        <w:rPr>
          <w:sz w:val="22"/>
          <w:szCs w:val="22"/>
        </w:rPr>
      </w:pPr>
      <w:r w:rsidRPr="00152B66">
        <w:rPr>
          <w:sz w:val="22"/>
          <w:szCs w:val="22"/>
        </w:rPr>
        <w:t>Kontaktní osoba:</w:t>
      </w:r>
      <w:r w:rsidRPr="00152B66">
        <w:rPr>
          <w:sz w:val="22"/>
          <w:szCs w:val="22"/>
        </w:rPr>
        <w:tab/>
      </w:r>
      <w:r w:rsidRPr="00152B66">
        <w:rPr>
          <w:sz w:val="22"/>
          <w:szCs w:val="22"/>
        </w:rPr>
        <w:tab/>
      </w:r>
      <w:r w:rsidR="00055DC7">
        <w:rPr>
          <w:color w:val="000000" w:themeColor="text1"/>
          <w:sz w:val="22"/>
          <w:szCs w:val="22"/>
        </w:rPr>
        <w:t>………….</w:t>
      </w:r>
      <w:r w:rsidR="00463747" w:rsidRPr="00057B8A">
        <w:rPr>
          <w:color w:val="000000" w:themeColor="text1"/>
          <w:sz w:val="22"/>
          <w:szCs w:val="22"/>
        </w:rPr>
        <w:t xml:space="preserve">, </w:t>
      </w:r>
      <w:hyperlink r:id="rId8" w:history="1">
        <w:r w:rsidR="00463747" w:rsidRPr="00773F14">
          <w:rPr>
            <w:rStyle w:val="Hypertextovodkaz"/>
            <w:color w:val="000000" w:themeColor="text1"/>
            <w:sz w:val="22"/>
            <w:szCs w:val="22"/>
            <w:u w:val="none"/>
          </w:rPr>
          <w:t>lekarna@pld.cz</w:t>
        </w:r>
      </w:hyperlink>
      <w:r w:rsidR="00606F59">
        <w:rPr>
          <w:rStyle w:val="Hypertextovodkaz"/>
          <w:color w:val="000000" w:themeColor="text1"/>
          <w:sz w:val="22"/>
          <w:szCs w:val="22"/>
          <w:u w:val="none"/>
        </w:rPr>
        <w:t>,</w:t>
      </w:r>
      <w:r w:rsidR="00463747" w:rsidRPr="00773F14">
        <w:rPr>
          <w:color w:val="000000" w:themeColor="text1"/>
          <w:sz w:val="22"/>
          <w:szCs w:val="22"/>
        </w:rPr>
        <w:t xml:space="preserve"> 377</w:t>
      </w:r>
      <w:r w:rsidR="00463747" w:rsidRPr="00057B8A">
        <w:rPr>
          <w:color w:val="000000" w:themeColor="text1"/>
          <w:sz w:val="22"/>
          <w:szCs w:val="22"/>
        </w:rPr>
        <w:t> 813 379</w:t>
      </w:r>
    </w:p>
    <w:p w14:paraId="21F9DC08" w14:textId="77777777" w:rsidR="002559D2" w:rsidRPr="00152B66" w:rsidRDefault="002559D2" w:rsidP="00463747">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1488B72C" w14:textId="77777777" w:rsidR="00463747" w:rsidRDefault="00463747" w:rsidP="002559D2">
      <w:pPr>
        <w:pStyle w:val="Nadpis"/>
        <w:spacing w:after="120"/>
        <w:jc w:val="left"/>
        <w:rPr>
          <w:rFonts w:ascii="Times New Roman" w:hAnsi="Times New Roman"/>
          <w:b w:val="0"/>
          <w:sz w:val="22"/>
          <w:szCs w:val="22"/>
        </w:rPr>
      </w:pPr>
    </w:p>
    <w:p w14:paraId="4B73832A" w14:textId="548B279F" w:rsidR="002559D2" w:rsidRPr="00602A44" w:rsidRDefault="00A66783" w:rsidP="002559D2">
      <w:pPr>
        <w:pStyle w:val="Nadpis"/>
        <w:spacing w:after="120"/>
        <w:jc w:val="left"/>
        <w:rPr>
          <w:rFonts w:ascii="Times New Roman" w:hAnsi="Times New Roman"/>
          <w:sz w:val="22"/>
          <w:szCs w:val="22"/>
        </w:rPr>
      </w:pPr>
      <w:proofErr w:type="spellStart"/>
      <w:r>
        <w:rPr>
          <w:rFonts w:ascii="Times New Roman" w:hAnsi="Times New Roman"/>
          <w:sz w:val="22"/>
          <w:szCs w:val="22"/>
        </w:rPr>
        <w:t>Zarys</w:t>
      </w:r>
      <w:proofErr w:type="spellEnd"/>
      <w:r>
        <w:rPr>
          <w:rFonts w:ascii="Times New Roman" w:hAnsi="Times New Roman"/>
          <w:sz w:val="22"/>
          <w:szCs w:val="22"/>
        </w:rPr>
        <w:t xml:space="preserve"> International Group s.r.o.</w:t>
      </w:r>
    </w:p>
    <w:p w14:paraId="0BBAD372" w14:textId="4B293932" w:rsidR="002559D2" w:rsidRPr="00152B66" w:rsidRDefault="002559D2" w:rsidP="00463747">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A66783">
        <w:rPr>
          <w:rFonts w:ascii="Times New Roman" w:hAnsi="Times New Roman"/>
          <w:b w:val="0"/>
          <w:sz w:val="22"/>
          <w:szCs w:val="22"/>
        </w:rPr>
        <w:t>Závodní 2006/101, Zábřeh, 700 30 Ostrava</w:t>
      </w:r>
    </w:p>
    <w:p w14:paraId="194E79A2" w14:textId="13FEAF23" w:rsidR="002559D2" w:rsidRPr="00152B66" w:rsidRDefault="002559D2" w:rsidP="00463747">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A66783">
        <w:rPr>
          <w:rFonts w:ascii="Times New Roman" w:hAnsi="Times New Roman"/>
          <w:b w:val="0"/>
          <w:sz w:val="22"/>
          <w:szCs w:val="22"/>
        </w:rPr>
        <w:t>Krajským</w:t>
      </w:r>
      <w:r w:rsidRPr="00152B66">
        <w:rPr>
          <w:rFonts w:ascii="Times New Roman" w:hAnsi="Times New Roman"/>
          <w:b w:val="0"/>
          <w:sz w:val="22"/>
          <w:szCs w:val="22"/>
        </w:rPr>
        <w:t xml:space="preserve"> soudem v </w:t>
      </w:r>
      <w:r w:rsidR="00A66783">
        <w:rPr>
          <w:rFonts w:ascii="Times New Roman" w:hAnsi="Times New Roman"/>
          <w:b w:val="0"/>
          <w:sz w:val="22"/>
          <w:szCs w:val="22"/>
        </w:rPr>
        <w:t>Ostravě</w:t>
      </w:r>
      <w:r w:rsidRPr="00152B66">
        <w:rPr>
          <w:rFonts w:ascii="Times New Roman" w:hAnsi="Times New Roman"/>
          <w:b w:val="0"/>
          <w:sz w:val="22"/>
          <w:szCs w:val="22"/>
        </w:rPr>
        <w:t xml:space="preserve"> oddíl </w:t>
      </w:r>
      <w:r w:rsidR="00A66783">
        <w:rPr>
          <w:rFonts w:ascii="Times New Roman" w:hAnsi="Times New Roman"/>
          <w:b w:val="0"/>
          <w:sz w:val="22"/>
          <w:szCs w:val="22"/>
        </w:rPr>
        <w:t>C</w:t>
      </w:r>
      <w:r w:rsidRPr="00152B66">
        <w:rPr>
          <w:rFonts w:ascii="Times New Roman" w:hAnsi="Times New Roman"/>
          <w:b w:val="0"/>
          <w:sz w:val="22"/>
          <w:szCs w:val="22"/>
        </w:rPr>
        <w:t xml:space="preserve"> vložka </w:t>
      </w:r>
      <w:r w:rsidR="00A66783">
        <w:rPr>
          <w:rFonts w:ascii="Times New Roman" w:hAnsi="Times New Roman"/>
          <w:b w:val="0"/>
          <w:sz w:val="22"/>
          <w:szCs w:val="22"/>
        </w:rPr>
        <w:t>83680</w:t>
      </w:r>
    </w:p>
    <w:p w14:paraId="729CFEAF" w14:textId="006CD682"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A66783">
        <w:rPr>
          <w:rFonts w:ascii="Times New Roman" w:hAnsi="Times New Roman"/>
          <w:b w:val="0"/>
          <w:sz w:val="22"/>
          <w:szCs w:val="22"/>
        </w:rPr>
        <w:t>09637737</w:t>
      </w:r>
    </w:p>
    <w:p w14:paraId="0BE380AE" w14:textId="40467731"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A66783">
        <w:rPr>
          <w:rFonts w:ascii="Times New Roman" w:hAnsi="Times New Roman"/>
          <w:b w:val="0"/>
          <w:sz w:val="22"/>
          <w:szCs w:val="22"/>
        </w:rPr>
        <w:t>CZ09637737</w:t>
      </w:r>
    </w:p>
    <w:p w14:paraId="31CC457D" w14:textId="555BD97E"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055DC7">
        <w:rPr>
          <w:rFonts w:ascii="Times New Roman" w:hAnsi="Times New Roman"/>
          <w:b w:val="0"/>
          <w:sz w:val="22"/>
          <w:szCs w:val="22"/>
        </w:rPr>
        <w:t>………..</w:t>
      </w:r>
      <w:r w:rsidR="00A66783">
        <w:rPr>
          <w:rFonts w:ascii="Times New Roman" w:hAnsi="Times New Roman"/>
          <w:b w:val="0"/>
          <w:sz w:val="22"/>
          <w:szCs w:val="22"/>
        </w:rPr>
        <w:t>, prokura</w:t>
      </w:r>
    </w:p>
    <w:p w14:paraId="0492A1AF" w14:textId="6F950261"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055DC7">
        <w:rPr>
          <w:rFonts w:ascii="Times New Roman" w:hAnsi="Times New Roman"/>
          <w:b w:val="0"/>
          <w:sz w:val="22"/>
          <w:szCs w:val="22"/>
        </w:rPr>
        <w:t>………….</w:t>
      </w:r>
      <w:r w:rsidR="00A66783" w:rsidRPr="00A66783">
        <w:rPr>
          <w:rFonts w:ascii="Times New Roman" w:hAnsi="Times New Roman"/>
          <w:b w:val="0"/>
          <w:sz w:val="22"/>
          <w:szCs w:val="22"/>
        </w:rPr>
        <w:t xml:space="preserve">, </w:t>
      </w:r>
      <w:r w:rsidR="00055DC7">
        <w:rPr>
          <w:rFonts w:ascii="Times New Roman" w:hAnsi="Times New Roman"/>
          <w:b w:val="0"/>
          <w:sz w:val="22"/>
          <w:szCs w:val="22"/>
        </w:rPr>
        <w:t>...............</w:t>
      </w:r>
      <w:r w:rsidR="00CC2A5B">
        <w:rPr>
          <w:rFonts w:ascii="Times New Roman" w:hAnsi="Times New Roman"/>
          <w:b w:val="0"/>
          <w:sz w:val="22"/>
          <w:szCs w:val="22"/>
        </w:rPr>
        <w:t xml:space="preserve">@zarys.com, </w:t>
      </w:r>
      <w:r w:rsidR="00055DC7">
        <w:rPr>
          <w:rFonts w:ascii="Times New Roman" w:hAnsi="Times New Roman"/>
          <w:b w:val="0"/>
          <w:sz w:val="22"/>
          <w:szCs w:val="22"/>
        </w:rPr>
        <w:t>………</w:t>
      </w:r>
    </w:p>
    <w:p w14:paraId="08515ED0" w14:textId="77777777" w:rsidR="002559D2" w:rsidRDefault="002559D2" w:rsidP="00463747">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63CD06D5" w:rsidR="002559D2" w:rsidRPr="00EB7153" w:rsidRDefault="002559D2" w:rsidP="00857DF6">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w:t>
      </w:r>
      <w:r w:rsidR="00463747">
        <w:rPr>
          <w:sz w:val="22"/>
          <w:szCs w:val="22"/>
        </w:rPr>
        <w:t>veřejné zakázky</w:t>
      </w:r>
      <w:r w:rsidR="00B23E7C">
        <w:rPr>
          <w:sz w:val="22"/>
          <w:szCs w:val="22"/>
        </w:rPr>
        <w:t xml:space="preserve"> malého rozsahu</w:t>
      </w:r>
      <w:r w:rsidR="00463747" w:rsidRPr="00EB7153">
        <w:rPr>
          <w:sz w:val="22"/>
          <w:szCs w:val="22"/>
        </w:rPr>
        <w:t xml:space="preserve"> </w:t>
      </w:r>
      <w:r w:rsidRPr="00EB7153">
        <w:rPr>
          <w:sz w:val="22"/>
          <w:szCs w:val="22"/>
        </w:rPr>
        <w:t xml:space="preserve">na dodávky s názvem </w:t>
      </w:r>
      <w:r w:rsidRPr="00EB7153">
        <w:rPr>
          <w:b/>
          <w:sz w:val="22"/>
          <w:szCs w:val="22"/>
        </w:rPr>
        <w:t>„</w:t>
      </w:r>
      <w:r w:rsidR="008538FE">
        <w:rPr>
          <w:b/>
          <w:sz w:val="22"/>
          <w:szCs w:val="22"/>
        </w:rPr>
        <w:t>Kompresy gázové a z netkaného textilu</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w:t>
      </w:r>
      <w:r w:rsidR="00463747">
        <w:rPr>
          <w:sz w:val="22"/>
          <w:szCs w:val="22"/>
        </w:rPr>
        <w:t xml:space="preserve"> </w:t>
      </w:r>
      <w:r w:rsidR="00B23E7C">
        <w:rPr>
          <w:sz w:val="22"/>
          <w:szCs w:val="22"/>
        </w:rPr>
        <w:t>Market</w:t>
      </w:r>
      <w:r w:rsidRPr="00EB7153">
        <w:rPr>
          <w:sz w:val="22"/>
          <w:szCs w:val="22"/>
        </w:rPr>
        <w:t>:</w:t>
      </w:r>
      <w:r>
        <w:rPr>
          <w:sz w:val="22"/>
          <w:szCs w:val="22"/>
        </w:rPr>
        <w:t xml:space="preserve"> </w:t>
      </w:r>
      <w:r w:rsidR="004503BB" w:rsidRPr="00790AC5">
        <w:rPr>
          <w:sz w:val="22"/>
          <w:szCs w:val="22"/>
        </w:rPr>
        <w:t>MVZ25000</w:t>
      </w:r>
      <w:r w:rsidR="004503BB" w:rsidRPr="00D83C91">
        <w:rPr>
          <w:sz w:val="22"/>
          <w:szCs w:val="22"/>
        </w:rPr>
        <w:t>00</w:t>
      </w:r>
      <w:r w:rsidR="00D83C91" w:rsidRPr="00D83C91">
        <w:rPr>
          <w:sz w:val="22"/>
          <w:szCs w:val="22"/>
        </w:rPr>
        <w:t>8</w:t>
      </w:r>
      <w:r w:rsidR="00D83C91">
        <w:rPr>
          <w:sz w:val="22"/>
          <w:szCs w:val="22"/>
        </w:rPr>
        <w:t>7</w:t>
      </w:r>
      <w:r w:rsidR="007E3012">
        <w:rPr>
          <w:sz w:val="22"/>
          <w:szCs w:val="22"/>
        </w:rPr>
        <w:t>)</w:t>
      </w:r>
      <w:r w:rsidRPr="00EB7153">
        <w:rPr>
          <w:sz w:val="22"/>
          <w:szCs w:val="22"/>
        </w:rPr>
        <w:t xml:space="preserve">, neboť nabídka dodavatele byla vyhodnocena jako nejvhodnější. Uzavírá se Smlouva na dobu </w:t>
      </w:r>
      <w:r w:rsidR="002B2952">
        <w:rPr>
          <w:sz w:val="22"/>
          <w:szCs w:val="22"/>
        </w:rPr>
        <w:t>2</w:t>
      </w:r>
      <w:r>
        <w:rPr>
          <w:sz w:val="22"/>
          <w:szCs w:val="22"/>
        </w:rPr>
        <w:t xml:space="preserve"> </w:t>
      </w:r>
      <w:r w:rsidR="00463747">
        <w:rPr>
          <w:sz w:val="22"/>
          <w:szCs w:val="22"/>
        </w:rPr>
        <w:t>let</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04524AA0" w14:textId="77777777" w:rsidR="00C84E6B" w:rsidRDefault="00C84E6B" w:rsidP="00857DF6">
      <w:pPr>
        <w:ind w:firstLine="284"/>
        <w:jc w:val="both"/>
        <w:rPr>
          <w:b/>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53F53DA8" w:rsidR="002559D2" w:rsidRPr="002559D2" w:rsidRDefault="002559D2" w:rsidP="00857DF6">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dle potřeb a požadavků kupujícího po dobu trvání této Smlouvy (</w:t>
      </w:r>
      <w:r w:rsidR="002B2952">
        <w:rPr>
          <w:sz w:val="22"/>
          <w:szCs w:val="22"/>
        </w:rPr>
        <w:t>2</w:t>
      </w:r>
      <w:r w:rsidRPr="002559D2">
        <w:rPr>
          <w:sz w:val="22"/>
          <w:szCs w:val="22"/>
        </w:rPr>
        <w:t xml:space="preserve"> rok</w:t>
      </w:r>
      <w:r w:rsidR="00463747">
        <w:rPr>
          <w:sz w:val="22"/>
          <w:szCs w:val="22"/>
        </w:rPr>
        <w:t>y</w:t>
      </w:r>
      <w:r w:rsidRPr="002559D2">
        <w:rPr>
          <w:sz w:val="22"/>
          <w:szCs w:val="22"/>
        </w:rPr>
        <w:t xml:space="preserve">). </w:t>
      </w:r>
    </w:p>
    <w:p w14:paraId="34E0CE08"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857DF6">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2A9031D7" w14:textId="77777777" w:rsidR="0058510C" w:rsidRDefault="00C84E6B" w:rsidP="00857DF6">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lastRenderedPageBreak/>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44ACE817" w14:textId="2BB71AE9" w:rsidR="0058510C" w:rsidRPr="0058510C" w:rsidRDefault="0058510C" w:rsidP="00857DF6">
      <w:pPr>
        <w:pStyle w:val="Odstavecseseznamem"/>
        <w:numPr>
          <w:ilvl w:val="0"/>
          <w:numId w:val="6"/>
        </w:numPr>
        <w:autoSpaceDE w:val="0"/>
        <w:autoSpaceDN w:val="0"/>
        <w:adjustRightInd w:val="0"/>
        <w:spacing w:after="120"/>
        <w:ind w:left="284" w:hanging="284"/>
        <w:jc w:val="both"/>
      </w:pPr>
      <w:r w:rsidRPr="0058510C">
        <w:rPr>
          <w:bCs/>
          <w:sz w:val="22"/>
          <w:szCs w:val="22"/>
        </w:rPr>
        <w:t>Není-li prodávající schopen z důvodů na straně prodávajícího zajistit dodání objednaného zboží řádně a včas, má kupující právo zajistit si dodávku zboží (specifikované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Pr="0058510C">
        <w:rPr>
          <w:sz w:val="22"/>
          <w:szCs w:val="22"/>
        </w:rPr>
        <w:t xml:space="preserve"> (Vyhrazená změna závazku v souladu s </w:t>
      </w:r>
      <w:proofErr w:type="spellStart"/>
      <w:r w:rsidRPr="0058510C">
        <w:rPr>
          <w:sz w:val="22"/>
          <w:szCs w:val="22"/>
        </w:rPr>
        <w:t>ust</w:t>
      </w:r>
      <w:proofErr w:type="spellEnd"/>
      <w:r w:rsidRPr="0058510C">
        <w:rPr>
          <w:sz w:val="22"/>
          <w:szCs w:val="22"/>
        </w:rPr>
        <w:t>. § 100 odst. 1 ZZVZ)</w:t>
      </w:r>
    </w:p>
    <w:p w14:paraId="39DC7EEC" w14:textId="291E296E" w:rsidR="002559D2" w:rsidRPr="008538FE" w:rsidRDefault="002559D2" w:rsidP="008538FE">
      <w:pPr>
        <w:autoSpaceDE w:val="0"/>
        <w:autoSpaceDN w:val="0"/>
        <w:adjustRightInd w:val="0"/>
        <w:spacing w:after="120"/>
        <w:jc w:val="both"/>
        <w:rPr>
          <w:sz w:val="22"/>
          <w:szCs w:val="22"/>
        </w:rPr>
      </w:pP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16B08C83"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Jednotlivé dodávky budou mezi smluvními stranami realizovány na základě dílčích</w:t>
      </w:r>
      <w:r w:rsidR="008538FE">
        <w:rPr>
          <w:sz w:val="22"/>
          <w:szCs w:val="22"/>
        </w:rPr>
        <w:t xml:space="preserve"> </w:t>
      </w:r>
      <w:r w:rsidRPr="002559D2">
        <w:rPr>
          <w:sz w:val="22"/>
          <w:szCs w:val="22"/>
        </w:rPr>
        <w:t>smluv</w:t>
      </w:r>
      <w:r w:rsidR="008538FE">
        <w:rPr>
          <w:sz w:val="22"/>
          <w:szCs w:val="22"/>
        </w:rPr>
        <w:t xml:space="preserve"> </w:t>
      </w:r>
      <w:r w:rsidRPr="002559D2">
        <w:rPr>
          <w:sz w:val="22"/>
          <w:szCs w:val="22"/>
        </w:rPr>
        <w:t>-</w:t>
      </w:r>
      <w:r w:rsidR="008538FE">
        <w:rPr>
          <w:sz w:val="22"/>
          <w:szCs w:val="22"/>
        </w:rPr>
        <w:t xml:space="preserve"> </w:t>
      </w:r>
      <w:r w:rsidRPr="002559D2">
        <w:rPr>
          <w:sz w:val="22"/>
          <w:szCs w:val="22"/>
        </w:rPr>
        <w:t xml:space="preserve">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2CBB9E56"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w:t>
      </w:r>
      <w:r w:rsidR="002D7157">
        <w:rPr>
          <w:sz w:val="22"/>
          <w:szCs w:val="22"/>
        </w:rPr>
        <w:t>2</w:t>
      </w:r>
      <w:r w:rsidRPr="002559D2">
        <w:rPr>
          <w:sz w:val="22"/>
          <w:szCs w:val="22"/>
        </w:rPr>
        <w:t xml:space="preserve">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D1545F">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52381431" w:rsidR="002559D2" w:rsidRPr="00C44B34" w:rsidRDefault="002559D2" w:rsidP="00857DF6">
      <w:pPr>
        <w:pStyle w:val="Odstavecseseznamem"/>
        <w:numPr>
          <w:ilvl w:val="0"/>
          <w:numId w:val="13"/>
        </w:numPr>
        <w:spacing w:after="120"/>
        <w:ind w:left="284" w:hanging="284"/>
        <w:jc w:val="both"/>
        <w:rPr>
          <w:bCs/>
          <w:sz w:val="22"/>
          <w:szCs w:val="22"/>
        </w:rPr>
      </w:pPr>
      <w:r w:rsidRPr="00C44B34">
        <w:rPr>
          <w:sz w:val="22"/>
          <w:szCs w:val="22"/>
        </w:rPr>
        <w:t xml:space="preserve">Ceny jednotlivých položek předmětu plnění dle této Smlouvy jsou uvedeny ve Specifikaci předmětu plnění </w:t>
      </w:r>
      <w:r w:rsidR="00F4448D">
        <w:rPr>
          <w:sz w:val="22"/>
          <w:szCs w:val="22"/>
        </w:rPr>
        <w:t>vč. nabídkové ceny</w:t>
      </w:r>
      <w:r w:rsidRPr="00C44B34">
        <w:rPr>
          <w:bCs/>
          <w:sz w:val="22"/>
          <w:szCs w:val="22"/>
        </w:rPr>
        <w:t xml:space="preserve">, který je nedílnou součástí této Smlouvy jako její příloha č. 1. </w:t>
      </w:r>
    </w:p>
    <w:p w14:paraId="14E3CD9D" w14:textId="575DE739" w:rsidR="002559D2" w:rsidRPr="00152B66" w:rsidRDefault="00326C62" w:rsidP="00857DF6">
      <w:pPr>
        <w:pStyle w:val="Zkladntext"/>
        <w:numPr>
          <w:ilvl w:val="0"/>
          <w:numId w:val="23"/>
        </w:numPr>
        <w:tabs>
          <w:tab w:val="left" w:pos="567"/>
        </w:tabs>
        <w:jc w:val="both"/>
        <w:rPr>
          <w:b/>
          <w:bCs/>
          <w:iCs/>
          <w:sz w:val="22"/>
          <w:szCs w:val="22"/>
        </w:rPr>
      </w:pPr>
      <w:r>
        <w:rPr>
          <w:b/>
          <w:bCs/>
          <w:iCs/>
          <w:sz w:val="22"/>
          <w:szCs w:val="22"/>
        </w:rPr>
        <w:t xml:space="preserve">  </w:t>
      </w:r>
      <w:r w:rsidR="002559D2" w:rsidRPr="002559D2">
        <w:rPr>
          <w:b/>
          <w:bCs/>
          <w:iCs/>
          <w:sz w:val="22"/>
          <w:szCs w:val="22"/>
        </w:rPr>
        <w:t>Předpokládaná celková cena</w:t>
      </w:r>
      <w:r w:rsidR="002559D2" w:rsidRPr="00152B66">
        <w:rPr>
          <w:b/>
          <w:bCs/>
          <w:iCs/>
          <w:sz w:val="22"/>
          <w:szCs w:val="22"/>
        </w:rPr>
        <w:t xml:space="preserve"> za dodávky dle této Smlouvy </w:t>
      </w:r>
      <w:r w:rsidR="002559D2">
        <w:rPr>
          <w:b/>
          <w:bCs/>
          <w:iCs/>
          <w:sz w:val="22"/>
          <w:szCs w:val="22"/>
        </w:rPr>
        <w:t>je dle přílohy č. 1:</w:t>
      </w:r>
    </w:p>
    <w:p w14:paraId="61FD6488" w14:textId="26D8C111" w:rsidR="002559D2" w:rsidRPr="00E41BD4" w:rsidRDefault="00A66783" w:rsidP="00857DF6">
      <w:pPr>
        <w:pStyle w:val="Zkladntext"/>
        <w:ind w:left="720"/>
        <w:jc w:val="both"/>
        <w:rPr>
          <w:b/>
          <w:bCs/>
          <w:iCs/>
          <w:sz w:val="22"/>
          <w:szCs w:val="22"/>
        </w:rPr>
      </w:pPr>
      <w:r>
        <w:rPr>
          <w:b/>
          <w:bCs/>
          <w:iCs/>
          <w:sz w:val="22"/>
          <w:szCs w:val="22"/>
        </w:rPr>
        <w:t>103 755,00</w:t>
      </w:r>
      <w:r w:rsidR="002559D2" w:rsidRPr="00152B66">
        <w:rPr>
          <w:b/>
          <w:bCs/>
          <w:iCs/>
          <w:sz w:val="22"/>
          <w:szCs w:val="22"/>
        </w:rPr>
        <w:t> Kč bez DPH</w:t>
      </w:r>
      <w:r w:rsidR="00463747">
        <w:rPr>
          <w:b/>
          <w:bCs/>
          <w:iCs/>
          <w:sz w:val="22"/>
          <w:szCs w:val="22"/>
        </w:rPr>
        <w:t>,</w:t>
      </w:r>
      <w:r w:rsidR="002559D2" w:rsidRPr="00152B66">
        <w:rPr>
          <w:sz w:val="22"/>
          <w:szCs w:val="22"/>
        </w:rPr>
        <w:t xml:space="preserve"> </w:t>
      </w:r>
    </w:p>
    <w:p w14:paraId="5106B35D" w14:textId="6C523530" w:rsidR="002559D2" w:rsidRPr="002559D2" w:rsidRDefault="002559D2" w:rsidP="00857DF6">
      <w:pPr>
        <w:pStyle w:val="Zkladntext"/>
        <w:ind w:firstLine="709"/>
        <w:jc w:val="both"/>
        <w:rPr>
          <w:sz w:val="22"/>
          <w:szCs w:val="22"/>
        </w:rPr>
      </w:pPr>
      <w:r w:rsidRPr="00152B66">
        <w:rPr>
          <w:sz w:val="22"/>
          <w:szCs w:val="22"/>
        </w:rPr>
        <w:t xml:space="preserve">sazba </w:t>
      </w:r>
      <w:r w:rsidRPr="002559D2">
        <w:rPr>
          <w:sz w:val="22"/>
          <w:szCs w:val="22"/>
        </w:rPr>
        <w:t xml:space="preserve">DPH </w:t>
      </w:r>
      <w:r w:rsidR="00A66783">
        <w:rPr>
          <w:sz w:val="22"/>
          <w:szCs w:val="22"/>
        </w:rPr>
        <w:t>12</w:t>
      </w:r>
      <w:r w:rsidRPr="002559D2">
        <w:rPr>
          <w:sz w:val="22"/>
          <w:szCs w:val="22"/>
        </w:rPr>
        <w:t xml:space="preserve"> %.</w:t>
      </w:r>
    </w:p>
    <w:p w14:paraId="5C12001A" w14:textId="77777777" w:rsidR="00E41BD4" w:rsidRPr="00E41BD4" w:rsidRDefault="002559D2" w:rsidP="00857DF6">
      <w:pPr>
        <w:pStyle w:val="Zkladntext"/>
        <w:numPr>
          <w:ilvl w:val="0"/>
          <w:numId w:val="23"/>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0DFBAF1B" w:rsidR="002559D2" w:rsidRPr="00463747" w:rsidRDefault="00CC2A5B" w:rsidP="00857DF6">
      <w:pPr>
        <w:pStyle w:val="Zkladntext"/>
        <w:ind w:left="720"/>
        <w:jc w:val="both"/>
        <w:rPr>
          <w:i/>
          <w:iCs/>
          <w:color w:val="FF0000"/>
          <w:sz w:val="22"/>
          <w:szCs w:val="22"/>
        </w:rPr>
      </w:pPr>
      <w:r>
        <w:rPr>
          <w:b/>
          <w:sz w:val="22"/>
          <w:szCs w:val="22"/>
        </w:rPr>
        <w:t>150 000</w:t>
      </w:r>
      <w:r w:rsidR="002559D2" w:rsidRPr="002559D2">
        <w:rPr>
          <w:b/>
          <w:sz w:val="22"/>
          <w:szCs w:val="22"/>
        </w:rPr>
        <w:t xml:space="preserve"> Kč bez DPH</w:t>
      </w:r>
      <w:r>
        <w:rPr>
          <w:b/>
          <w:sz w:val="22"/>
          <w:szCs w:val="22"/>
        </w:rPr>
        <w:t>.</w:t>
      </w:r>
      <w:r w:rsidR="002559D2" w:rsidRPr="002559D2">
        <w:rPr>
          <w:sz w:val="22"/>
          <w:szCs w:val="22"/>
        </w:rPr>
        <w:tab/>
      </w:r>
    </w:p>
    <w:p w14:paraId="04443E00" w14:textId="77777777" w:rsidR="002559D2" w:rsidRDefault="002559D2" w:rsidP="00857DF6">
      <w:pPr>
        <w:pStyle w:val="Zkladntext"/>
        <w:numPr>
          <w:ilvl w:val="0"/>
          <w:numId w:val="5"/>
        </w:numPr>
        <w:ind w:left="284" w:hanging="284"/>
        <w:jc w:val="both"/>
        <w:rPr>
          <w:sz w:val="22"/>
          <w:szCs w:val="22"/>
        </w:rPr>
      </w:pPr>
      <w:bookmarkStart w:id="0" w:name="_Hlk180046450"/>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857DF6">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2D634DE" w14:textId="5523476C" w:rsidR="00FF6C89" w:rsidRPr="00773F14" w:rsidRDefault="002559D2" w:rsidP="00857DF6">
      <w:pPr>
        <w:pStyle w:val="Bezmezer"/>
        <w:numPr>
          <w:ilvl w:val="0"/>
          <w:numId w:val="4"/>
        </w:numPr>
        <w:tabs>
          <w:tab w:val="left" w:pos="2268"/>
        </w:tabs>
        <w:spacing w:after="120"/>
        <w:jc w:val="both"/>
        <w:rPr>
          <w:sz w:val="22"/>
          <w:szCs w:val="22"/>
        </w:rPr>
      </w:pPr>
      <w:r w:rsidRPr="00773F14">
        <w:rPr>
          <w:sz w:val="22"/>
          <w:szCs w:val="22"/>
        </w:rPr>
        <w:t>změny výše zákonné sazby DPH, účinností takové úpravy se cena za dodávky včetně DPH upravuje dle příslušné sazby DPH – v tomto případě není nutné uzavírat dodatek této Smlouvy</w:t>
      </w:r>
    </w:p>
    <w:p w14:paraId="50CD2B11" w14:textId="6B2164C8" w:rsidR="00773F14" w:rsidRPr="00773F14" w:rsidRDefault="00773F14" w:rsidP="00857DF6">
      <w:pPr>
        <w:pStyle w:val="Bezmezer"/>
        <w:numPr>
          <w:ilvl w:val="0"/>
          <w:numId w:val="4"/>
        </w:numPr>
        <w:tabs>
          <w:tab w:val="left" w:pos="2268"/>
        </w:tabs>
        <w:spacing w:after="120"/>
        <w:jc w:val="both"/>
        <w:rPr>
          <w:szCs w:val="22"/>
        </w:rPr>
      </w:pPr>
      <w:r w:rsidRPr="00773F14">
        <w:rPr>
          <w:color w:val="222222"/>
          <w:sz w:val="22"/>
          <w:szCs w:val="20"/>
          <w:shd w:val="clear" w:color="auto" w:fill="FFFFFF"/>
        </w:rPr>
        <w:t>že průměrná roční míra inflace za předchozí kalendářní rok zjištěná ze zprávy Českého statistického úřadu bude více než 3 %</w:t>
      </w:r>
    </w:p>
    <w:p w14:paraId="19493C20" w14:textId="77777777" w:rsidR="002559D2" w:rsidRDefault="002559D2" w:rsidP="00857DF6">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857DF6">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lastRenderedPageBreak/>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441246E1" w:rsidR="00C44B34" w:rsidRPr="00631307"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9" w:history="1">
        <w:hyperlink r:id="rId10" w:history="1">
          <w:r w:rsidR="00631307" w:rsidRPr="00631307">
            <w:rPr>
              <w:rStyle w:val="Hypertextovodkaz"/>
              <w:color w:val="000000" w:themeColor="text1"/>
              <w:sz w:val="22"/>
              <w:szCs w:val="22"/>
            </w:rPr>
            <w:t>lekarna@pld.cz</w:t>
          </w:r>
        </w:hyperlink>
      </w:hyperlink>
      <w:r w:rsidR="00631307" w:rsidRPr="00631307">
        <w:rPr>
          <w:sz w:val="22"/>
          <w:szCs w:val="22"/>
          <w:u w:val="single"/>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11879452" w14:textId="5C5FD548" w:rsidR="00631307" w:rsidRPr="00631307" w:rsidRDefault="00631307" w:rsidP="00631307">
      <w:pPr>
        <w:pStyle w:val="AOdstavec"/>
        <w:numPr>
          <w:ilvl w:val="0"/>
          <w:numId w:val="5"/>
        </w:numPr>
        <w:spacing w:after="120"/>
        <w:ind w:left="284"/>
        <w:rPr>
          <w:rFonts w:cs="Times New Roman"/>
          <w:b/>
          <w:sz w:val="22"/>
          <w:szCs w:val="22"/>
        </w:rPr>
      </w:pPr>
      <w:r w:rsidRPr="00607A49">
        <w:rPr>
          <w:rFonts w:cs="Times New Roman"/>
          <w:b/>
          <w:sz w:val="22"/>
          <w:szCs w:val="22"/>
        </w:rPr>
        <w:t>Faktura musí, kromě náležitostí stanovených obecně závaznými právními předpisy, obsahovat interní č</w:t>
      </w:r>
      <w:r w:rsidRPr="00607A49">
        <w:rPr>
          <w:b/>
          <w:sz w:val="22"/>
          <w:szCs w:val="22"/>
        </w:rPr>
        <w:t>íslo veřejné zakázky: PR</w:t>
      </w:r>
      <w:r w:rsidR="008538FE">
        <w:rPr>
          <w:b/>
          <w:sz w:val="22"/>
          <w:szCs w:val="22"/>
        </w:rPr>
        <w:t>52</w:t>
      </w:r>
      <w:r w:rsidRPr="00607A49">
        <w:rPr>
          <w:b/>
          <w:sz w:val="22"/>
          <w:szCs w:val="22"/>
        </w:rPr>
        <w:t>-2025-LEK</w:t>
      </w:r>
      <w:r>
        <w:rPr>
          <w:b/>
          <w:sz w:val="22"/>
          <w:szCs w:val="22"/>
        </w:rPr>
        <w:t>.</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5E581ECB" w:rsidR="002559D2" w:rsidRPr="00C97065" w:rsidRDefault="00C97065" w:rsidP="00C97065">
      <w:pPr>
        <w:pStyle w:val="Odstavecseseznamem"/>
        <w:numPr>
          <w:ilvl w:val="0"/>
          <w:numId w:val="22"/>
        </w:numPr>
        <w:ind w:left="284"/>
        <w:jc w:val="both"/>
        <w:rPr>
          <w:sz w:val="22"/>
          <w:szCs w:val="22"/>
        </w:rPr>
      </w:pPr>
      <w:bookmarkStart w:id="3" w:name="_Hlk180046661"/>
      <w:r w:rsidRPr="00C97065">
        <w:rPr>
          <w:sz w:val="22"/>
          <w:szCs w:val="22"/>
        </w:rPr>
        <w:t>Kupující bude činit objednávky centrálně prostřednictvím své lékárny</w:t>
      </w:r>
      <w:r w:rsidR="0058510C">
        <w:rPr>
          <w:sz w:val="22"/>
          <w:szCs w:val="22"/>
        </w:rPr>
        <w:t xml:space="preserve">. </w:t>
      </w:r>
      <w:r w:rsidRPr="00C97065">
        <w:rPr>
          <w:sz w:val="22"/>
          <w:szCs w:val="22"/>
        </w:rPr>
        <w:t xml:space="preserve">Prodávající je povinen dodat kupujícímu zboží do </w:t>
      </w:r>
      <w:r w:rsidR="002D7157">
        <w:rPr>
          <w:sz w:val="22"/>
          <w:szCs w:val="22"/>
        </w:rPr>
        <w:t>3</w:t>
      </w:r>
      <w:r w:rsidRPr="00C97065">
        <w:rPr>
          <w:sz w:val="22"/>
          <w:szCs w:val="22"/>
        </w:rPr>
        <w:t xml:space="preserve"> </w:t>
      </w:r>
      <w:r w:rsidR="00BA4FD7">
        <w:rPr>
          <w:sz w:val="22"/>
          <w:szCs w:val="22"/>
        </w:rPr>
        <w:t>pracovních dnů</w:t>
      </w:r>
      <w:r w:rsidRPr="00C97065">
        <w:rPr>
          <w:sz w:val="22"/>
          <w:szCs w:val="22"/>
        </w:rPr>
        <w:t xml:space="preserve"> od potvrzení objednávky. </w:t>
      </w:r>
      <w:r w:rsidR="0058510C">
        <w:rPr>
          <w:bCs/>
          <w:iCs/>
          <w:sz w:val="22"/>
          <w:szCs w:val="22"/>
        </w:rPr>
        <w:t xml:space="preserve">Místem plnění je lékárna </w:t>
      </w:r>
      <w:proofErr w:type="spellStart"/>
      <w:r w:rsidR="0058510C">
        <w:rPr>
          <w:bCs/>
          <w:iCs/>
          <w:sz w:val="22"/>
          <w:szCs w:val="22"/>
        </w:rPr>
        <w:t>PNvD</w:t>
      </w:r>
      <w:proofErr w:type="spellEnd"/>
      <w:r w:rsidR="0058510C">
        <w:rPr>
          <w:bCs/>
          <w:iCs/>
          <w:sz w:val="22"/>
          <w:szCs w:val="22"/>
        </w:rPr>
        <w:t xml:space="preserve"> v rámci shora uvedeného sídla kupujícího.</w:t>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857DF6">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EE7BAC2" w:rsidR="00C44B34" w:rsidRDefault="00C44B34" w:rsidP="00857DF6">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Pr>
          <w:sz w:val="22"/>
          <w:szCs w:val="22"/>
        </w:rPr>
        <w:t>.</w:t>
      </w:r>
    </w:p>
    <w:p w14:paraId="466D1170" w14:textId="49063991" w:rsidR="002559D2" w:rsidRPr="005A45E2" w:rsidRDefault="00C44B34" w:rsidP="008538FE">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857DF6">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C97065">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539E9FD" w14:textId="77777777" w:rsidR="00C97065" w:rsidRDefault="00C97065" w:rsidP="00C97065">
      <w:pPr>
        <w:rPr>
          <w:b/>
          <w:bCs/>
          <w:sz w:val="22"/>
          <w:szCs w:val="22"/>
        </w:rPr>
      </w:pPr>
    </w:p>
    <w:p w14:paraId="187D43AE" w14:textId="57BD5385" w:rsidR="002559D2" w:rsidRPr="00BD5ED9" w:rsidRDefault="002559D2" w:rsidP="00C97065">
      <w:pPr>
        <w:rPr>
          <w:sz w:val="22"/>
          <w:szCs w:val="22"/>
        </w:rPr>
      </w:pP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Default="002559D2" w:rsidP="002559D2">
      <w:pPr>
        <w:pStyle w:val="Styl"/>
        <w:spacing w:after="120"/>
        <w:jc w:val="center"/>
        <w:rPr>
          <w:b/>
          <w:sz w:val="22"/>
          <w:szCs w:val="22"/>
        </w:rPr>
      </w:pPr>
      <w:r w:rsidRPr="00152B66">
        <w:rPr>
          <w:b/>
          <w:sz w:val="22"/>
          <w:szCs w:val="22"/>
        </w:rPr>
        <w:t xml:space="preserve">Součinnost a vzájemná komunikace  </w:t>
      </w:r>
    </w:p>
    <w:p w14:paraId="3779F4AB" w14:textId="24C11169" w:rsidR="00C44B34" w:rsidRDefault="00C44B34" w:rsidP="00857DF6">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857DF6">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857DF6">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857DF6">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857DF6">
      <w:pPr>
        <w:spacing w:after="120"/>
        <w:jc w:val="both"/>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6B55076" w:rsidR="002559D2" w:rsidRDefault="002559D2" w:rsidP="00857DF6">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w:t>
      </w:r>
      <w:r w:rsidR="002B2952">
        <w:rPr>
          <w:color w:val="222222"/>
          <w:sz w:val="22"/>
          <w:szCs w:val="22"/>
          <w:shd w:val="clear" w:color="auto" w:fill="FFFFFF"/>
        </w:rPr>
        <w:t>dvou</w:t>
      </w:r>
      <w:r w:rsidR="00C97065">
        <w:rPr>
          <w:color w:val="222222"/>
          <w:sz w:val="22"/>
          <w:szCs w:val="22"/>
          <w:shd w:val="clear" w:color="auto" w:fill="FFFFFF"/>
        </w:rPr>
        <w:t xml:space="preserve"> (</w:t>
      </w:r>
      <w:r w:rsidR="002B2952">
        <w:rPr>
          <w:color w:val="222222"/>
          <w:sz w:val="22"/>
          <w:szCs w:val="22"/>
          <w:shd w:val="clear" w:color="auto" w:fill="FFFFFF"/>
        </w:rPr>
        <w:t>2</w:t>
      </w:r>
      <w:r w:rsidR="00C97065">
        <w:rPr>
          <w:color w:val="222222"/>
          <w:sz w:val="22"/>
          <w:szCs w:val="22"/>
          <w:shd w:val="clear" w:color="auto" w:fill="FFFFFF"/>
        </w:rPr>
        <w:t>) let o</w:t>
      </w:r>
      <w:r w:rsidRPr="00DE35CF">
        <w:rPr>
          <w:color w:val="222222"/>
          <w:sz w:val="22"/>
          <w:szCs w:val="22"/>
          <w:shd w:val="clear" w:color="auto" w:fill="FFFFFF"/>
        </w:rPr>
        <w:t>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0B23FF2D"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CB0E47">
        <w:rPr>
          <w:sz w:val="22"/>
          <w:szCs w:val="22"/>
        </w:rPr>
        <w:t>.</w:t>
      </w:r>
    </w:p>
    <w:p w14:paraId="0AF69192" w14:textId="40198A21"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bookmarkEnd w:id="4"/>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lastRenderedPageBreak/>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60B5A895"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w:t>
      </w:r>
      <w:r w:rsidR="002D7157">
        <w:rPr>
          <w:sz w:val="22"/>
          <w:szCs w:val="22"/>
        </w:rPr>
        <w:t>,</w:t>
      </w:r>
      <w:r w:rsidRPr="00152B66">
        <w:rPr>
          <w:sz w:val="22"/>
          <w:szCs w:val="22"/>
        </w:rPr>
        <w:t xml:space="preserve">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6A8B9122" w14:textId="066E05A3" w:rsidR="004C5D6E" w:rsidRPr="00152B66" w:rsidRDefault="002559D2" w:rsidP="002559D2">
      <w:pPr>
        <w:spacing w:after="120"/>
        <w:rPr>
          <w:b/>
          <w:sz w:val="22"/>
          <w:szCs w:val="22"/>
        </w:rPr>
      </w:pPr>
      <w:r w:rsidRPr="00152B66">
        <w:rPr>
          <w:b/>
          <w:sz w:val="22"/>
          <w:szCs w:val="22"/>
        </w:rPr>
        <w:t>Příloha:</w:t>
      </w:r>
    </w:p>
    <w:p w14:paraId="40E95D35" w14:textId="4F4168CB"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 xml:space="preserve">Specifikace předmětu plnění </w:t>
      </w:r>
      <w:r w:rsidR="00F4448D">
        <w:rPr>
          <w:noProof/>
          <w:color w:val="000000" w:themeColor="text1"/>
          <w:sz w:val="22"/>
          <w:szCs w:val="22"/>
        </w:rPr>
        <w:t>vč. nabídkové ceny</w:t>
      </w:r>
    </w:p>
    <w:p w14:paraId="53A99990" w14:textId="45DAF703" w:rsidR="002559D2" w:rsidRDefault="002559D2" w:rsidP="002559D2">
      <w:pPr>
        <w:pStyle w:val="Styl"/>
        <w:spacing w:after="120"/>
        <w:rPr>
          <w:color w:val="000000"/>
          <w:sz w:val="14"/>
          <w:szCs w:val="22"/>
        </w:rPr>
      </w:pPr>
    </w:p>
    <w:p w14:paraId="7C42FBCA" w14:textId="30C25C16" w:rsidR="00E90772" w:rsidRDefault="00E90772" w:rsidP="002559D2">
      <w:pPr>
        <w:pStyle w:val="Styl"/>
        <w:spacing w:after="120"/>
        <w:rPr>
          <w:color w:val="000000"/>
          <w:sz w:val="14"/>
          <w:szCs w:val="22"/>
        </w:rPr>
      </w:pPr>
    </w:p>
    <w:p w14:paraId="2B537A75" w14:textId="3C8D9267" w:rsidR="00E90772" w:rsidRDefault="00E90772" w:rsidP="002559D2">
      <w:pPr>
        <w:pStyle w:val="Styl"/>
        <w:spacing w:after="120"/>
        <w:rPr>
          <w:color w:val="000000"/>
          <w:sz w:val="14"/>
          <w:szCs w:val="22"/>
        </w:rPr>
      </w:pPr>
    </w:p>
    <w:p w14:paraId="1E36403A" w14:textId="77777777" w:rsidR="00E90772" w:rsidRPr="00B87A05" w:rsidRDefault="00E90772" w:rsidP="002559D2">
      <w:pPr>
        <w:pStyle w:val="Styl"/>
        <w:spacing w:after="120"/>
        <w:rPr>
          <w:color w:val="000000"/>
          <w:sz w:val="14"/>
          <w:szCs w:val="22"/>
        </w:rPr>
      </w:pPr>
    </w:p>
    <w:p w14:paraId="2C7504F4" w14:textId="796EA91C"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055DC7">
        <w:rPr>
          <w:color w:val="000000"/>
          <w:sz w:val="22"/>
          <w:szCs w:val="22"/>
        </w:rPr>
        <w:t>5.11.2025</w:t>
      </w:r>
      <w:r w:rsidRPr="00152B66">
        <w:rPr>
          <w:color w:val="000000"/>
          <w:sz w:val="22"/>
          <w:szCs w:val="22"/>
        </w:rPr>
        <w:tab/>
      </w:r>
      <w:r w:rsidRPr="00152B66">
        <w:rPr>
          <w:color w:val="000000"/>
          <w:sz w:val="22"/>
          <w:szCs w:val="22"/>
        </w:rPr>
        <w:tab/>
      </w:r>
      <w:r w:rsidRPr="00152B66">
        <w:rPr>
          <w:color w:val="000000"/>
          <w:sz w:val="22"/>
          <w:szCs w:val="22"/>
        </w:rPr>
        <w:tab/>
      </w:r>
      <w:r w:rsidR="00055DC7">
        <w:rPr>
          <w:color w:val="000000"/>
          <w:sz w:val="22"/>
          <w:szCs w:val="22"/>
        </w:rPr>
        <w:tab/>
      </w:r>
      <w:r w:rsidRPr="00152B66">
        <w:rPr>
          <w:color w:val="000000"/>
          <w:sz w:val="22"/>
          <w:szCs w:val="22"/>
        </w:rPr>
        <w:t>V </w:t>
      </w:r>
      <w:r w:rsidR="001E5885">
        <w:rPr>
          <w:color w:val="000000"/>
          <w:sz w:val="22"/>
          <w:szCs w:val="22"/>
        </w:rPr>
        <w:t>Ostravě</w:t>
      </w:r>
      <w:r w:rsidRPr="00152B66">
        <w:rPr>
          <w:color w:val="000000"/>
          <w:sz w:val="22"/>
          <w:szCs w:val="22"/>
        </w:rPr>
        <w:t xml:space="preserve"> dne </w:t>
      </w:r>
      <w:r w:rsidR="00055DC7">
        <w:rPr>
          <w:color w:val="000000"/>
          <w:sz w:val="22"/>
          <w:szCs w:val="22"/>
        </w:rPr>
        <w:t>4.11.2025</w:t>
      </w:r>
    </w:p>
    <w:p w14:paraId="204BBDBD" w14:textId="7CA6E451" w:rsidR="002559D2" w:rsidRDefault="002559D2" w:rsidP="002559D2">
      <w:pPr>
        <w:pStyle w:val="Styl"/>
        <w:spacing w:after="120"/>
        <w:rPr>
          <w:color w:val="000000"/>
          <w:sz w:val="16"/>
          <w:szCs w:val="22"/>
        </w:rPr>
      </w:pPr>
    </w:p>
    <w:p w14:paraId="2991E2E0" w14:textId="77777777" w:rsidR="00CB0E47" w:rsidRPr="00B87A05" w:rsidRDefault="00CB0E47"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F011199" w:rsidR="002559D2" w:rsidRDefault="002559D2" w:rsidP="002559D2">
      <w:pPr>
        <w:pStyle w:val="Styl"/>
        <w:spacing w:after="120"/>
        <w:rPr>
          <w:color w:val="000000"/>
          <w:sz w:val="32"/>
          <w:szCs w:val="22"/>
        </w:rPr>
      </w:pPr>
    </w:p>
    <w:p w14:paraId="51360350" w14:textId="77777777" w:rsidR="00CB0E47" w:rsidRPr="00B87A05" w:rsidRDefault="00CB0E47"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57050AC3" w14:textId="255A9BCC" w:rsidR="002559D2" w:rsidRPr="00152B66" w:rsidRDefault="002559D2" w:rsidP="002559D2">
      <w:pPr>
        <w:pStyle w:val="Styl"/>
        <w:tabs>
          <w:tab w:val="center" w:pos="2268"/>
          <w:tab w:val="left" w:pos="5812"/>
          <w:tab w:val="center" w:pos="7371"/>
        </w:tabs>
        <w:ind w:left="425" w:hanging="425"/>
        <w:rPr>
          <w:b/>
          <w:sz w:val="22"/>
          <w:szCs w:val="22"/>
        </w:rPr>
      </w:pPr>
      <w:r w:rsidRPr="00152B66">
        <w:rPr>
          <w:sz w:val="22"/>
          <w:szCs w:val="22"/>
        </w:rPr>
        <w:t xml:space="preserve">         </w:t>
      </w:r>
    </w:p>
    <w:p w14:paraId="777AAEC2" w14:textId="094D6A4A" w:rsidR="002559D2" w:rsidRPr="00152B66" w:rsidRDefault="002559D2" w:rsidP="00602A44">
      <w:pPr>
        <w:pStyle w:val="Styl"/>
        <w:tabs>
          <w:tab w:val="center" w:pos="2268"/>
          <w:tab w:val="center" w:pos="595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602A44">
        <w:rPr>
          <w:color w:val="000000"/>
          <w:sz w:val="22"/>
          <w:szCs w:val="22"/>
        </w:rPr>
        <w:tab/>
      </w:r>
      <w:r w:rsidR="001E5885">
        <w:rPr>
          <w:color w:val="000000"/>
          <w:sz w:val="22"/>
          <w:szCs w:val="22"/>
        </w:rPr>
        <w:t xml:space="preserve">                         prokura</w:t>
      </w:r>
    </w:p>
    <w:p w14:paraId="388F331A" w14:textId="77777777"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t xml:space="preserve">     </w:t>
      </w:r>
    </w:p>
    <w:p w14:paraId="68A83234" w14:textId="77777777" w:rsidR="00970AC1" w:rsidRDefault="00970AC1"/>
    <w:sectPr w:rsidR="00970AC1" w:rsidSect="00C14382">
      <w:footerReference w:type="default" r:id="rId11"/>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802A" w14:textId="77777777" w:rsidR="00177013" w:rsidRDefault="00177013">
      <w:r>
        <w:separator/>
      </w:r>
    </w:p>
  </w:endnote>
  <w:endnote w:type="continuationSeparator" w:id="0">
    <w:p w14:paraId="54BC0771" w14:textId="77777777" w:rsidR="00177013" w:rsidRDefault="0017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0A557D"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0A557D" w:rsidRDefault="000A55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6A65" w14:textId="77777777" w:rsidR="00177013" w:rsidRDefault="00177013">
      <w:r>
        <w:separator/>
      </w:r>
    </w:p>
  </w:footnote>
  <w:footnote w:type="continuationSeparator" w:id="0">
    <w:p w14:paraId="19587152" w14:textId="77777777" w:rsidR="00177013" w:rsidRDefault="00177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D25A0"/>
    <w:multiLevelType w:val="hybridMultilevel"/>
    <w:tmpl w:val="FC8C1964"/>
    <w:lvl w:ilvl="0" w:tplc="68306924">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982780602">
    <w:abstractNumId w:val="5"/>
  </w:num>
  <w:num w:numId="2" w16cid:durableId="283078976">
    <w:abstractNumId w:val="0"/>
  </w:num>
  <w:num w:numId="3" w16cid:durableId="380176308">
    <w:abstractNumId w:val="13"/>
  </w:num>
  <w:num w:numId="4" w16cid:durableId="356778738">
    <w:abstractNumId w:val="21"/>
  </w:num>
  <w:num w:numId="5" w16cid:durableId="1647321335">
    <w:abstractNumId w:val="16"/>
  </w:num>
  <w:num w:numId="6" w16cid:durableId="1380862295">
    <w:abstractNumId w:val="14"/>
  </w:num>
  <w:num w:numId="7" w16cid:durableId="141775887">
    <w:abstractNumId w:val="6"/>
  </w:num>
  <w:num w:numId="8" w16cid:durableId="1971520759">
    <w:abstractNumId w:val="3"/>
  </w:num>
  <w:num w:numId="9" w16cid:durableId="1895459081">
    <w:abstractNumId w:val="20"/>
  </w:num>
  <w:num w:numId="10" w16cid:durableId="1715617156">
    <w:abstractNumId w:val="9"/>
  </w:num>
  <w:num w:numId="11" w16cid:durableId="628050145">
    <w:abstractNumId w:val="10"/>
  </w:num>
  <w:num w:numId="12" w16cid:durableId="205068346">
    <w:abstractNumId w:val="15"/>
  </w:num>
  <w:num w:numId="13" w16cid:durableId="1123764817">
    <w:abstractNumId w:val="4"/>
  </w:num>
  <w:num w:numId="14" w16cid:durableId="1205950333">
    <w:abstractNumId w:val="18"/>
  </w:num>
  <w:num w:numId="15" w16cid:durableId="1006983973">
    <w:abstractNumId w:val="7"/>
  </w:num>
  <w:num w:numId="16" w16cid:durableId="869223607">
    <w:abstractNumId w:val="12"/>
  </w:num>
  <w:num w:numId="17" w16cid:durableId="739328487">
    <w:abstractNumId w:val="11"/>
  </w:num>
  <w:num w:numId="18" w16cid:durableId="2033726703">
    <w:abstractNumId w:val="1"/>
  </w:num>
  <w:num w:numId="19" w16cid:durableId="1793942909">
    <w:abstractNumId w:val="17"/>
  </w:num>
  <w:num w:numId="20" w16cid:durableId="1028749862">
    <w:abstractNumId w:val="2"/>
  </w:num>
  <w:num w:numId="21" w16cid:durableId="476537516">
    <w:abstractNumId w:val="19"/>
  </w:num>
  <w:num w:numId="22" w16cid:durableId="161747500">
    <w:abstractNumId w:val="8"/>
  </w:num>
  <w:num w:numId="23" w16cid:durableId="1911867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55DC7"/>
    <w:rsid w:val="000A4573"/>
    <w:rsid w:val="000A557D"/>
    <w:rsid w:val="001230BC"/>
    <w:rsid w:val="00177013"/>
    <w:rsid w:val="001A742E"/>
    <w:rsid w:val="001E5885"/>
    <w:rsid w:val="00203E19"/>
    <w:rsid w:val="002559D2"/>
    <w:rsid w:val="00282250"/>
    <w:rsid w:val="002843D9"/>
    <w:rsid w:val="002B2952"/>
    <w:rsid w:val="002D7157"/>
    <w:rsid w:val="00300523"/>
    <w:rsid w:val="003245B3"/>
    <w:rsid w:val="00326C62"/>
    <w:rsid w:val="00363EC5"/>
    <w:rsid w:val="004375F4"/>
    <w:rsid w:val="004503BB"/>
    <w:rsid w:val="00463747"/>
    <w:rsid w:val="004C5D6E"/>
    <w:rsid w:val="00502A91"/>
    <w:rsid w:val="0058510C"/>
    <w:rsid w:val="005D426D"/>
    <w:rsid w:val="005E7C63"/>
    <w:rsid w:val="00602A44"/>
    <w:rsid w:val="00606F59"/>
    <w:rsid w:val="00631307"/>
    <w:rsid w:val="00773F14"/>
    <w:rsid w:val="00790AC5"/>
    <w:rsid w:val="007E3012"/>
    <w:rsid w:val="00803DF4"/>
    <w:rsid w:val="008538FE"/>
    <w:rsid w:val="00857DF6"/>
    <w:rsid w:val="00877929"/>
    <w:rsid w:val="00970AC1"/>
    <w:rsid w:val="009770A2"/>
    <w:rsid w:val="009A3668"/>
    <w:rsid w:val="00A66783"/>
    <w:rsid w:val="00AB4863"/>
    <w:rsid w:val="00B23E7C"/>
    <w:rsid w:val="00B452FE"/>
    <w:rsid w:val="00BA4FD7"/>
    <w:rsid w:val="00BC49B2"/>
    <w:rsid w:val="00BE08DA"/>
    <w:rsid w:val="00C23A63"/>
    <w:rsid w:val="00C44B34"/>
    <w:rsid w:val="00C84E6B"/>
    <w:rsid w:val="00C97065"/>
    <w:rsid w:val="00C97AE7"/>
    <w:rsid w:val="00CB0E47"/>
    <w:rsid w:val="00CC2A5B"/>
    <w:rsid w:val="00D1545F"/>
    <w:rsid w:val="00D45F43"/>
    <w:rsid w:val="00D67327"/>
    <w:rsid w:val="00D83C91"/>
    <w:rsid w:val="00DC6781"/>
    <w:rsid w:val="00DF27DE"/>
    <w:rsid w:val="00E26769"/>
    <w:rsid w:val="00E41BD4"/>
    <w:rsid w:val="00E8495A"/>
    <w:rsid w:val="00E90772"/>
    <w:rsid w:val="00EA613A"/>
    <w:rsid w:val="00EC2ABE"/>
    <w:rsid w:val="00EC46C8"/>
    <w:rsid w:val="00F4448D"/>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656">
      <w:bodyDiv w:val="1"/>
      <w:marLeft w:val="0"/>
      <w:marRight w:val="0"/>
      <w:marTop w:val="0"/>
      <w:marBottom w:val="0"/>
      <w:divBdr>
        <w:top w:val="none" w:sz="0" w:space="0" w:color="auto"/>
        <w:left w:val="none" w:sz="0" w:space="0" w:color="auto"/>
        <w:bottom w:val="none" w:sz="0" w:space="0" w:color="auto"/>
        <w:right w:val="none" w:sz="0" w:space="0" w:color="auto"/>
      </w:divBdr>
    </w:div>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karna@pld.cz" TargetMode="External"/><Relationship Id="rId4" Type="http://schemas.openxmlformats.org/officeDocument/2006/relationships/settings" Target="settings.xml"/><Relationship Id="rId9" Type="http://schemas.openxmlformats.org/officeDocument/2006/relationships/hyperlink" Target="mailto:fakturace@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59A9-330D-4DA1-A755-AB5D8F1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2575</Words>
  <Characters>15198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2025-02-10T09:16:00Z</cp:lastPrinted>
  <dcterms:created xsi:type="dcterms:W3CDTF">2025-11-06T07:53:00Z</dcterms:created>
  <dcterms:modified xsi:type="dcterms:W3CDTF">2025-11-06T07:54:00Z</dcterms:modified>
</cp:coreProperties>
</file>