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5C764" w14:textId="77777777" w:rsidR="000A3A62" w:rsidRDefault="000A3A62" w:rsidP="00A704C3">
      <w:pPr>
        <w:jc w:val="center"/>
        <w:rPr>
          <w:rStyle w:val="Siln"/>
        </w:rPr>
      </w:pPr>
    </w:p>
    <w:p w14:paraId="66874617" w14:textId="77777777" w:rsidR="000A3A62" w:rsidRDefault="000A3A62" w:rsidP="00A704C3">
      <w:pPr>
        <w:jc w:val="center"/>
        <w:rPr>
          <w:rStyle w:val="Siln"/>
        </w:rPr>
      </w:pPr>
    </w:p>
    <w:p w14:paraId="7C068D49" w14:textId="02763595" w:rsidR="00A704C3" w:rsidRPr="006758DF" w:rsidRDefault="00A704C3" w:rsidP="00A704C3">
      <w:pPr>
        <w:jc w:val="center"/>
        <w:rPr>
          <w:rStyle w:val="Siln"/>
        </w:rPr>
      </w:pPr>
      <w:r w:rsidRPr="006758DF">
        <w:rPr>
          <w:rStyle w:val="Siln"/>
        </w:rPr>
        <w:t>K U P N Í  S M L O U V A</w:t>
      </w:r>
    </w:p>
    <w:p w14:paraId="22673138" w14:textId="77777777" w:rsidR="00A704C3" w:rsidRPr="006758DF" w:rsidRDefault="00A704C3" w:rsidP="00A704C3">
      <w:pPr>
        <w:jc w:val="center"/>
      </w:pPr>
      <w:r w:rsidRPr="006758DF">
        <w:t>uzavřená podle § 2079 a násl. zákona č. 89/2012 Sb., občanský zákoník, ve znění pozdějších předpisů (dále jen „občanský zákoník“)</w:t>
      </w:r>
    </w:p>
    <w:p w14:paraId="6BD7E305" w14:textId="281DD7B2" w:rsidR="00A704C3" w:rsidRPr="006758DF" w:rsidRDefault="00A704C3" w:rsidP="00A704C3">
      <w:pPr>
        <w:jc w:val="center"/>
      </w:pPr>
      <w:r w:rsidRPr="006758DF">
        <w:t>(dále jen „</w:t>
      </w:r>
      <w:r w:rsidR="000C065F" w:rsidRPr="006758DF">
        <w:t>S</w:t>
      </w:r>
      <w:r w:rsidRPr="006758DF">
        <w:t>mlouva“)</w:t>
      </w:r>
    </w:p>
    <w:p w14:paraId="542D2110" w14:textId="77777777" w:rsidR="00A704C3" w:rsidRPr="006758DF" w:rsidRDefault="00A704C3" w:rsidP="00A704C3"/>
    <w:p w14:paraId="625A5287" w14:textId="37E30AA7" w:rsidR="00A704C3" w:rsidRPr="006758DF" w:rsidRDefault="00A704C3" w:rsidP="00A704C3">
      <w:r w:rsidRPr="006758DF">
        <w:t xml:space="preserve">Číslo smlouvy Objednatele: </w:t>
      </w:r>
      <w:r w:rsidR="009E276F" w:rsidRPr="00723C7F">
        <w:t>KÚ-</w:t>
      </w:r>
      <w:r w:rsidR="00723C7F" w:rsidRPr="00723C7F">
        <w:t>15584</w:t>
      </w:r>
      <w:r w:rsidR="009E276F" w:rsidRPr="00723C7F">
        <w:t>/2025-770-01001-1</w:t>
      </w:r>
    </w:p>
    <w:p w14:paraId="3E1CFE94" w14:textId="77777777" w:rsidR="00A704C3" w:rsidRPr="006758DF" w:rsidRDefault="00A704C3" w:rsidP="00A704C3">
      <w:r w:rsidRPr="006758DF">
        <w:t xml:space="preserve">Číslo smlouvy Dodavatele: </w:t>
      </w:r>
    </w:p>
    <w:p w14:paraId="795F3F11" w14:textId="77777777" w:rsidR="00A704C3" w:rsidRPr="006758DF" w:rsidRDefault="00A704C3" w:rsidP="00A704C3"/>
    <w:p w14:paraId="56035E12" w14:textId="77777777" w:rsidR="00A704C3" w:rsidRPr="006758DF" w:rsidRDefault="00A704C3" w:rsidP="00A704C3">
      <w:r w:rsidRPr="006758DF">
        <w:t>Smluvní strany:</w:t>
      </w:r>
    </w:p>
    <w:p w14:paraId="5A3CABC8" w14:textId="77777777" w:rsidR="00A704C3" w:rsidRPr="006758DF" w:rsidRDefault="00A704C3" w:rsidP="00A704C3"/>
    <w:p w14:paraId="6497104A" w14:textId="037D3C60" w:rsidR="00A704C3" w:rsidRPr="006758DF" w:rsidRDefault="00A704C3" w:rsidP="00A704C3">
      <w:r w:rsidRPr="006758DF">
        <w:t>Dodavatel:</w:t>
      </w:r>
      <w:r w:rsidRPr="006758DF">
        <w:tab/>
      </w:r>
      <w:r w:rsidRPr="006758DF">
        <w:tab/>
      </w:r>
      <w:r w:rsidRPr="006758DF">
        <w:tab/>
      </w:r>
      <w:r w:rsidR="00470146" w:rsidRPr="006758DF">
        <w:rPr>
          <w:b/>
        </w:rPr>
        <w:t>vegler s.r.o.</w:t>
      </w:r>
    </w:p>
    <w:p w14:paraId="1258D1A9" w14:textId="4252FA30" w:rsidR="00A704C3" w:rsidRPr="006758DF" w:rsidRDefault="00A704C3" w:rsidP="00A704C3">
      <w:r w:rsidRPr="006758DF">
        <w:t>se sídlem:</w:t>
      </w:r>
      <w:r w:rsidRPr="006758DF">
        <w:tab/>
      </w:r>
      <w:r w:rsidRPr="006758DF">
        <w:tab/>
      </w:r>
      <w:r w:rsidRPr="006758DF">
        <w:tab/>
      </w:r>
      <w:r w:rsidR="00470146" w:rsidRPr="006758DF">
        <w:t>Zámostní 1155/27, 710 00 Ostrava</w:t>
      </w:r>
    </w:p>
    <w:p w14:paraId="746FEDA6" w14:textId="61AC953E" w:rsidR="00A704C3" w:rsidRPr="006758DF" w:rsidRDefault="00A704C3" w:rsidP="00A704C3">
      <w:r w:rsidRPr="006758DF">
        <w:t>IČO:</w:t>
      </w:r>
      <w:r w:rsidRPr="006758DF">
        <w:tab/>
      </w:r>
      <w:r w:rsidRPr="006758DF">
        <w:tab/>
      </w:r>
      <w:r w:rsidRPr="006758DF">
        <w:tab/>
      </w:r>
      <w:r w:rsidRPr="006758DF">
        <w:tab/>
      </w:r>
      <w:r w:rsidR="00470146" w:rsidRPr="006758DF">
        <w:t>06264352</w:t>
      </w:r>
    </w:p>
    <w:p w14:paraId="04FCEE6C" w14:textId="54C16AE1" w:rsidR="00A704C3" w:rsidRPr="006758DF" w:rsidRDefault="00A704C3" w:rsidP="00A704C3">
      <w:r w:rsidRPr="006758DF">
        <w:t>DIČ:</w:t>
      </w:r>
      <w:r w:rsidRPr="006758DF">
        <w:tab/>
      </w:r>
      <w:r w:rsidRPr="006758DF">
        <w:tab/>
      </w:r>
      <w:r w:rsidRPr="006758DF">
        <w:tab/>
      </w:r>
      <w:r w:rsidRPr="006758DF">
        <w:tab/>
      </w:r>
      <w:r w:rsidR="00470146" w:rsidRPr="006758DF">
        <w:t>CZ06264352</w:t>
      </w:r>
    </w:p>
    <w:p w14:paraId="07144E2F" w14:textId="7693848D" w:rsidR="0090496F" w:rsidRPr="006758DF" w:rsidRDefault="00A704C3" w:rsidP="00A704C3">
      <w:r w:rsidRPr="006758DF">
        <w:t>bankovní spojení:</w:t>
      </w:r>
      <w:r w:rsidRPr="006758DF">
        <w:tab/>
      </w:r>
      <w:r w:rsidRPr="006758DF">
        <w:tab/>
      </w:r>
      <w:r w:rsidR="00470146" w:rsidRPr="006758DF">
        <w:t>2201256570/</w:t>
      </w:r>
      <w:r w:rsidR="00437FD4" w:rsidRPr="006758DF">
        <w:t>2010, Fio banka, a.s.</w:t>
      </w:r>
    </w:p>
    <w:p w14:paraId="75F515FE" w14:textId="528E6CD0" w:rsidR="00A704C3" w:rsidRPr="006758DF" w:rsidRDefault="00A704C3" w:rsidP="00A704C3">
      <w:r w:rsidRPr="006758DF">
        <w:t>zastoupený:</w:t>
      </w:r>
      <w:r w:rsidRPr="006758DF">
        <w:tab/>
      </w:r>
      <w:r w:rsidRPr="006758DF">
        <w:tab/>
      </w:r>
      <w:r w:rsidRPr="006758DF">
        <w:tab/>
      </w:r>
      <w:r w:rsidR="00EA6181" w:rsidRPr="006758DF">
        <w:t>Ing. Erik Grešák, jednatel</w:t>
      </w:r>
    </w:p>
    <w:p w14:paraId="5659B72B" w14:textId="77777777" w:rsidR="00A704C3" w:rsidRPr="006758DF" w:rsidRDefault="00A704C3" w:rsidP="00A704C3"/>
    <w:p w14:paraId="4AD4DD3D" w14:textId="77777777" w:rsidR="00A704C3" w:rsidRPr="006758DF" w:rsidRDefault="00A704C3" w:rsidP="00A704C3">
      <w:r w:rsidRPr="006758DF">
        <w:t>(dále též „Dodavatel“)</w:t>
      </w:r>
    </w:p>
    <w:p w14:paraId="63384739" w14:textId="77777777" w:rsidR="00A704C3" w:rsidRPr="006758DF" w:rsidRDefault="00A704C3" w:rsidP="00A704C3">
      <w:r w:rsidRPr="006758DF">
        <w:t>na straně jedné</w:t>
      </w:r>
    </w:p>
    <w:p w14:paraId="01113C4A" w14:textId="77777777" w:rsidR="00A704C3" w:rsidRPr="006758DF" w:rsidRDefault="00A704C3" w:rsidP="00A704C3"/>
    <w:p w14:paraId="0D42898D" w14:textId="77777777" w:rsidR="00A704C3" w:rsidRPr="006758DF" w:rsidRDefault="00A704C3" w:rsidP="00A704C3">
      <w:r w:rsidRPr="006758DF">
        <w:t>a</w:t>
      </w:r>
    </w:p>
    <w:p w14:paraId="4CA38F36" w14:textId="77777777" w:rsidR="00A704C3" w:rsidRPr="006758DF" w:rsidRDefault="00A704C3" w:rsidP="00A704C3">
      <w:r w:rsidRPr="006758DF">
        <w:t xml:space="preserve"> </w:t>
      </w:r>
    </w:p>
    <w:p w14:paraId="39B9D74F" w14:textId="39522CEC" w:rsidR="00A704C3" w:rsidRPr="006758DF" w:rsidRDefault="00A704C3" w:rsidP="00A704C3">
      <w:r w:rsidRPr="006758DF">
        <w:t>Objednatel:</w:t>
      </w:r>
      <w:r w:rsidRPr="006758DF">
        <w:tab/>
      </w:r>
      <w:r w:rsidRPr="006758DF">
        <w:tab/>
      </w:r>
      <w:r w:rsidRPr="006758DF">
        <w:tab/>
      </w:r>
      <w:r w:rsidR="00BF5BC1" w:rsidRPr="009A00E4">
        <w:rPr>
          <w:b/>
          <w:bCs/>
        </w:rPr>
        <w:t>Česká republika – Katastrální úřad pro Zlínský kraj</w:t>
      </w:r>
    </w:p>
    <w:p w14:paraId="2985B4D6" w14:textId="70211030" w:rsidR="00A704C3" w:rsidRPr="006758DF" w:rsidRDefault="00A704C3" w:rsidP="00A704C3">
      <w:r w:rsidRPr="006758DF">
        <w:t>se sídlem:</w:t>
      </w:r>
      <w:r w:rsidRPr="006758DF">
        <w:tab/>
      </w:r>
      <w:r w:rsidRPr="006758DF">
        <w:tab/>
      </w:r>
      <w:r w:rsidRPr="006758DF">
        <w:tab/>
      </w:r>
      <w:r w:rsidR="00BF5BC1" w:rsidRPr="006758DF">
        <w:t>třída Tomáše Bati 1565, 760 90 Zlín</w:t>
      </w:r>
    </w:p>
    <w:p w14:paraId="097745FE" w14:textId="4953CE7C" w:rsidR="00A704C3" w:rsidRPr="006758DF" w:rsidRDefault="00A704C3" w:rsidP="00A704C3">
      <w:r w:rsidRPr="006758DF">
        <w:t>IČO:</w:t>
      </w:r>
      <w:r w:rsidRPr="006758DF">
        <w:tab/>
      </w:r>
      <w:r w:rsidRPr="006758DF">
        <w:tab/>
      </w:r>
      <w:r w:rsidRPr="006758DF">
        <w:tab/>
      </w:r>
      <w:r w:rsidRPr="006758DF">
        <w:tab/>
      </w:r>
      <w:r w:rsidR="00BF5BC1" w:rsidRPr="006758DF">
        <w:t>71185216</w:t>
      </w:r>
    </w:p>
    <w:p w14:paraId="3FC4E95B" w14:textId="504239D4" w:rsidR="00A704C3" w:rsidRPr="006758DF" w:rsidRDefault="00A704C3" w:rsidP="00A704C3">
      <w:r w:rsidRPr="006758DF">
        <w:t>jejímž jménem jedná:</w:t>
      </w:r>
      <w:r w:rsidRPr="006758DF">
        <w:tab/>
      </w:r>
      <w:r w:rsidRPr="006758DF">
        <w:tab/>
      </w:r>
      <w:r w:rsidR="00BF5BC1" w:rsidRPr="006758DF">
        <w:rPr>
          <w:rFonts w:ascii="Arial" w:hAnsi="Arial"/>
          <w:bCs/>
        </w:rPr>
        <w:t>Ing. Štěpán Forman, ředitel</w:t>
      </w:r>
    </w:p>
    <w:p w14:paraId="003917DD" w14:textId="7E903730" w:rsidR="00A704C3" w:rsidRPr="006758DF" w:rsidRDefault="00A704C3" w:rsidP="00A704C3">
      <w:r w:rsidRPr="006758DF">
        <w:t>bankovní spojení</w:t>
      </w:r>
      <w:r w:rsidRPr="006758DF">
        <w:tab/>
      </w:r>
      <w:r w:rsidRPr="006758DF">
        <w:tab/>
      </w:r>
      <w:r w:rsidR="00BF5BC1" w:rsidRPr="006758DF">
        <w:t>ČNB, číslo účtu: 32023661/0710</w:t>
      </w:r>
    </w:p>
    <w:p w14:paraId="2955178F" w14:textId="77777777" w:rsidR="00A704C3" w:rsidRPr="006758DF" w:rsidRDefault="00A704C3" w:rsidP="00A704C3"/>
    <w:p w14:paraId="40758B1D" w14:textId="77777777" w:rsidR="00A704C3" w:rsidRPr="006758DF" w:rsidRDefault="00A704C3" w:rsidP="00A704C3">
      <w:r w:rsidRPr="006758DF">
        <w:t>(dále též „Objednatel“)</w:t>
      </w:r>
    </w:p>
    <w:p w14:paraId="4916E191" w14:textId="539CAFE5" w:rsidR="00A704C3" w:rsidRPr="006758DF" w:rsidRDefault="00A704C3" w:rsidP="00A704C3">
      <w:r w:rsidRPr="006758DF">
        <w:t>na straně druhé</w:t>
      </w:r>
    </w:p>
    <w:p w14:paraId="0DD8544A" w14:textId="276FA12B" w:rsidR="00A704C3" w:rsidRPr="006758DF" w:rsidRDefault="000C065F" w:rsidP="00A704C3">
      <w:pPr>
        <w:pStyle w:val="Nadpis1"/>
        <w:ind w:left="357" w:hanging="357"/>
      </w:pPr>
      <w:r w:rsidRPr="006758DF">
        <w:t>Předmět S</w:t>
      </w:r>
      <w:r w:rsidR="00A704C3" w:rsidRPr="006758DF">
        <w:t>mlouvy</w:t>
      </w:r>
    </w:p>
    <w:p w14:paraId="3F2661D7" w14:textId="64DEEB1A" w:rsidR="00A704C3" w:rsidRPr="006758DF" w:rsidRDefault="00A704C3" w:rsidP="007378F7">
      <w:pPr>
        <w:pStyle w:val="123liststyl"/>
        <w:ind w:left="378" w:hanging="378"/>
      </w:pPr>
      <w:r w:rsidRPr="006758DF">
        <w:t xml:space="preserve">Dodavatel se tímto zavazuje objednateli dodat a zprovoznit elektronickou úřední desku </w:t>
      </w:r>
      <w:r w:rsidR="003F1820" w:rsidRPr="006758DF">
        <w:t>K</w:t>
      </w:r>
      <w:r w:rsidR="00A07352" w:rsidRPr="006758DF">
        <w:t>RAKEN</w:t>
      </w:r>
      <w:r w:rsidR="003F1820" w:rsidRPr="006758DF">
        <w:t xml:space="preserve"> 43“ včetně SW TACITUS NG </w:t>
      </w:r>
      <w:r w:rsidRPr="006758DF">
        <w:t>v</w:t>
      </w:r>
      <w:r w:rsidR="00727ECE" w:rsidRPr="006758DF">
        <w:t> </w:t>
      </w:r>
      <w:r w:rsidRPr="006758DF">
        <w:t xml:space="preserve">sídle </w:t>
      </w:r>
      <w:r w:rsidR="002F2016" w:rsidRPr="006758DF">
        <w:t>O</w:t>
      </w:r>
      <w:r w:rsidRPr="006758DF">
        <w:t xml:space="preserve">bjednatele, a dále </w:t>
      </w:r>
      <w:r w:rsidR="002F2016" w:rsidRPr="006758DF">
        <w:t>O</w:t>
      </w:r>
      <w:r w:rsidRPr="006758DF">
        <w:t xml:space="preserve">bjednateli poskytovat související služby s dodáním elektronické úřední desky související, přičemž </w:t>
      </w:r>
      <w:r w:rsidR="002F2016" w:rsidRPr="006758DF">
        <w:t>D</w:t>
      </w:r>
      <w:r w:rsidRPr="006758DF">
        <w:t>odavatel se tímto zavazuje:</w:t>
      </w:r>
    </w:p>
    <w:p w14:paraId="3E844F78" w14:textId="4A837F8E" w:rsidR="00A704C3" w:rsidRPr="006758DF" w:rsidRDefault="00A704C3" w:rsidP="00C94B0D">
      <w:pPr>
        <w:pStyle w:val="abcliststyl"/>
      </w:pPr>
      <w:r w:rsidRPr="006758DF">
        <w:t xml:space="preserve">dodat </w:t>
      </w:r>
      <w:r w:rsidR="002F2016" w:rsidRPr="006758DF">
        <w:t>O</w:t>
      </w:r>
      <w:r w:rsidRPr="006758DF">
        <w:t>bjednateli zařízení pro provoz elektronické úřední desky sestávající z</w:t>
      </w:r>
      <w:r w:rsidR="00727ECE" w:rsidRPr="006758DF">
        <w:t> </w:t>
      </w:r>
      <w:r w:rsidRPr="006758DF">
        <w:t xml:space="preserve">konstrukce, hardware (dále také jen „HW“) a software (dále jen „SW“) dle </w:t>
      </w:r>
      <w:r w:rsidRPr="006758DF">
        <w:lastRenderedPageBreak/>
        <w:t xml:space="preserve">specifikace a za podmínek stanovených v Příloze č. 1 této Smlouvy (dále jen „elektronická úřední deska“ nebo „EÚD“); </w:t>
      </w:r>
    </w:p>
    <w:p w14:paraId="74E98AAD" w14:textId="31C15A9B" w:rsidR="00A704C3" w:rsidRPr="006758DF" w:rsidRDefault="00A704C3" w:rsidP="00C94B0D">
      <w:pPr>
        <w:pStyle w:val="abcliststyl"/>
      </w:pPr>
      <w:r w:rsidRPr="006758DF">
        <w:t xml:space="preserve">dodat </w:t>
      </w:r>
      <w:r w:rsidR="002F2016" w:rsidRPr="006758DF">
        <w:t>O</w:t>
      </w:r>
      <w:r w:rsidRPr="006758DF">
        <w:t>bjednateli další potřebná zařízení a kabeláž nezbytné k provozu EÚD, tj. k</w:t>
      </w:r>
      <w:r w:rsidR="00F57907" w:rsidRPr="006758DF">
        <w:t> </w:t>
      </w:r>
      <w:r w:rsidRPr="006758DF">
        <w:t>realizaci a následnému provozu EÚD (dále jen „další prvky“);</w:t>
      </w:r>
    </w:p>
    <w:p w14:paraId="3E7A181E" w14:textId="72F842A5" w:rsidR="00A704C3" w:rsidRPr="006758DF" w:rsidRDefault="00A704C3" w:rsidP="00C94B0D">
      <w:pPr>
        <w:pStyle w:val="abcliststyl"/>
      </w:pPr>
      <w:r w:rsidRPr="006758DF">
        <w:t>provést montáž, instalaci a zprovoznění EÚD a dalších prvků, a to včetně provedení konfigurace dle specifikace a za podmínek stanovených v Příloze č. 1 této Smlouvy (dále jen „instalace a zprovoznění EÚD“);</w:t>
      </w:r>
    </w:p>
    <w:p w14:paraId="6CFC07BE" w14:textId="740AB9C0" w:rsidR="00A704C3" w:rsidRPr="006758DF" w:rsidRDefault="00A704C3" w:rsidP="00C94B0D">
      <w:pPr>
        <w:pStyle w:val="abcliststyl"/>
      </w:pPr>
      <w:r w:rsidRPr="006758DF">
        <w:t xml:space="preserve">provést zaškolení </w:t>
      </w:r>
      <w:r w:rsidR="003F1820" w:rsidRPr="006758DF">
        <w:t>2</w:t>
      </w:r>
      <w:r w:rsidRPr="006758DF">
        <w:t xml:space="preserve"> pracovníků </w:t>
      </w:r>
      <w:r w:rsidR="002F2016" w:rsidRPr="006758DF">
        <w:t>O</w:t>
      </w:r>
      <w:r w:rsidRPr="006758DF">
        <w:t>bjednatele v rozsahu 4 (slovy: čtyř) hodin k administraci obsahu a ovládání zařízení EÚD (dále jen „zaškolení“);</w:t>
      </w:r>
    </w:p>
    <w:p w14:paraId="1BC203DB" w14:textId="7A71E3ED" w:rsidR="00A704C3" w:rsidRPr="006758DF" w:rsidRDefault="00A704C3" w:rsidP="00C94B0D">
      <w:pPr>
        <w:pStyle w:val="abcliststyl"/>
      </w:pPr>
      <w:r w:rsidRPr="006758DF">
        <w:t xml:space="preserve">poskytovat </w:t>
      </w:r>
      <w:r w:rsidR="002F2016" w:rsidRPr="006758DF">
        <w:t>O</w:t>
      </w:r>
      <w:r w:rsidRPr="006758DF">
        <w:t xml:space="preserve">bjednateli </w:t>
      </w:r>
      <w:r w:rsidR="00BD6609" w:rsidRPr="006758DF">
        <w:rPr>
          <w:rFonts w:ascii="Arial" w:hAnsi="Arial" w:cs="Arial"/>
        </w:rPr>
        <w:t>záruku včetně záruční podpory po dobu 60 měsíců</w:t>
      </w:r>
      <w:r w:rsidRPr="006758DF">
        <w:t>;</w:t>
      </w:r>
    </w:p>
    <w:p w14:paraId="7D1A9789" w14:textId="3D14BEC8" w:rsidR="00A704C3" w:rsidRPr="006758DF" w:rsidRDefault="00A704C3" w:rsidP="007378F7">
      <w:pPr>
        <w:pStyle w:val="abcliststyl"/>
        <w:numPr>
          <w:ilvl w:val="0"/>
          <w:numId w:val="0"/>
        </w:numPr>
        <w:ind w:left="426"/>
      </w:pPr>
      <w:r w:rsidRPr="006758DF">
        <w:t xml:space="preserve">to vše za podmínek, ve specifikaci a v rozsahu stanoveném v této </w:t>
      </w:r>
      <w:r w:rsidR="000C065F" w:rsidRPr="006758DF">
        <w:t>S</w:t>
      </w:r>
      <w:r w:rsidRPr="006758DF">
        <w:t>mlouv</w:t>
      </w:r>
      <w:r w:rsidR="00F93644" w:rsidRPr="006758DF">
        <w:t>ě</w:t>
      </w:r>
      <w:r w:rsidR="000A0498" w:rsidRPr="006758DF">
        <w:t xml:space="preserve"> (dále jen</w:t>
      </w:r>
      <w:r w:rsidRPr="006758DF">
        <w:t xml:space="preserve"> jako </w:t>
      </w:r>
      <w:r w:rsidR="00FC0179" w:rsidRPr="006758DF">
        <w:t>„předmět plnění“ nebo</w:t>
      </w:r>
      <w:r w:rsidRPr="006758DF">
        <w:t xml:space="preserve"> „plnění“</w:t>
      </w:r>
      <w:r w:rsidR="000A0498" w:rsidRPr="006758DF">
        <w:t>)</w:t>
      </w:r>
      <w:r w:rsidRPr="006758DF">
        <w:t>.</w:t>
      </w:r>
    </w:p>
    <w:p w14:paraId="7421E3A6" w14:textId="5340971F" w:rsidR="00A704C3" w:rsidRPr="006758DF" w:rsidRDefault="00A704C3" w:rsidP="007378F7">
      <w:pPr>
        <w:pStyle w:val="123liststyl"/>
        <w:ind w:left="426" w:hanging="426"/>
      </w:pPr>
      <w:r w:rsidRPr="006758DF">
        <w:t>Objednatel se tímto zavazuje za podmínek stanovených touto Smlouvou plnění včetně průvodních dokladů převzít a zaplatit za ně Dodavateli kupní cenu stanovenou v této Smlouvě.</w:t>
      </w:r>
    </w:p>
    <w:p w14:paraId="217BDE87" w14:textId="5D9E53C8" w:rsidR="00A704C3" w:rsidRPr="006758DF" w:rsidRDefault="00A704C3" w:rsidP="007378F7">
      <w:pPr>
        <w:pStyle w:val="123liststyl"/>
        <w:ind w:left="426" w:hanging="426"/>
      </w:pPr>
      <w:r w:rsidRPr="006758DF">
        <w:t xml:space="preserve">Dodávané </w:t>
      </w:r>
      <w:r w:rsidR="009E276F" w:rsidRPr="006758DF">
        <w:t>plnění,</w:t>
      </w:r>
      <w:r w:rsidRPr="006758DF">
        <w:t xml:space="preserve"> resp. všechny jeho komponenty budou nové.</w:t>
      </w:r>
    </w:p>
    <w:p w14:paraId="2814A59B" w14:textId="3806C1CE" w:rsidR="00A704C3" w:rsidRPr="006758DF" w:rsidRDefault="00A704C3" w:rsidP="007378F7">
      <w:pPr>
        <w:pStyle w:val="123liststyl"/>
        <w:ind w:left="426" w:hanging="426"/>
      </w:pPr>
      <w:r w:rsidRPr="006758DF">
        <w:t>Součástí plnění je potvrzení výrobce (nebo jeho zastoupení) o určení dodávaného plnění pro evropský trh).</w:t>
      </w:r>
    </w:p>
    <w:p w14:paraId="70460DF9" w14:textId="54175C6C" w:rsidR="00A704C3" w:rsidRPr="006758DF" w:rsidRDefault="00A704C3" w:rsidP="00C94B0D">
      <w:pPr>
        <w:pStyle w:val="Nadpis1"/>
      </w:pPr>
      <w:r w:rsidRPr="006758DF">
        <w:t>Licenční ujednání</w:t>
      </w:r>
    </w:p>
    <w:p w14:paraId="58CEF5B3" w14:textId="2340EED0" w:rsidR="00FD3D6E" w:rsidRPr="006758DF" w:rsidRDefault="00FD3D6E" w:rsidP="002A2929">
      <w:pPr>
        <w:pStyle w:val="123liststyl"/>
        <w:numPr>
          <w:ilvl w:val="0"/>
          <w:numId w:val="17"/>
        </w:numPr>
      </w:pPr>
      <w:r w:rsidRPr="006758DF">
        <w:t xml:space="preserve">Součástí plnění může být tzv. proprietární software, anebo tzv. open source software, který naplňuje znaky díla ve smyslu zákona č. 121/2000 Sb., o právu autorském, o právech souvisejících s právem autorským a o změně některých zákonů (autorský zákon), ve znění pozdějších předpisů (dále jen „autorský zákon“). V této souvislosti </w:t>
      </w:r>
      <w:r w:rsidR="00DC2CE4" w:rsidRPr="006758DF">
        <w:t>zajistí</w:t>
      </w:r>
      <w:r w:rsidRPr="006758DF">
        <w:t xml:space="preserve"> Dodavatel Objednateli nevýhradní oprávnění k výkonu práva autorské dílo užít (dále jen „licenci“) pro potřeby Objednatele na území České republiky, a to všemi způsoby a</w:t>
      </w:r>
      <w:r w:rsidR="006D73D8" w:rsidRPr="006758DF">
        <w:t> </w:t>
      </w:r>
      <w:r w:rsidRPr="006758DF">
        <w:t>v</w:t>
      </w:r>
      <w:r w:rsidR="006D73D8" w:rsidRPr="006758DF">
        <w:t> </w:t>
      </w:r>
      <w:r w:rsidRPr="006758DF">
        <w:t>množstevním rozsahu nezbytném pro naplnění účelu této Smlouvy. Objednatel není povinen licenci využít.</w:t>
      </w:r>
      <w:r w:rsidR="00834348" w:rsidRPr="006758DF">
        <w:t xml:space="preserve"> </w:t>
      </w:r>
    </w:p>
    <w:p w14:paraId="4A92EE03" w14:textId="53D7F051" w:rsidR="00A704C3" w:rsidRPr="006758DF" w:rsidRDefault="00A704C3" w:rsidP="002A2929">
      <w:pPr>
        <w:pStyle w:val="123liststyl"/>
        <w:numPr>
          <w:ilvl w:val="0"/>
          <w:numId w:val="17"/>
        </w:numPr>
      </w:pPr>
      <w:r w:rsidRPr="006758DF">
        <w:t>Dodavatel je povinen zajistit pro Objednatele případnou licenci k software, potřebnému k</w:t>
      </w:r>
      <w:r w:rsidR="0013230B" w:rsidRPr="006758DF">
        <w:t> </w:t>
      </w:r>
      <w:r w:rsidRPr="006758DF">
        <w:t>řádnému provozu EÚD takovým způsobem, aby mohl být naplněn účel této Smlouvy a</w:t>
      </w:r>
      <w:r w:rsidR="006D73D8" w:rsidRPr="006758DF">
        <w:t> </w:t>
      </w:r>
      <w:r w:rsidRPr="006758DF">
        <w:t>byla dodržena všechna licenční ujednání k dílu a všechny právní předpisy upravující jeho užití</w:t>
      </w:r>
      <w:r w:rsidR="00FD3D6E" w:rsidRPr="006758DF">
        <w:t>.</w:t>
      </w:r>
    </w:p>
    <w:p w14:paraId="01C1B9F1" w14:textId="2C46964F" w:rsidR="00A704C3" w:rsidRPr="006758DF" w:rsidRDefault="00A704C3" w:rsidP="002A2929">
      <w:pPr>
        <w:pStyle w:val="123liststyl"/>
        <w:numPr>
          <w:ilvl w:val="0"/>
          <w:numId w:val="17"/>
        </w:numPr>
      </w:pPr>
      <w:r w:rsidRPr="006758DF">
        <w:t xml:space="preserve">Dodavatel prohlašuje, že užitím EÚD Objednatelem nebudou neoprávněně porušena žádná práva a oprávněné zájmy třetích osob, kromě práv duševního vlastnictví také např. právo na ochranu osobnosti fyzických osob a právo na ochranu dobré pověsti právnických osob. </w:t>
      </w:r>
    </w:p>
    <w:p w14:paraId="2990DBF6" w14:textId="77777777" w:rsidR="00FD3D6E" w:rsidRPr="006758DF" w:rsidRDefault="00A704C3" w:rsidP="002A2929">
      <w:pPr>
        <w:pStyle w:val="123liststyl"/>
        <w:numPr>
          <w:ilvl w:val="0"/>
          <w:numId w:val="17"/>
        </w:numPr>
      </w:pPr>
      <w:r w:rsidRPr="006758DF">
        <w:t>Dodavatel se zavazuje, že jakákoli dodaná nebo zpřístupněná aktualizace, nebo jiná úprava je autorskoprávně nezávadná dle této Smlouvy a podléhá stejné licenci, jako je uvedená v této Smlouvě.</w:t>
      </w:r>
      <w:r w:rsidR="00FD3D6E" w:rsidRPr="006758DF">
        <w:t xml:space="preserve"> </w:t>
      </w:r>
    </w:p>
    <w:p w14:paraId="05A478EB" w14:textId="2FA00948" w:rsidR="00A704C3" w:rsidRPr="006758DF" w:rsidRDefault="00FD3D6E" w:rsidP="002A2929">
      <w:pPr>
        <w:pStyle w:val="123liststyl"/>
        <w:numPr>
          <w:ilvl w:val="0"/>
          <w:numId w:val="17"/>
        </w:numPr>
      </w:pPr>
      <w:r w:rsidRPr="006758DF">
        <w:t>Účinnost této licence nastává okamžikem podepsání akceptačního protokolu s výsledkem „akceptováno“; do té doby je Objednatel oprávněn dílo užít v rozsahu a způsobem nezbytným k naplnění účelu této Smlouvy.</w:t>
      </w:r>
    </w:p>
    <w:p w14:paraId="11BF81B0" w14:textId="4899B495" w:rsidR="00A704C3" w:rsidRPr="006758DF" w:rsidRDefault="00A704C3" w:rsidP="00C94B0D">
      <w:pPr>
        <w:pStyle w:val="Nadpis1"/>
      </w:pPr>
      <w:r w:rsidRPr="006758DF">
        <w:t>Dodací podmínky</w:t>
      </w:r>
    </w:p>
    <w:p w14:paraId="7ADF0281" w14:textId="11B4E5A1" w:rsidR="00A704C3" w:rsidRPr="006758DF" w:rsidRDefault="00A704C3" w:rsidP="002A2929">
      <w:pPr>
        <w:pStyle w:val="123liststyl"/>
        <w:numPr>
          <w:ilvl w:val="0"/>
          <w:numId w:val="10"/>
        </w:numPr>
      </w:pPr>
      <w:r w:rsidRPr="006758DF">
        <w:t xml:space="preserve">Dodavatel je povinen dodat </w:t>
      </w:r>
      <w:r w:rsidR="005443E0" w:rsidRPr="006758DF">
        <w:t xml:space="preserve">předmět </w:t>
      </w:r>
      <w:r w:rsidRPr="006758DF">
        <w:t>plnění v množství a jakosti a v provedení dle této Smlouvy.</w:t>
      </w:r>
    </w:p>
    <w:p w14:paraId="04A60BB4" w14:textId="779EF914" w:rsidR="0019601A" w:rsidRPr="006758DF" w:rsidRDefault="0019601A" w:rsidP="002A2929">
      <w:pPr>
        <w:pStyle w:val="123liststyl"/>
        <w:numPr>
          <w:ilvl w:val="0"/>
          <w:numId w:val="10"/>
        </w:numPr>
      </w:pPr>
      <w:r w:rsidRPr="006758DF">
        <w:lastRenderedPageBreak/>
        <w:t xml:space="preserve">Objednatel požaduje dodání předmětu plnění do </w:t>
      </w:r>
      <w:r w:rsidR="00B05D51" w:rsidRPr="006758DF">
        <w:t>60</w:t>
      </w:r>
      <w:r w:rsidRPr="006758DF">
        <w:t xml:space="preserve"> dnů od nabytí účinnosti Smlouvy. Dodáním plnění se rozumí dodání předmětu plnění do míst</w:t>
      </w:r>
      <w:r w:rsidR="00DC0F14" w:rsidRPr="006758DF">
        <w:t>a</w:t>
      </w:r>
      <w:r w:rsidRPr="006758DF">
        <w:t xml:space="preserve"> plnění včetně příslušné dokumentace a provedení instalace</w:t>
      </w:r>
      <w:r w:rsidR="00582A1B" w:rsidRPr="006758DF">
        <w:t xml:space="preserve"> a zaškolení </w:t>
      </w:r>
      <w:r w:rsidRPr="006758DF">
        <w:t>v sídle Objednatele.</w:t>
      </w:r>
    </w:p>
    <w:p w14:paraId="587014F2" w14:textId="7DB4D311" w:rsidR="00A704C3" w:rsidRPr="006758DF" w:rsidRDefault="0019601A" w:rsidP="002A2929">
      <w:pPr>
        <w:pStyle w:val="123liststyl"/>
        <w:numPr>
          <w:ilvl w:val="0"/>
          <w:numId w:val="10"/>
        </w:numPr>
      </w:pPr>
      <w:r w:rsidRPr="006758DF">
        <w:t>Záruka za jakost/záruka na funkčnost předmětu plnění bud</w:t>
      </w:r>
      <w:r w:rsidR="00834348" w:rsidRPr="006758DF">
        <w:t>e poskytována po dobu 60 měsíců.</w:t>
      </w:r>
    </w:p>
    <w:p w14:paraId="5EE076BB" w14:textId="6DD49E95" w:rsidR="00A704C3" w:rsidRPr="006758DF" w:rsidRDefault="00E60346" w:rsidP="002A2929">
      <w:pPr>
        <w:pStyle w:val="123liststyl"/>
        <w:numPr>
          <w:ilvl w:val="0"/>
          <w:numId w:val="10"/>
        </w:numPr>
      </w:pPr>
      <w:r w:rsidRPr="006758DF">
        <w:t>Místem plnění této veřejné zakázky je území České republiky, konkrétně sídlo Objednatele.</w:t>
      </w:r>
    </w:p>
    <w:p w14:paraId="6437D692" w14:textId="190E0DB3" w:rsidR="00A704C3" w:rsidRPr="006758DF" w:rsidRDefault="00F12A4D" w:rsidP="002A2929">
      <w:pPr>
        <w:pStyle w:val="123liststyl"/>
        <w:numPr>
          <w:ilvl w:val="0"/>
          <w:numId w:val="10"/>
        </w:numPr>
      </w:pPr>
      <w:r w:rsidRPr="006758DF">
        <w:t>Vlastnické právo k hmotným součástem plnění přechází na Objednatele podepsáním akceptačního protokolu s výsledkem „akceptováno“. Pokud je akceptační řízení ukončeno akceptací s výhradou, tak vlastnictví přejde až po odstranění vad. Nebezpečí škody na hmotných součástech plnění (či jeho dílčí části) přejde z Dodavatele na Objednatele dnem protokolárního převzetí hmotných součástí plnění (či jeho dílčí části) a Objednateli zároveň vznikne právo hmotné součásti plnění (či jeho dílčí části) užívat v souladu s účelem této Smlouvy.</w:t>
      </w:r>
    </w:p>
    <w:p w14:paraId="1CE75E7C" w14:textId="28FC2AF8" w:rsidR="00A704C3" w:rsidRPr="006758DF" w:rsidRDefault="00A704C3" w:rsidP="00C94B0D">
      <w:pPr>
        <w:pStyle w:val="Nadpis1"/>
      </w:pPr>
      <w:r w:rsidRPr="006758DF">
        <w:t>Komunikace, kontaktní osoby, součinnost</w:t>
      </w:r>
    </w:p>
    <w:p w14:paraId="4327E3B5" w14:textId="14239DA9" w:rsidR="00A704C3" w:rsidRPr="006758DF" w:rsidRDefault="00A704C3" w:rsidP="002A2929">
      <w:pPr>
        <w:pStyle w:val="123liststyl"/>
        <w:numPr>
          <w:ilvl w:val="0"/>
          <w:numId w:val="9"/>
        </w:numPr>
      </w:pPr>
      <w:r w:rsidRPr="006758DF">
        <w:t>Veškerá komunikace Objednatele s Dodavatelem v průběhu plnění Smlouvy bude probíhat v českém nebo slovenském jazyce.</w:t>
      </w:r>
    </w:p>
    <w:p w14:paraId="6C576E31" w14:textId="7E47C78C" w:rsidR="00A704C3" w:rsidRPr="006758DF" w:rsidRDefault="00A704C3" w:rsidP="002A2929">
      <w:pPr>
        <w:pStyle w:val="123liststyl"/>
        <w:numPr>
          <w:ilvl w:val="0"/>
          <w:numId w:val="9"/>
        </w:numPr>
      </w:pPr>
      <w:r w:rsidRPr="006758DF">
        <w:t xml:space="preserve">Každá ze smluvních stran jmenuje </w:t>
      </w:r>
      <w:r w:rsidR="00834348" w:rsidRPr="006758DF">
        <w:t xml:space="preserve">kontaktní </w:t>
      </w:r>
      <w:r w:rsidRPr="006758DF">
        <w:t>osobu</w:t>
      </w:r>
      <w:r w:rsidR="00834348" w:rsidRPr="006758DF">
        <w:t>, která je mimo jiné</w:t>
      </w:r>
      <w:r w:rsidRPr="006758DF">
        <w:t xml:space="preserve"> oprávněn</w:t>
      </w:r>
      <w:r w:rsidR="00834348" w:rsidRPr="006758DF">
        <w:t>a</w:t>
      </w:r>
      <w:r w:rsidRPr="006758DF">
        <w:t xml:space="preserve"> k předání a převzetí plnění </w:t>
      </w:r>
      <w:r w:rsidR="002649EA" w:rsidRPr="006758DF">
        <w:t>a k</w:t>
      </w:r>
      <w:r w:rsidR="00834348" w:rsidRPr="006758DF">
        <w:t> </w:t>
      </w:r>
      <w:r w:rsidRPr="006758DF">
        <w:t>podep</w:t>
      </w:r>
      <w:r w:rsidR="00834348" w:rsidRPr="006758DF">
        <w:t xml:space="preserve">sání </w:t>
      </w:r>
      <w:r w:rsidRPr="006758DF">
        <w:t>Akceptačního protokolu:</w:t>
      </w:r>
    </w:p>
    <w:p w14:paraId="712B4D07" w14:textId="7C95DFEE" w:rsidR="00A704C3" w:rsidRPr="006758DF" w:rsidRDefault="00A704C3" w:rsidP="00442BEE">
      <w:pPr>
        <w:pStyle w:val="abcliststyl"/>
        <w:numPr>
          <w:ilvl w:val="0"/>
          <w:numId w:val="6"/>
        </w:numPr>
      </w:pPr>
      <w:r w:rsidRPr="006758DF">
        <w:t>Za Objednatele:</w:t>
      </w:r>
      <w:r w:rsidR="00442BEE" w:rsidRPr="006758DF">
        <w:t xml:space="preserve"> </w:t>
      </w:r>
      <w:r w:rsidR="009537CB">
        <w:t>XXXXXXXXXX</w:t>
      </w:r>
    </w:p>
    <w:p w14:paraId="2536EFDE" w14:textId="3BB59167" w:rsidR="00A704C3" w:rsidRPr="006758DF" w:rsidRDefault="009537CB" w:rsidP="00C94B0D">
      <w:pPr>
        <w:pStyle w:val="abcliststyl"/>
        <w:numPr>
          <w:ilvl w:val="0"/>
          <w:numId w:val="0"/>
        </w:numPr>
        <w:ind w:left="1068"/>
      </w:pPr>
      <w:r>
        <w:t>XXXXXXXXXX</w:t>
      </w:r>
      <w:r w:rsidR="00442BEE" w:rsidRPr="009E276F">
        <w:rPr>
          <w:color w:val="0000FF"/>
        </w:rPr>
        <w:t xml:space="preserve"> </w:t>
      </w:r>
      <w:r w:rsidR="00A704C3" w:rsidRPr="009E276F">
        <w:rPr>
          <w:color w:val="0000FF"/>
        </w:rPr>
        <w:t xml:space="preserve"> </w:t>
      </w:r>
    </w:p>
    <w:p w14:paraId="479CE7E6" w14:textId="401A5713" w:rsidR="00A704C3" w:rsidRPr="006758DF" w:rsidRDefault="00A704C3" w:rsidP="002A2929">
      <w:pPr>
        <w:pStyle w:val="abcliststyl"/>
        <w:numPr>
          <w:ilvl w:val="0"/>
          <w:numId w:val="6"/>
        </w:numPr>
      </w:pPr>
      <w:r w:rsidRPr="006758DF">
        <w:t>Za Dodavatele:</w:t>
      </w:r>
      <w:r w:rsidR="00191A67" w:rsidRPr="006758DF">
        <w:t xml:space="preserve"> </w:t>
      </w:r>
      <w:r w:rsidR="00336949" w:rsidRPr="006758DF">
        <w:t>Ing. Erik Grešák</w:t>
      </w:r>
      <w:bookmarkStart w:id="0" w:name="_GoBack"/>
      <w:bookmarkEnd w:id="0"/>
    </w:p>
    <w:p w14:paraId="69792AA2" w14:textId="14784F1B" w:rsidR="00A704C3" w:rsidRPr="006758DF" w:rsidRDefault="009537CB" w:rsidP="00C94B0D">
      <w:pPr>
        <w:pStyle w:val="abcliststyl"/>
        <w:numPr>
          <w:ilvl w:val="0"/>
          <w:numId w:val="0"/>
        </w:numPr>
        <w:ind w:left="1068"/>
      </w:pPr>
      <w:r>
        <w:t>XXXXXXXXXX</w:t>
      </w:r>
    </w:p>
    <w:p w14:paraId="4C8235EA" w14:textId="22A620E9" w:rsidR="00A704C3" w:rsidRPr="006758DF" w:rsidRDefault="00A704C3" w:rsidP="002A2929">
      <w:pPr>
        <w:pStyle w:val="123liststyl"/>
        <w:numPr>
          <w:ilvl w:val="0"/>
          <w:numId w:val="9"/>
        </w:numPr>
      </w:pPr>
      <w:r w:rsidRPr="006758DF">
        <w:t xml:space="preserve">Smluvní strany jsou oprávněny jednostranně změnit výše uvedené osoby, jsou však povinny na takovou změnu druhou stranu písemně předem upozornit. </w:t>
      </w:r>
    </w:p>
    <w:p w14:paraId="3A5B39DC" w14:textId="224868BE" w:rsidR="00A704C3" w:rsidRPr="006758DF" w:rsidRDefault="00A704C3" w:rsidP="002A2929">
      <w:pPr>
        <w:pStyle w:val="123liststyl"/>
        <w:numPr>
          <w:ilvl w:val="0"/>
          <w:numId w:val="9"/>
        </w:numPr>
      </w:pPr>
      <w:r w:rsidRPr="006758DF">
        <w:t xml:space="preserve">Pokud se mezi smluvními stranami předpokládá písemný kontakt, je za písemný projev považován zaslaný </w:t>
      </w:r>
      <w:r w:rsidR="0027110B" w:rsidRPr="006758DF">
        <w:t xml:space="preserve">elektronický </w:t>
      </w:r>
      <w:r w:rsidRPr="006758DF">
        <w:t>dopis</w:t>
      </w:r>
      <w:r w:rsidR="0027110B" w:rsidRPr="006758DF">
        <w:t xml:space="preserve"> přes datovou schránku</w:t>
      </w:r>
      <w:r w:rsidRPr="006758DF">
        <w:t xml:space="preserve">, příp. e-mailová zpráva s dokladem o tom, že byla druhé smluvní straně doručena. </w:t>
      </w:r>
    </w:p>
    <w:p w14:paraId="0390894B" w14:textId="77777777" w:rsidR="00400827" w:rsidRPr="006758DF" w:rsidRDefault="00A704C3" w:rsidP="002A2929">
      <w:pPr>
        <w:pStyle w:val="123liststyl"/>
        <w:numPr>
          <w:ilvl w:val="0"/>
          <w:numId w:val="9"/>
        </w:numPr>
      </w:pPr>
      <w:r w:rsidRPr="006758DF">
        <w:t>Smluvní strany se zavazují úzce spolupracovat, zejména si poskytovat úplné, pravdivé, včasné informace a dohodnuté podmínky a součinnost umožňující řádné plnění Smlouvy.</w:t>
      </w:r>
    </w:p>
    <w:p w14:paraId="781F88CE" w14:textId="5FD4FF1B" w:rsidR="00A704C3" w:rsidRPr="006758DF" w:rsidRDefault="00A704C3" w:rsidP="002A2929">
      <w:pPr>
        <w:pStyle w:val="123liststyl"/>
        <w:numPr>
          <w:ilvl w:val="0"/>
          <w:numId w:val="9"/>
        </w:numPr>
      </w:pPr>
      <w:r w:rsidRPr="006758DF">
        <w:t>V zájmu plnění Smlouvy jsou smluvní strany povinny plnit řádně a včas své závazky tak, aby nedocházelo k prodlení s jejich plněním.</w:t>
      </w:r>
    </w:p>
    <w:p w14:paraId="6CD034C1" w14:textId="359A9ED4" w:rsidR="00A704C3" w:rsidRPr="006758DF" w:rsidRDefault="00A704C3" w:rsidP="00C94B0D">
      <w:pPr>
        <w:pStyle w:val="Nadpis1"/>
      </w:pPr>
      <w:r w:rsidRPr="006758DF">
        <w:t>Akceptační řízení</w:t>
      </w:r>
    </w:p>
    <w:p w14:paraId="0A84BBF0" w14:textId="64E86B63" w:rsidR="00A704C3" w:rsidRPr="006758DF" w:rsidRDefault="00A704C3" w:rsidP="002A2929">
      <w:pPr>
        <w:pStyle w:val="123liststyl"/>
        <w:numPr>
          <w:ilvl w:val="0"/>
          <w:numId w:val="8"/>
        </w:numPr>
      </w:pPr>
      <w:r w:rsidRPr="006758DF">
        <w:t>Akceptační řízení bude zahájeno výzvou Dodavatele k provedení akceptačního řízení (po předání předmětu plnění včetně příslušné dokumentace</w:t>
      </w:r>
      <w:r w:rsidR="000943DA" w:rsidRPr="006758DF">
        <w:t xml:space="preserve">, </w:t>
      </w:r>
      <w:r w:rsidRPr="006758DF">
        <w:t>instalaci</w:t>
      </w:r>
      <w:r w:rsidR="000943DA" w:rsidRPr="006758DF">
        <w:t xml:space="preserve"> a zaškolení</w:t>
      </w:r>
      <w:r w:rsidRPr="006758DF">
        <w:t xml:space="preserve"> v požadovaném rozsahu), tak aby bylo možno na straně Objednatele ověřit funkčnost dodaného plnění a</w:t>
      </w:r>
      <w:r w:rsidR="002E2A88" w:rsidRPr="006758DF">
        <w:t> </w:t>
      </w:r>
      <w:r w:rsidRPr="006758DF">
        <w:t>dokumentovat případné zjištěné nedostatky. Akceptační řízení mus</w:t>
      </w:r>
      <w:r w:rsidR="009C1CF6" w:rsidRPr="006758DF">
        <w:t>í být zahájeno nejpozději do 5</w:t>
      </w:r>
      <w:r w:rsidRPr="006758DF">
        <w:t xml:space="preserve"> dnů po předání předmětu plnění.</w:t>
      </w:r>
    </w:p>
    <w:p w14:paraId="212AA85A" w14:textId="34C9E66F" w:rsidR="00A704C3" w:rsidRPr="006758DF" w:rsidRDefault="00A704C3" w:rsidP="002A2929">
      <w:pPr>
        <w:pStyle w:val="123liststyl"/>
        <w:numPr>
          <w:ilvl w:val="0"/>
          <w:numId w:val="8"/>
        </w:numPr>
      </w:pPr>
      <w:r w:rsidRPr="006758DF">
        <w:t>Při akceptačním řízení budou projednány výhrady Objednatele, stanovena jejich výsledná závažnost, určen způsob a termín jejich odstranění.</w:t>
      </w:r>
    </w:p>
    <w:p w14:paraId="7C894714" w14:textId="5C00BFD0" w:rsidR="00A704C3" w:rsidRPr="006758DF" w:rsidRDefault="00A704C3" w:rsidP="002A2929">
      <w:pPr>
        <w:pStyle w:val="123liststyl"/>
        <w:numPr>
          <w:ilvl w:val="0"/>
          <w:numId w:val="8"/>
        </w:numPr>
      </w:pPr>
      <w:r w:rsidRPr="006758DF">
        <w:t>Vadou se rozumí rozpor mezi skutečnými funkčními vlastnostmi poskytnutého plnění a</w:t>
      </w:r>
      <w:r w:rsidR="00F21370" w:rsidRPr="006758DF">
        <w:t> </w:t>
      </w:r>
      <w:r w:rsidRPr="006758DF">
        <w:t xml:space="preserve">funkčními vlastnostmi, které jsou stanoveny v příslušných dokumentacích. Za vadu se považuje i skutečnost, že funkční vlastnosti poskytnutého plnění neodpovídají požadovaným minimálním základním požadavkům, viz také Příloha č. 1 Smlouvy. Za vadu se považuje i skutečnost, že funkční vlastnosti poskytnutého plnění neodpovídají povinným </w:t>
      </w:r>
      <w:r w:rsidRPr="006758DF">
        <w:lastRenderedPageBreak/>
        <w:t xml:space="preserve">funkčním vlastnostem, jak vyplývají z technických norem, pokud se takové technické normy na plnění vztahují a jsou vůči němu závazné. Za vadu se dále považují i právní vady plnění. </w:t>
      </w:r>
    </w:p>
    <w:p w14:paraId="3978C7EC" w14:textId="71A711DD" w:rsidR="00A704C3" w:rsidRPr="006758DF" w:rsidRDefault="00A704C3" w:rsidP="002A2929">
      <w:pPr>
        <w:pStyle w:val="123liststyl"/>
        <w:numPr>
          <w:ilvl w:val="0"/>
          <w:numId w:val="8"/>
        </w:numPr>
      </w:pPr>
      <w:r w:rsidRPr="006758DF">
        <w:t>Předmět plnění se považuje za předaný, potvrdí-li Objednatel podpisem v akceptačním protokolu, že předmět plnění přebírá bez výhrad, případně s výhradami (viz níže). Součástí akceptačního protokolu bude záznam o předání plnění včetně dokumentace.</w:t>
      </w:r>
    </w:p>
    <w:p w14:paraId="699A73BC" w14:textId="16D9E30D" w:rsidR="00A704C3" w:rsidRPr="006758DF" w:rsidRDefault="00A704C3" w:rsidP="002A2929">
      <w:pPr>
        <w:pStyle w:val="123liststyl"/>
        <w:numPr>
          <w:ilvl w:val="0"/>
          <w:numId w:val="8"/>
        </w:numPr>
      </w:pPr>
      <w:r w:rsidRPr="006758DF">
        <w:t>Akceptační řízení musí být ukončeno nejpozději do 7 pracovních dnů od jeho zahájení.</w:t>
      </w:r>
    </w:p>
    <w:p w14:paraId="6556ECAE" w14:textId="4ADF6F38" w:rsidR="00A704C3" w:rsidRPr="006758DF" w:rsidRDefault="00A704C3" w:rsidP="00C1070B">
      <w:pPr>
        <w:pStyle w:val="Nadpis2"/>
        <w:numPr>
          <w:ilvl w:val="0"/>
          <w:numId w:val="0"/>
        </w:numPr>
        <w:ind w:left="576" w:hanging="576"/>
      </w:pPr>
      <w:r w:rsidRPr="006758DF">
        <w:t>Možné výsledky akceptačního řízení</w:t>
      </w:r>
    </w:p>
    <w:p w14:paraId="52C2B2F1" w14:textId="78BA965A" w:rsidR="00A704C3" w:rsidRPr="006758DF" w:rsidRDefault="00A704C3" w:rsidP="002A2929">
      <w:pPr>
        <w:pStyle w:val="Nadpis3"/>
        <w:numPr>
          <w:ilvl w:val="2"/>
          <w:numId w:val="21"/>
        </w:numPr>
      </w:pPr>
      <w:r w:rsidRPr="006758DF">
        <w:t>Akceptováno</w:t>
      </w:r>
    </w:p>
    <w:p w14:paraId="12579854" w14:textId="09E2D96E" w:rsidR="00A704C3" w:rsidRPr="006758DF" w:rsidRDefault="00A704C3">
      <w:r w:rsidRPr="006758DF">
        <w:t xml:space="preserve">V případě, že Objednatel v průběhu akceptačního řízení nenalezne v předaném plnění žádné vady ani nedodělky, uvede Objednatel do akceptačního protokolu, že předané plnění přebírá bez výhrad a obě strany akceptační </w:t>
      </w:r>
      <w:r w:rsidR="0027110B" w:rsidRPr="006758DF">
        <w:t>protokol potvrdí svým podpisem.</w:t>
      </w:r>
    </w:p>
    <w:p w14:paraId="457B7AA6" w14:textId="25455F37" w:rsidR="00A704C3" w:rsidRPr="006758DF" w:rsidRDefault="00A704C3">
      <w:r w:rsidRPr="006758DF">
        <w:t>Výsledky plnění budou akceptovány v případě, že dodané plnění bude funkční a bude splňovat funkční specifikaci stanovenou zadávacími podmínkami a nabídkou Dodavatele a plněn</w:t>
      </w:r>
      <w:r w:rsidR="0027110B" w:rsidRPr="006758DF">
        <w:t>í bude mít řádnou dokumentaci.</w:t>
      </w:r>
    </w:p>
    <w:p w14:paraId="4E539A05" w14:textId="2926E0D3" w:rsidR="00A704C3" w:rsidRPr="006758DF" w:rsidRDefault="00A704C3">
      <w:r w:rsidRPr="006758DF">
        <w:t>V případě akceptace je Dodavatel oprávněn fakturovat cenu plnění.</w:t>
      </w:r>
    </w:p>
    <w:p w14:paraId="784881B0" w14:textId="7788CB6A" w:rsidR="00A704C3" w:rsidRPr="006758DF" w:rsidRDefault="00A704C3" w:rsidP="002A2929">
      <w:pPr>
        <w:pStyle w:val="Nadpis3"/>
        <w:numPr>
          <w:ilvl w:val="2"/>
          <w:numId w:val="21"/>
        </w:numPr>
      </w:pPr>
      <w:r w:rsidRPr="006758DF">
        <w:t>Akceptováno s výhradou</w:t>
      </w:r>
    </w:p>
    <w:p w14:paraId="10A42EE8" w14:textId="78191D47" w:rsidR="00A704C3" w:rsidRPr="006758DF" w:rsidRDefault="00A704C3">
      <w:r w:rsidRPr="006758DF">
        <w:t>Pokud bude plnění obsahovat malé vady, které nebudou bránit provoznímu nasazení, pak Objednatel připouští „akceptaci s výhradou“. V tomto případě musí být vady uvedeny v</w:t>
      </w:r>
      <w:r w:rsidR="00F21370" w:rsidRPr="006758DF">
        <w:t> </w:t>
      </w:r>
      <w:r w:rsidRPr="006758DF">
        <w:t>akceptačním protokolu a stanoven termín odstranění vad. Součástí odzkoušení vad je i</w:t>
      </w:r>
      <w:r w:rsidR="00F21370" w:rsidRPr="006758DF">
        <w:t> </w:t>
      </w:r>
      <w:r w:rsidRPr="006758DF">
        <w:t>případná aktualizace dokumentace. Po vystavení akceptačního protokolu s výhradou je možno fakturovat 80% z ceny plnění. Po odstranění všech vad a podepsání protokolu o</w:t>
      </w:r>
      <w:r w:rsidR="00F21370" w:rsidRPr="006758DF">
        <w:t> </w:t>
      </w:r>
      <w:r w:rsidRPr="006758DF">
        <w:t>odstranění těchto vad zbývajících 20% této ceny.</w:t>
      </w:r>
    </w:p>
    <w:p w14:paraId="05A83867" w14:textId="3F239DF0" w:rsidR="00A704C3" w:rsidRPr="006758DF" w:rsidRDefault="00A704C3" w:rsidP="002A2929">
      <w:pPr>
        <w:pStyle w:val="Nadpis3"/>
        <w:numPr>
          <w:ilvl w:val="2"/>
          <w:numId w:val="21"/>
        </w:numPr>
      </w:pPr>
      <w:r w:rsidRPr="006758DF">
        <w:t>Neakceptováno</w:t>
      </w:r>
    </w:p>
    <w:p w14:paraId="097570AC" w14:textId="01093277" w:rsidR="00A704C3" w:rsidRPr="006758DF" w:rsidRDefault="00A704C3" w:rsidP="00A704C3">
      <w:r w:rsidRPr="006758DF">
        <w:t>V případě, že budou v průběhu akceptačního řízení v předaném plnění zjištěny vady a</w:t>
      </w:r>
      <w:r w:rsidR="00714F2E" w:rsidRPr="006758DF">
        <w:t> </w:t>
      </w:r>
      <w:r w:rsidRPr="006758DF">
        <w:t>nedodělky, které by bránily v užití plnění či jeho části, respektive plnění neodpovídá podmínkám nezbytným pro akceptaci uvedeným výše, není předané plnění akceptováno. Obě strany se dohodnou na termínech nového předání a nového akceptačního řízení. Do akceptačního protokolu Objednatel uvede, že předané plnění nebylo akceptováno, popíše vady a nedodělky, případně požadavky na dopracování, termíny nového předání a</w:t>
      </w:r>
      <w:r w:rsidR="00714F2E" w:rsidRPr="006758DF">
        <w:t> </w:t>
      </w:r>
      <w:r w:rsidRPr="006758DF">
        <w:t>akceptačního řízení a obě strany akceptační protokol potvrdí svým podpisem. V tomto případě je Dodavatel v prodlení s předáním plnění a Objednatel uplatní sankce z prodlení. Doba prodlení s plněním se přitom počítá od smluvního termínu splnění (případná nesoučinnost Objednatele se do doby prodlení Dodavatele nezapočítává). Při neakceptaci předmětu plnění nevzni</w:t>
      </w:r>
      <w:r w:rsidR="0027110B" w:rsidRPr="006758DF">
        <w:t>ká Dodavateli právo fakturovat.</w:t>
      </w:r>
    </w:p>
    <w:p w14:paraId="79702D2E" w14:textId="1E0F356C" w:rsidR="00A704C3" w:rsidRPr="006758DF" w:rsidRDefault="00A704C3" w:rsidP="00C94B0D">
      <w:pPr>
        <w:pStyle w:val="Nadpis1"/>
      </w:pPr>
      <w:r w:rsidRPr="006758DF">
        <w:t>Platební podmínky</w:t>
      </w:r>
    </w:p>
    <w:p w14:paraId="5F822E7A" w14:textId="7E416D75" w:rsidR="00A704C3" w:rsidRPr="006758DF" w:rsidRDefault="00A704C3" w:rsidP="002A2929">
      <w:pPr>
        <w:pStyle w:val="123liststyl"/>
        <w:numPr>
          <w:ilvl w:val="0"/>
          <w:numId w:val="11"/>
        </w:numPr>
      </w:pPr>
      <w:r w:rsidRPr="006758DF">
        <w:t xml:space="preserve">Cena za </w:t>
      </w:r>
      <w:r w:rsidR="000943DA" w:rsidRPr="006758DF">
        <w:t>předmět plnění</w:t>
      </w:r>
      <w:r w:rsidRPr="006758DF">
        <w:t xml:space="preserve"> činí</w:t>
      </w:r>
      <w:r w:rsidR="00C0483D" w:rsidRPr="006758DF">
        <w:t xml:space="preserve"> </w:t>
      </w:r>
      <w:r w:rsidR="0027110B" w:rsidRPr="006758DF">
        <w:t>109 800</w:t>
      </w:r>
      <w:r w:rsidR="00C0483D" w:rsidRPr="006758DF">
        <w:t>,-</w:t>
      </w:r>
      <w:r w:rsidRPr="006758DF">
        <w:t xml:space="preserve"> Kč bez DPH, tj. částku </w:t>
      </w:r>
      <w:r w:rsidR="0027110B" w:rsidRPr="006758DF">
        <w:t>132 858</w:t>
      </w:r>
      <w:r w:rsidR="00C0483D" w:rsidRPr="006758DF">
        <w:t>,-</w:t>
      </w:r>
      <w:r w:rsidRPr="006758DF">
        <w:t xml:space="preserve"> včetně DPH.</w:t>
      </w:r>
    </w:p>
    <w:p w14:paraId="203DE666" w14:textId="13D4D7A5" w:rsidR="00A704C3" w:rsidRPr="006758DF" w:rsidRDefault="009874A1" w:rsidP="002A2929">
      <w:pPr>
        <w:pStyle w:val="123liststyl"/>
        <w:numPr>
          <w:ilvl w:val="0"/>
          <w:numId w:val="11"/>
        </w:numPr>
      </w:pPr>
      <w:r w:rsidRPr="006758DF">
        <w:t>Cena plnění zahrnuje veškeré náklady Dodavatele nutné k poskytnutí plnění, jakož i veškeré náklady související. Tato cena je maximální a nepřekročitelná (s výjimkou změny sazby DPH) a Dodavatel je povinen za tuto cenu plnění dokončit tak, aby bylo dosaženo účelu a předmětu této Smlouvy, a to i v případě, že by se v průběhu plnění Smlouvy zjistilo, že ke splnění účelu a předmětu této Smlouvy je nutné vynaložit další náklady nebo zvolit jiné postupy.</w:t>
      </w:r>
    </w:p>
    <w:p w14:paraId="3AD3214B" w14:textId="7C5C65AD" w:rsidR="00A704C3" w:rsidRPr="006758DF" w:rsidRDefault="009874A1" w:rsidP="002A2929">
      <w:pPr>
        <w:pStyle w:val="123liststyl"/>
        <w:numPr>
          <w:ilvl w:val="0"/>
          <w:numId w:val="11"/>
        </w:numPr>
      </w:pPr>
      <w:r w:rsidRPr="006758DF">
        <w:t>Smluvní strany se dohodly na bezhotovostním placení na účet Dodavatele dle pravidel uvedených v této Smlouvě.</w:t>
      </w:r>
    </w:p>
    <w:p w14:paraId="50B102EE" w14:textId="291C93DD" w:rsidR="00A704C3" w:rsidRPr="006758DF" w:rsidRDefault="009874A1" w:rsidP="002A2929">
      <w:pPr>
        <w:pStyle w:val="123liststyl"/>
        <w:numPr>
          <w:ilvl w:val="0"/>
          <w:numId w:val="11"/>
        </w:numPr>
      </w:pPr>
      <w:r w:rsidRPr="006758DF">
        <w:lastRenderedPageBreak/>
        <w:t>Cena za předmět plnění bude uhrazena po akceptaci předmětu plnění.</w:t>
      </w:r>
    </w:p>
    <w:p w14:paraId="31CA3649" w14:textId="64E4E162" w:rsidR="00A704C3" w:rsidRPr="006758DF" w:rsidRDefault="009874A1" w:rsidP="002A2929">
      <w:pPr>
        <w:pStyle w:val="123liststyl"/>
        <w:numPr>
          <w:ilvl w:val="0"/>
          <w:numId w:val="11"/>
        </w:numPr>
      </w:pPr>
      <w:r w:rsidRPr="006758DF">
        <w:t xml:space="preserve">Vystavená faktura bude mít náležitosti stanovené zákonem o č. 235/2004 Sb., o dani z přidané hodnoty, ve znění pozdějších předpisů, a termín splatnosti 21 dnů po doručení Objednatele. Povinnost zaplatit je splněna dnem odepsání příslušné finanční částky z bankovního účtu Objednatele na účet Dodavatele, není-li smluvními stranami sjednáno jinak. Faktura může být zaslána elektronicky na </w:t>
      </w:r>
      <w:hyperlink r:id="rId8" w:history="1">
        <w:r w:rsidR="006758DF" w:rsidRPr="00894D2D">
          <w:rPr>
            <w:rStyle w:val="Hypertextovodkaz"/>
            <w:color w:val="0000FF"/>
          </w:rPr>
          <w:t>ku.prozlinskraj@cuzk.gov.cz</w:t>
        </w:r>
      </w:hyperlink>
      <w:r w:rsidRPr="00894D2D">
        <w:rPr>
          <w:color w:val="0000FF"/>
        </w:rPr>
        <w:t>.</w:t>
      </w:r>
    </w:p>
    <w:p w14:paraId="35914F7C" w14:textId="2DF880CA" w:rsidR="00A704C3" w:rsidRPr="006758DF" w:rsidRDefault="009874A1" w:rsidP="002A2929">
      <w:pPr>
        <w:pStyle w:val="123liststyl"/>
        <w:numPr>
          <w:ilvl w:val="0"/>
          <w:numId w:val="11"/>
        </w:numPr>
      </w:pPr>
      <w:r w:rsidRPr="006758DF">
        <w:t>Nebude-li vystavená faktura obsahovat náležitosti uvedené v předchozím odstavci nebo bude chybně vyúčtována cena, bude taková faktura do data splatnosti Dodavateli vrácena k doplnění scházejících údajů nebo k opravě nesprávných údajů. Dodavatel provede opravu vystavením nové faktury s novou dobou splatnosti, která nesmí být co do počtu dnů kratší než doba splatnosti původní faktury. Bude-li vadná faktura vrácena, přestává běžet původní doba splatnosti. V takovém případě nedojde k prodlení s placením. Celá doba splatnosti běží znovu ode dne doručení nově vystavené faktury na konkrétní fakturační místo.</w:t>
      </w:r>
    </w:p>
    <w:p w14:paraId="645E1568" w14:textId="1471828A" w:rsidR="00A704C3" w:rsidRPr="006758DF" w:rsidRDefault="00A704C3" w:rsidP="00C94B0D">
      <w:pPr>
        <w:pStyle w:val="Nadpis1"/>
      </w:pPr>
      <w:r w:rsidRPr="006758DF">
        <w:t>Podmínky požadované záruky za jakost</w:t>
      </w:r>
      <w:r w:rsidR="000943DA" w:rsidRPr="006758DF">
        <w:t>/funkčnost SW</w:t>
      </w:r>
      <w:r w:rsidR="00834348" w:rsidRPr="006758DF">
        <w:t xml:space="preserve"> (dále jen „záruka“)</w:t>
      </w:r>
    </w:p>
    <w:p w14:paraId="08682215" w14:textId="3C92B835" w:rsidR="00A704C3" w:rsidRPr="006758DF" w:rsidRDefault="00D12F7F" w:rsidP="002A2929">
      <w:pPr>
        <w:pStyle w:val="123liststyl"/>
        <w:numPr>
          <w:ilvl w:val="0"/>
          <w:numId w:val="12"/>
        </w:numPr>
      </w:pPr>
      <w:r w:rsidRPr="006758DF">
        <w:t>Dodan</w:t>
      </w:r>
      <w:r w:rsidR="00310B13" w:rsidRPr="006758DF">
        <w:t>á</w:t>
      </w:r>
      <w:r w:rsidRPr="006758DF">
        <w:t xml:space="preserve"> </w:t>
      </w:r>
      <w:r w:rsidR="00310B13" w:rsidRPr="006758DF">
        <w:t>EÚD</w:t>
      </w:r>
      <w:r w:rsidRPr="006758DF">
        <w:t xml:space="preserve"> bude po dobu </w:t>
      </w:r>
      <w:r w:rsidR="00F76467" w:rsidRPr="006758DF">
        <w:t>60</w:t>
      </w:r>
      <w:r w:rsidRPr="006758DF">
        <w:t xml:space="preserve"> měsíců způsobil</w:t>
      </w:r>
      <w:r w:rsidR="00310B13" w:rsidRPr="006758DF">
        <w:t>á</w:t>
      </w:r>
      <w:r w:rsidRPr="006758DF">
        <w:t xml:space="preserve"> k obvyklému použití pro stanovený účel</w:t>
      </w:r>
      <w:r w:rsidR="00850D7E" w:rsidRPr="006758DF">
        <w:t xml:space="preserve"> v souladu se specifikací, uvedenou v Příl</w:t>
      </w:r>
      <w:r w:rsidR="00630D1D" w:rsidRPr="006758DF">
        <w:t>o</w:t>
      </w:r>
      <w:r w:rsidR="00850D7E" w:rsidRPr="006758DF">
        <w:t xml:space="preserve">ze č. 1 </w:t>
      </w:r>
      <w:r w:rsidR="00630D1D" w:rsidRPr="006758DF">
        <w:t>S</w:t>
      </w:r>
      <w:r w:rsidR="00850D7E" w:rsidRPr="006758DF">
        <w:t>mlouvy</w:t>
      </w:r>
      <w:r w:rsidR="00596289" w:rsidRPr="006758DF">
        <w:t>,</w:t>
      </w:r>
      <w:r w:rsidRPr="006758DF">
        <w:t xml:space="preserve"> a zachová si obvyklé vlastnosti.</w:t>
      </w:r>
      <w:r w:rsidR="00A704C3" w:rsidRPr="006758DF">
        <w:t xml:space="preserve"> </w:t>
      </w:r>
    </w:p>
    <w:p w14:paraId="1DF0374E" w14:textId="1451687E" w:rsidR="00A704C3" w:rsidRPr="006758DF" w:rsidRDefault="00CF7F8B" w:rsidP="002A2929">
      <w:pPr>
        <w:pStyle w:val="123liststyl"/>
        <w:numPr>
          <w:ilvl w:val="0"/>
          <w:numId w:val="12"/>
        </w:numPr>
      </w:pPr>
      <w:r w:rsidRPr="006758DF">
        <w:t>Počátek běhu doby záruky je stanoven na den následující po dni podepsání akceptačního protokolu s výsledkem „akceptováno“. Pokud je akceptační řízení ukončeno akceptací s</w:t>
      </w:r>
      <w:r w:rsidR="00D859B6" w:rsidRPr="006758DF">
        <w:t> </w:t>
      </w:r>
      <w:r w:rsidRPr="006758DF">
        <w:t>výhradou, tak doba záruky počíná běžet až po odstranění vad.</w:t>
      </w:r>
    </w:p>
    <w:p w14:paraId="23865D3E" w14:textId="6CCABCF2" w:rsidR="00A704C3" w:rsidRPr="006758DF" w:rsidRDefault="00A05C11" w:rsidP="002A2929">
      <w:pPr>
        <w:pStyle w:val="123liststyl"/>
        <w:numPr>
          <w:ilvl w:val="0"/>
          <w:numId w:val="12"/>
        </w:numPr>
      </w:pPr>
      <w:r w:rsidRPr="006758DF">
        <w:rPr>
          <w:rFonts w:cstheme="minorHAnsi"/>
        </w:rPr>
        <w:t>Hlášení závad bude probíhat na jediné objednávkové místo servisních zásahů pro všechny technické komponenty</w:t>
      </w:r>
      <w:r w:rsidRPr="006758DF">
        <w:rPr>
          <w:rFonts w:eastAsia="Times New Roman" w:cstheme="minorHAnsi"/>
          <w:lang w:eastAsia="cs-CZ"/>
        </w:rPr>
        <w:t>.</w:t>
      </w:r>
    </w:p>
    <w:p w14:paraId="74B3C5F3" w14:textId="609580DF" w:rsidR="00A704C3" w:rsidRPr="006758DF" w:rsidRDefault="00E7650B" w:rsidP="002A2929">
      <w:pPr>
        <w:pStyle w:val="123liststyl"/>
        <w:numPr>
          <w:ilvl w:val="0"/>
          <w:numId w:val="12"/>
        </w:numPr>
      </w:pPr>
      <w:r w:rsidRPr="006758DF">
        <w:rPr>
          <w:rFonts w:cstheme="minorHAnsi"/>
        </w:rPr>
        <w:t>Dodavatel zajistí možnost komunikace</w:t>
      </w:r>
      <w:r w:rsidR="00B06746" w:rsidRPr="006758DF">
        <w:rPr>
          <w:rFonts w:cstheme="minorHAnsi"/>
        </w:rPr>
        <w:t xml:space="preserve"> </w:t>
      </w:r>
      <w:r w:rsidRPr="006758DF">
        <w:rPr>
          <w:rFonts w:cstheme="minorHAnsi"/>
        </w:rPr>
        <w:t>v českém (případně slovenském) jazyce.</w:t>
      </w:r>
    </w:p>
    <w:p w14:paraId="2FBDDE7C" w14:textId="752168F0" w:rsidR="00A704C3" w:rsidRPr="006758DF" w:rsidRDefault="00E7650B" w:rsidP="002A2929">
      <w:pPr>
        <w:pStyle w:val="123liststyl"/>
        <w:numPr>
          <w:ilvl w:val="0"/>
          <w:numId w:val="12"/>
        </w:numPr>
      </w:pPr>
      <w:r w:rsidRPr="006758DF">
        <w:t>Dodavatel zajistí, aby Objednatel měl možnost hlásit závady v pracovní dny od 6:00 do 18:00 hodin.</w:t>
      </w:r>
    </w:p>
    <w:p w14:paraId="7ADD216F" w14:textId="3CA4130A" w:rsidR="009C1CF6" w:rsidRPr="006758DF" w:rsidRDefault="009C1CF6" w:rsidP="002A2929">
      <w:pPr>
        <w:pStyle w:val="123liststyl"/>
        <w:numPr>
          <w:ilvl w:val="0"/>
          <w:numId w:val="12"/>
        </w:numPr>
      </w:pPr>
      <w:r w:rsidRPr="006758DF">
        <w:rPr>
          <w:rFonts w:ascii="Arial" w:eastAsia="Arial" w:hAnsi="Arial" w:cs="Arial"/>
          <w:color w:val="000000" w:themeColor="text1"/>
        </w:rPr>
        <w:t>Dodavatel zajistí dohledovou činnost /vzdálený přístup/ v modu 24/7 s automatickým oznamováním o nefunkčnosti do 60 minut.</w:t>
      </w:r>
    </w:p>
    <w:p w14:paraId="220D0168" w14:textId="74E7C77E" w:rsidR="00A704C3" w:rsidRPr="006758DF" w:rsidRDefault="00CD3DB6" w:rsidP="002A2929">
      <w:pPr>
        <w:pStyle w:val="123liststyl"/>
        <w:numPr>
          <w:ilvl w:val="0"/>
          <w:numId w:val="12"/>
        </w:numPr>
      </w:pPr>
      <w:r w:rsidRPr="006758DF">
        <w:t>Dodavatel je povinen plně hradit veškeré náklady záruky, s výjimkou nákladů na zásahy vyvolané neodbornou manipulací na straně pracovníků Objednatele, a nákladů na zbytečný výjezd pracovníků Dodavatele.</w:t>
      </w:r>
    </w:p>
    <w:p w14:paraId="67FBBBC2" w14:textId="14063801" w:rsidR="00A704C3" w:rsidRPr="006758DF" w:rsidRDefault="008D6615" w:rsidP="002A2929">
      <w:pPr>
        <w:pStyle w:val="123liststyl"/>
        <w:numPr>
          <w:ilvl w:val="0"/>
          <w:numId w:val="12"/>
        </w:numPr>
      </w:pPr>
      <w:r w:rsidRPr="006758DF">
        <w:t>Plnění ze záruky bude poskytnuto pro všechny části dodaného HW a všechny jejich dílčí komponenty včetně SW.</w:t>
      </w:r>
    </w:p>
    <w:p w14:paraId="3F5EFE88" w14:textId="793DBD7B" w:rsidR="00A704C3" w:rsidRPr="006758DF" w:rsidRDefault="000B042A" w:rsidP="002A2929">
      <w:pPr>
        <w:pStyle w:val="123liststyl"/>
        <w:numPr>
          <w:ilvl w:val="0"/>
          <w:numId w:val="12"/>
        </w:numPr>
      </w:pPr>
      <w:r w:rsidRPr="006758DF">
        <w:t>Dodavatel</w:t>
      </w:r>
      <w:r w:rsidR="00BB5585" w:rsidRPr="006758DF">
        <w:t xml:space="preserve"> se zavazuje k obnovení provozuschopnosti zařízení do konce následujícího pracovního dne po nahlášení závady (SLA NBD fix time on-site)</w:t>
      </w:r>
      <w:r w:rsidR="00970DF4" w:rsidRPr="006758DF">
        <w:t>.</w:t>
      </w:r>
    </w:p>
    <w:p w14:paraId="3A578751" w14:textId="6FFC1145" w:rsidR="00A704C3" w:rsidRPr="006758DF" w:rsidRDefault="00970DF4" w:rsidP="002A2929">
      <w:pPr>
        <w:pStyle w:val="123liststyl"/>
        <w:numPr>
          <w:ilvl w:val="0"/>
          <w:numId w:val="12"/>
        </w:numPr>
      </w:pPr>
      <w:r w:rsidRPr="006758DF">
        <w:rPr>
          <w:rFonts w:eastAsia="Times New Roman" w:cstheme="minorHAnsi"/>
          <w:lang w:eastAsia="cs-CZ"/>
        </w:rPr>
        <w:t>Dodavatel se zavazuje k přednostnímu provádění zásahu v místě dodání zařízení. V případě výskytu závady, jejíž odstranění z jakýchkoli důvodů nebude na místě možné, je Dodavatel povinen bezplatně poskytnout Objednateli nový náhradní HW (popřípadě náhradní díl) v konfiguraci nejméně stejně funkční jako vadný HW (díl), tak aby Objednatel mohl řádně užívat plnění bez omezení do doby, než bude odstraněna vada. Jestliže dojde k opravě, bude původní HW (díl) po opravě navrácen. Veškerá manipulace s HW bude protokolárně zaznamenána. V případě, že oprava vadné komponenty nebude možná, bude předmětná komponenta nahrazena novou komponentou stejných nebo lepších parametrů.</w:t>
      </w:r>
    </w:p>
    <w:p w14:paraId="4AEEF515" w14:textId="169F69AF" w:rsidR="00A704C3" w:rsidRPr="006758DF" w:rsidRDefault="0073744F" w:rsidP="002A2929">
      <w:pPr>
        <w:pStyle w:val="123liststyl"/>
        <w:numPr>
          <w:ilvl w:val="0"/>
          <w:numId w:val="12"/>
        </w:numPr>
      </w:pPr>
      <w:r w:rsidRPr="006758DF">
        <w:rPr>
          <w:rFonts w:eastAsia="Times New Roman" w:cstheme="minorHAnsi"/>
          <w:lang w:eastAsia="cs-CZ"/>
        </w:rPr>
        <w:t xml:space="preserve">Dodavatel </w:t>
      </w:r>
      <w:r w:rsidR="00834348" w:rsidRPr="006758DF">
        <w:rPr>
          <w:rFonts w:eastAsia="Times New Roman" w:cstheme="minorHAnsi"/>
          <w:lang w:eastAsia="cs-CZ"/>
        </w:rPr>
        <w:t>zajistí</w:t>
      </w:r>
      <w:r w:rsidRPr="006758DF">
        <w:rPr>
          <w:rFonts w:eastAsia="Times New Roman" w:cstheme="minorHAnsi"/>
          <w:lang w:eastAsia="cs-CZ"/>
        </w:rPr>
        <w:t xml:space="preserve"> Objednateli ve vztahu k SW </w:t>
      </w:r>
      <w:r w:rsidRPr="006758DF">
        <w:rPr>
          <w:rFonts w:cstheme="minorHAnsi"/>
          <w:color w:val="000000" w:themeColor="text1"/>
        </w:rPr>
        <w:t>právo na aktualizace SW zdarma a záruku na funkčnost po stanovenou dobu.</w:t>
      </w:r>
    </w:p>
    <w:p w14:paraId="5CEE5A41" w14:textId="5AB6B7D7" w:rsidR="00A704C3" w:rsidRPr="006758DF" w:rsidRDefault="00A704C3" w:rsidP="002A2929">
      <w:pPr>
        <w:pStyle w:val="123liststyl"/>
        <w:numPr>
          <w:ilvl w:val="0"/>
          <w:numId w:val="12"/>
        </w:numPr>
      </w:pPr>
      <w:r w:rsidRPr="006758DF">
        <w:lastRenderedPageBreak/>
        <w:t>Objednatel má právo v záruční době požadovat jednou ročně pravidelnou servisní prohlídku, která bude poskytnuta zdarma.</w:t>
      </w:r>
    </w:p>
    <w:p w14:paraId="2EB798A2" w14:textId="51D36B7B" w:rsidR="009C1CF6" w:rsidRPr="006758DF" w:rsidRDefault="009C1CF6" w:rsidP="002A2929">
      <w:pPr>
        <w:pStyle w:val="123liststyl"/>
        <w:numPr>
          <w:ilvl w:val="0"/>
          <w:numId w:val="12"/>
        </w:numPr>
      </w:pPr>
      <w:r w:rsidRPr="006758DF">
        <w:t xml:space="preserve">Objednatel má právo požadovat </w:t>
      </w:r>
      <w:r w:rsidRPr="006758DF">
        <w:rPr>
          <w:rFonts w:ascii="Arial" w:eastAsia="Arial" w:hAnsi="Arial" w:cs="Arial"/>
          <w:color w:val="000000" w:themeColor="text1"/>
        </w:rPr>
        <w:t>změnu konfigurace vzhledu a obsahu EÚD dle požadavků Objednatele (grafická změna, počet EÚD a záložek).</w:t>
      </w:r>
    </w:p>
    <w:p w14:paraId="5FFCA319" w14:textId="29070886" w:rsidR="00834348" w:rsidRPr="006758DF" w:rsidRDefault="00834348" w:rsidP="0027110B">
      <w:pPr>
        <w:pStyle w:val="123liststyl"/>
        <w:numPr>
          <w:ilvl w:val="0"/>
          <w:numId w:val="12"/>
        </w:numPr>
      </w:pPr>
      <w:r w:rsidRPr="006758DF">
        <w:rPr>
          <w:rFonts w:ascii="Arial" w:eastAsia="Arial" w:hAnsi="Arial" w:cs="Arial"/>
          <w:color w:val="000000" w:themeColor="text1"/>
        </w:rPr>
        <w:t xml:space="preserve">Objednatel </w:t>
      </w:r>
      <w:r w:rsidR="00F03802" w:rsidRPr="006758DF">
        <w:rPr>
          <w:rFonts w:ascii="Arial" w:eastAsia="Arial" w:hAnsi="Arial" w:cs="Arial"/>
          <w:color w:val="000000" w:themeColor="text1"/>
        </w:rPr>
        <w:t>má právo</w:t>
      </w:r>
      <w:r w:rsidRPr="006758DF">
        <w:rPr>
          <w:rFonts w:ascii="Arial" w:eastAsia="Arial" w:hAnsi="Arial" w:cs="Arial"/>
          <w:color w:val="000000" w:themeColor="text1"/>
        </w:rPr>
        <w:t xml:space="preserve"> používat dodanou EÚD včetně SW i po skončení záruky, respektive této Smlouvy.</w:t>
      </w:r>
    </w:p>
    <w:p w14:paraId="1A75EF59" w14:textId="17DAD505" w:rsidR="00A704C3" w:rsidRPr="006758DF" w:rsidRDefault="00A704C3" w:rsidP="00C94B0D">
      <w:pPr>
        <w:pStyle w:val="Nadpis1"/>
      </w:pPr>
      <w:r w:rsidRPr="006758DF">
        <w:t>Sankční podmínky</w:t>
      </w:r>
    </w:p>
    <w:p w14:paraId="396BEAAC" w14:textId="6013E41F" w:rsidR="00A704C3" w:rsidRPr="006758DF" w:rsidRDefault="00D343F2" w:rsidP="002A2929">
      <w:pPr>
        <w:pStyle w:val="123liststyl"/>
        <w:numPr>
          <w:ilvl w:val="0"/>
          <w:numId w:val="13"/>
        </w:numPr>
      </w:pPr>
      <w:r w:rsidRPr="006758DF">
        <w:t>V případě prodlení Objednatele s úhradou plateb sjednaných v této Smlouvě je Dodavatel po Kupujícím oprávněn požadovat uhrazení smluvní pokuty ve výši 0,05 % z dlužné částky za každý započatý den prodlení.</w:t>
      </w:r>
    </w:p>
    <w:p w14:paraId="7C168AF1" w14:textId="12F7B731" w:rsidR="00A704C3" w:rsidRPr="006758DF" w:rsidRDefault="0063540E" w:rsidP="002A2929">
      <w:pPr>
        <w:pStyle w:val="123liststyl"/>
        <w:numPr>
          <w:ilvl w:val="0"/>
          <w:numId w:val="13"/>
        </w:numPr>
      </w:pPr>
      <w:r w:rsidRPr="006758DF">
        <w:t>V případě prodlení s předáním plnění nebo jeho součástí bude Kupující požadovat po Prodávajícím slevu z ceny ve výši 0,</w:t>
      </w:r>
      <w:r w:rsidR="00677AE5" w:rsidRPr="006758DF">
        <w:t>1</w:t>
      </w:r>
      <w:r w:rsidRPr="006758DF">
        <w:t xml:space="preserve"> % z celkové ceny dodávaného předmětu plnění bez DPH za každý započatý den prodlení.</w:t>
      </w:r>
    </w:p>
    <w:p w14:paraId="4E8D394E" w14:textId="6FB76C85" w:rsidR="00A704C3" w:rsidRPr="006758DF" w:rsidRDefault="00A704C3" w:rsidP="002A2929">
      <w:pPr>
        <w:pStyle w:val="123liststyl"/>
        <w:numPr>
          <w:ilvl w:val="0"/>
          <w:numId w:val="13"/>
        </w:numPr>
      </w:pPr>
      <w:r w:rsidRPr="006758DF">
        <w:t xml:space="preserve">V případě prodlení s odstraněním vady je Dodavatel povinen poskytnout Objednateli </w:t>
      </w:r>
      <w:r w:rsidR="00A71F4D" w:rsidRPr="006758DF">
        <w:t>smluvní pokutu</w:t>
      </w:r>
      <w:r w:rsidRPr="006758DF">
        <w:t xml:space="preserve"> ve výši </w:t>
      </w:r>
      <w:r w:rsidR="00C87048" w:rsidRPr="006758DF">
        <w:t>1 0</w:t>
      </w:r>
      <w:r w:rsidRPr="006758DF">
        <w:t xml:space="preserve">00 Kč za každý započatý pracovní den prodlení. </w:t>
      </w:r>
    </w:p>
    <w:p w14:paraId="1ADC3FB4" w14:textId="5B96E13D" w:rsidR="00A704C3" w:rsidRPr="006758DF" w:rsidRDefault="00A704C3" w:rsidP="002A2929">
      <w:pPr>
        <w:pStyle w:val="123liststyl"/>
        <w:numPr>
          <w:ilvl w:val="0"/>
          <w:numId w:val="13"/>
        </w:numPr>
      </w:pPr>
      <w:r w:rsidRPr="006758DF">
        <w:t>V případě prodlení s odstraněním vad stanovených v akceptačním protokolu v případě akceptace s výhradou je povinen Dodavatel poskytnout slevu z</w:t>
      </w:r>
      <w:r w:rsidR="00C87048" w:rsidRPr="006758DF">
        <w:t xml:space="preserve"> </w:t>
      </w:r>
      <w:r w:rsidRPr="006758DF">
        <w:t xml:space="preserve">ceny ve výši </w:t>
      </w:r>
      <w:r w:rsidR="00FA4862" w:rsidRPr="006758DF">
        <w:t>500 </w:t>
      </w:r>
      <w:r w:rsidRPr="006758DF">
        <w:t xml:space="preserve">Kč za každý započatý pracovní den prodlení a za každou uvedenou vadu. </w:t>
      </w:r>
    </w:p>
    <w:p w14:paraId="3302D0E6" w14:textId="5B334737" w:rsidR="00A704C3" w:rsidRPr="006758DF" w:rsidRDefault="00A704C3" w:rsidP="002A2929">
      <w:pPr>
        <w:pStyle w:val="123liststyl"/>
        <w:numPr>
          <w:ilvl w:val="0"/>
          <w:numId w:val="13"/>
        </w:numPr>
      </w:pPr>
      <w:r w:rsidRPr="006758DF">
        <w:t>Sleva z ceny bude poskytnuta v rámci fakturace bezprostředně následující po porušení povinnosti Dodavatele.</w:t>
      </w:r>
    </w:p>
    <w:p w14:paraId="0E14E106" w14:textId="593FE5BE" w:rsidR="00A704C3" w:rsidRPr="006758DF" w:rsidRDefault="00A704C3" w:rsidP="002A2929">
      <w:pPr>
        <w:pStyle w:val="123liststyl"/>
        <w:numPr>
          <w:ilvl w:val="0"/>
          <w:numId w:val="13"/>
        </w:numPr>
      </w:pPr>
      <w:r w:rsidRPr="006758DF">
        <w:t>Poskytnutí slevy z ceny či smluvní pokuty nezbavuje povinnou smluvní stranu povinnosti splnit své závazky.</w:t>
      </w:r>
    </w:p>
    <w:p w14:paraId="4A9C04B9" w14:textId="161D776B" w:rsidR="00A704C3" w:rsidRPr="006758DF" w:rsidRDefault="00A704C3" w:rsidP="002A2929">
      <w:pPr>
        <w:pStyle w:val="123liststyl"/>
        <w:numPr>
          <w:ilvl w:val="0"/>
          <w:numId w:val="13"/>
        </w:numPr>
      </w:pPr>
      <w:r w:rsidRPr="006758DF">
        <w:t xml:space="preserve">Každá ze smluvních stran je oprávněna požadovat náhradu škody i v případě, že se jedná o porušení povinnosti, na kterou se vztahuje sleva z ceny či smluvní pokuta, a to v celém rozsahu. Odstoupením od </w:t>
      </w:r>
      <w:r w:rsidR="00630D1D" w:rsidRPr="006758DF">
        <w:t>S</w:t>
      </w:r>
      <w:r w:rsidRPr="006758DF">
        <w:t>mlouvy nárok na slevu z ceny či smluvní pokutu nezaniká.</w:t>
      </w:r>
    </w:p>
    <w:p w14:paraId="09987B11" w14:textId="1FEFD99C" w:rsidR="00A704C3" w:rsidRPr="006758DF" w:rsidRDefault="00A704C3" w:rsidP="00C94B0D">
      <w:pPr>
        <w:pStyle w:val="Nadpis1"/>
      </w:pPr>
      <w:r w:rsidRPr="006758DF">
        <w:t>Odstoupení od Smlouvy</w:t>
      </w:r>
    </w:p>
    <w:p w14:paraId="39B5EE0E" w14:textId="4F7BFA75" w:rsidR="00A704C3" w:rsidRPr="006758DF" w:rsidRDefault="00A704C3" w:rsidP="002A2929">
      <w:pPr>
        <w:pStyle w:val="123liststyl"/>
        <w:numPr>
          <w:ilvl w:val="0"/>
          <w:numId w:val="14"/>
        </w:numPr>
      </w:pPr>
      <w:r w:rsidRPr="006758DF">
        <w:t>Strany jsou oprávněny od Smlouvy odstoupit pouze v případě závažného porušení smluvní (ve smyslu § 2002 občanského zákoníku) nebo zákonné povinnosti protistranou (tzv. podstatné porušení povinnosti) a dále v případech výslovně vymezených touto Smlouvou.</w:t>
      </w:r>
    </w:p>
    <w:p w14:paraId="137A4F61" w14:textId="67DD853F" w:rsidR="00A704C3" w:rsidRPr="006758DF" w:rsidRDefault="00A704C3" w:rsidP="002A2929">
      <w:pPr>
        <w:pStyle w:val="123liststyl"/>
        <w:numPr>
          <w:ilvl w:val="0"/>
          <w:numId w:val="14"/>
        </w:numPr>
      </w:pPr>
      <w:r w:rsidRPr="006758DF">
        <w:t>Za podstatné porušení povinnosti ze strany Dodavatele se považuje zejména zpoždění s</w:t>
      </w:r>
      <w:r w:rsidR="00F83CF7" w:rsidRPr="006758DF">
        <w:t> </w:t>
      </w:r>
      <w:r w:rsidRPr="006758DF">
        <w:t xml:space="preserve">řádným plněním dle Smlouvy (zejména pozdní dodání, </w:t>
      </w:r>
      <w:r w:rsidR="000F36AF" w:rsidRPr="006758DF">
        <w:t>nedodržení SLA</w:t>
      </w:r>
      <w:r w:rsidRPr="006758DF">
        <w:t>) delší než 1</w:t>
      </w:r>
      <w:r w:rsidR="000F36AF" w:rsidRPr="006758DF">
        <w:t>5</w:t>
      </w:r>
      <w:r w:rsidR="0027110B" w:rsidRPr="006758DF">
        <w:t xml:space="preserve"> pracovních dní.</w:t>
      </w:r>
    </w:p>
    <w:p w14:paraId="5643E9DE" w14:textId="6C233673" w:rsidR="00A704C3" w:rsidRPr="006758DF" w:rsidRDefault="00A704C3" w:rsidP="002A2929">
      <w:pPr>
        <w:pStyle w:val="123liststyl"/>
        <w:numPr>
          <w:ilvl w:val="0"/>
          <w:numId w:val="14"/>
        </w:numPr>
      </w:pPr>
      <w:r w:rsidRPr="006758DF">
        <w:t>Obě smluvní strany mají právo odstoupit od Smlouvy v případě, že okolnosti vyšší moci trvají déle než 3 měsíce.</w:t>
      </w:r>
    </w:p>
    <w:p w14:paraId="066FDB3E" w14:textId="2B917795" w:rsidR="00A704C3" w:rsidRPr="006758DF" w:rsidRDefault="00A704C3" w:rsidP="002A2929">
      <w:pPr>
        <w:pStyle w:val="123liststyl"/>
        <w:numPr>
          <w:ilvl w:val="0"/>
          <w:numId w:val="14"/>
        </w:numPr>
      </w:pPr>
      <w:r w:rsidRPr="006758DF">
        <w:t>Účinky každého odstoupení od Smlouvy nastávají okamžikem doručení písemného projevu vůle odstoupit od této Smlouvy druhé smluvní straně. Odstoupením od Smlouvy nezaniká nárok na náhradu škody vzniklé porušením Smlouvy ani oprávněného nároku na zaplacení smluvních pokut resp. poskytnutí slev z cen.</w:t>
      </w:r>
    </w:p>
    <w:p w14:paraId="3F5C725C" w14:textId="36EFD9CC" w:rsidR="00A704C3" w:rsidRPr="006758DF" w:rsidRDefault="00A704C3" w:rsidP="002A2929">
      <w:pPr>
        <w:pStyle w:val="123liststyl"/>
        <w:numPr>
          <w:ilvl w:val="0"/>
          <w:numId w:val="14"/>
        </w:numPr>
      </w:pPr>
      <w:r w:rsidRPr="006758DF">
        <w:t>Ukončením účinnosti této Smlouvy nejsou dotčena ustanovení Smlouvy o mlčenlivosti a</w:t>
      </w:r>
      <w:r w:rsidR="00F83CF7" w:rsidRPr="006758DF">
        <w:t> </w:t>
      </w:r>
      <w:r w:rsidRPr="006758DF">
        <w:t>ani další ustanovení a nároky, z jejichž povahy vyplývá, že mají trvat i po zániku účinnosti této Smlouvy.</w:t>
      </w:r>
    </w:p>
    <w:p w14:paraId="589C0551" w14:textId="6467F471" w:rsidR="00A704C3" w:rsidRPr="006758DF" w:rsidRDefault="00A704C3" w:rsidP="00C94B0D">
      <w:pPr>
        <w:pStyle w:val="Nadpis1"/>
      </w:pPr>
      <w:r w:rsidRPr="006758DF">
        <w:t>Vyšší moc</w:t>
      </w:r>
    </w:p>
    <w:p w14:paraId="7484E2B8" w14:textId="03197A88" w:rsidR="00A704C3" w:rsidRPr="006758DF" w:rsidRDefault="00A704C3" w:rsidP="002A2929">
      <w:pPr>
        <w:pStyle w:val="123liststyl"/>
        <w:numPr>
          <w:ilvl w:val="0"/>
          <w:numId w:val="15"/>
        </w:numPr>
      </w:pPr>
      <w:r w:rsidRPr="006758DF">
        <w:t xml:space="preserve">Žádná ze smluvních stran nebude považována za odpovědnou za nesplnění některého ustanovení této Smlouvy, budou-li příčinou nepředvídatelné, neodvratitelné a povinnou </w:t>
      </w:r>
      <w:r w:rsidRPr="006758DF">
        <w:lastRenderedPageBreak/>
        <w:t>stranou nekontrolovatelné okolnosti nebo události, která způsobují, že plnění povinností není možné nebo je krajně obtížné. Za vyšší moc se považují zejména epidemie, ozbrojené konflikty, přírodní katastrofy, meteorologické podmínky apod., a to pouze za podmínky, že splňují požadavky v předchozí větě (dále též jako „vyšší moc“).</w:t>
      </w:r>
    </w:p>
    <w:p w14:paraId="3035A07E" w14:textId="0B37D734" w:rsidR="00A704C3" w:rsidRPr="006758DF" w:rsidRDefault="00A704C3" w:rsidP="002A2929">
      <w:pPr>
        <w:pStyle w:val="123liststyl"/>
        <w:numPr>
          <w:ilvl w:val="0"/>
          <w:numId w:val="15"/>
        </w:numPr>
      </w:pPr>
      <w:r w:rsidRPr="006758DF">
        <w:t>Smluvní strana, která porušuje svou povinnost nebo která s přihlédnutím ke všem okolnostem má vědět, že poruší svou povinnost založenou touto Smlouvou, nebo která se dozví o okolnosti vyšší moci, bránící plnění povinnosti dle této Smlouvy, je povinna oznámit písemně druhé smluvní straně povahu překážky, která jí brání nebo bude bránit v plnění povinnosti, a o jejích důsledcích. Zpráva musí být podána bez zbytečného odkladu, nejpozději však do 5</w:t>
      </w:r>
      <w:r w:rsidR="00650DF9" w:rsidRPr="006758DF">
        <w:t>ti</w:t>
      </w:r>
      <w:r w:rsidRPr="006758DF">
        <w:t xml:space="preserve"> pracovních dnů poté, kdy se povinná smluvní strana o překážce dověděla nebo při náležité péči mohla dovědět. Druhá smluvní strana je povinna přijetí takové zprávy bez zbytečného odkladu písemně potvrdit. Stejným způsobem musí být obeznámena druhá smluvní strana o ukončení okolností bránících splnění povinností vyplývajících z této Smlouvy.</w:t>
      </w:r>
    </w:p>
    <w:p w14:paraId="145ACA28" w14:textId="225AA7FF" w:rsidR="00A704C3" w:rsidRPr="006758DF" w:rsidRDefault="00A704C3" w:rsidP="00C94B0D">
      <w:pPr>
        <w:pStyle w:val="Nadpis1"/>
      </w:pPr>
      <w:r w:rsidRPr="006758DF">
        <w:t>Závěrečná ujednání</w:t>
      </w:r>
    </w:p>
    <w:p w14:paraId="725A839E" w14:textId="0AEB97F4" w:rsidR="00A704C3" w:rsidRPr="006758DF" w:rsidRDefault="00A704C3" w:rsidP="002A2929">
      <w:pPr>
        <w:pStyle w:val="123liststyl"/>
        <w:numPr>
          <w:ilvl w:val="0"/>
          <w:numId w:val="16"/>
        </w:numPr>
      </w:pPr>
      <w:r w:rsidRPr="006758DF">
        <w:t xml:space="preserve">Tato Smlouva se řídí právním řádem České republiky. Vztahy mezi smluvními stranami se řídí zejména občanským zákoníkem, pokud Smlouva nestanoví jinak. </w:t>
      </w:r>
    </w:p>
    <w:p w14:paraId="15782E6D" w14:textId="0B312A52" w:rsidR="00A704C3" w:rsidRPr="006758DF" w:rsidRDefault="00A704C3" w:rsidP="002A2929">
      <w:pPr>
        <w:pStyle w:val="123liststyl"/>
        <w:numPr>
          <w:ilvl w:val="0"/>
          <w:numId w:val="16"/>
        </w:numPr>
      </w:pPr>
      <w:r w:rsidRPr="006758DF">
        <w:t>Tuto Smlouvu je možné měnit pouze písemnou dohodou smluvních stran ve formě číslovaných dodatků této Smlouvy, podepsaných za každou smluvní stranu osobou nebo osobami oprávněnými jednat jménem smluvních stran, a to předchozím řádném projednání Smluvními stranami.</w:t>
      </w:r>
    </w:p>
    <w:p w14:paraId="3E99BFF9" w14:textId="7831503C" w:rsidR="00A704C3" w:rsidRPr="006758DF" w:rsidRDefault="00A704C3" w:rsidP="002A2929">
      <w:pPr>
        <w:pStyle w:val="123liststyl"/>
        <w:numPr>
          <w:ilvl w:val="0"/>
          <w:numId w:val="16"/>
        </w:numPr>
      </w:pPr>
      <w:r w:rsidRPr="006758DF">
        <w:t>Pro případy promlčení se použije úprava obsažená v občanském zákoníku.</w:t>
      </w:r>
    </w:p>
    <w:p w14:paraId="2B668C06" w14:textId="16DFF816" w:rsidR="00A704C3" w:rsidRPr="006758DF" w:rsidRDefault="00A704C3" w:rsidP="002A2929">
      <w:pPr>
        <w:pStyle w:val="123liststyl"/>
        <w:numPr>
          <w:ilvl w:val="0"/>
          <w:numId w:val="16"/>
        </w:numPr>
      </w:pPr>
      <w:r w:rsidRPr="006758DF">
        <w:t>V případě řešení sporů před soudem si smluvní strany sjednávají místní příslušnost prvoinstančního soudu podle místa sídla Objednatele.</w:t>
      </w:r>
    </w:p>
    <w:p w14:paraId="1816907C" w14:textId="001FB456" w:rsidR="00A704C3" w:rsidRPr="006758DF" w:rsidRDefault="00A704C3" w:rsidP="002A2929">
      <w:pPr>
        <w:pStyle w:val="123liststyl"/>
        <w:numPr>
          <w:ilvl w:val="0"/>
          <w:numId w:val="16"/>
        </w:numPr>
      </w:pPr>
      <w:r w:rsidRPr="006758DF">
        <w:t>Smluvní strany berou na vědomí, že tato Smlouva podléhá povinnosti zveřejnění dle zákona č. 340/2015 Sb., o zvláštních podmínkách účinnosti některých smluv, uveřejňování těchto smluv a o registru smluv (zákon o registru smluv)</w:t>
      </w:r>
      <w:r w:rsidR="004211C0" w:rsidRPr="006758DF">
        <w:t>, ve znění pozdějších předpisů,</w:t>
      </w:r>
      <w:r w:rsidRPr="006758DF">
        <w:t xml:space="preserve"> a</w:t>
      </w:r>
      <w:r w:rsidR="004211C0" w:rsidRPr="006758DF">
        <w:t> </w:t>
      </w:r>
      <w:r w:rsidRPr="006758DF">
        <w:t>nabývá účinnosti nejdříve dnem zveřejnění v registru smluv. Zveřejnění v registru smluv zajistí Objednatel.</w:t>
      </w:r>
    </w:p>
    <w:p w14:paraId="34B19168" w14:textId="7E357D20" w:rsidR="00A704C3" w:rsidRPr="006758DF" w:rsidRDefault="00A704C3" w:rsidP="002A2929">
      <w:pPr>
        <w:pStyle w:val="123liststyl"/>
        <w:numPr>
          <w:ilvl w:val="0"/>
          <w:numId w:val="16"/>
        </w:numPr>
      </w:pPr>
      <w:r w:rsidRPr="006758DF">
        <w:t>Obě smluvní strany tímto prohlašují a potvrzují, že veškerá ustanovení a podmínky této Smlouvy byly dohodnuty mezi smluvními stranami svobodně, vážně a určitě, nikoliv v tísni a za nápadně nevýhodných podmínek a na důkaz toho připojují své podpisy.</w:t>
      </w:r>
    </w:p>
    <w:p w14:paraId="1B240AA4" w14:textId="650E2192" w:rsidR="00A704C3" w:rsidRPr="006758DF" w:rsidRDefault="00A704C3" w:rsidP="002A2929">
      <w:pPr>
        <w:pStyle w:val="123liststyl"/>
        <w:numPr>
          <w:ilvl w:val="0"/>
          <w:numId w:val="16"/>
        </w:numPr>
      </w:pPr>
      <w:r w:rsidRPr="006758DF">
        <w:t>Smlouva nabývá platnosti dnem podpisu oběma smluvními stranami.</w:t>
      </w:r>
    </w:p>
    <w:p w14:paraId="50B8F079" w14:textId="6A2ABC12" w:rsidR="00A704C3" w:rsidRPr="006758DF" w:rsidRDefault="00A704C3" w:rsidP="002A2929">
      <w:pPr>
        <w:pStyle w:val="123liststyl"/>
        <w:numPr>
          <w:ilvl w:val="0"/>
          <w:numId w:val="16"/>
        </w:numPr>
      </w:pPr>
      <w:r w:rsidRPr="006758DF">
        <w:t>Nedílnou součástí této Smlouvy jsou přílohy:</w:t>
      </w:r>
    </w:p>
    <w:p w14:paraId="61EE22F4" w14:textId="047DFD2C" w:rsidR="00A704C3" w:rsidRPr="006758DF" w:rsidRDefault="00A704C3" w:rsidP="00C94B0D">
      <w:pPr>
        <w:pStyle w:val="bodovseznam"/>
      </w:pPr>
      <w:r w:rsidRPr="006758DF">
        <w:t>Příloha č. 1 - Podrobná technická specifikace plnění</w:t>
      </w:r>
    </w:p>
    <w:p w14:paraId="7D0245D5" w14:textId="4BF8895D" w:rsidR="00F868F3" w:rsidRPr="006758DF" w:rsidRDefault="00F868F3" w:rsidP="00A704C3"/>
    <w:p w14:paraId="361E8B21" w14:textId="69A631FF" w:rsidR="00881AFB" w:rsidRPr="006758DF" w:rsidRDefault="00881AFB" w:rsidP="00A704C3"/>
    <w:p w14:paraId="7BE61801" w14:textId="27D8E93E" w:rsidR="008F17DE" w:rsidRPr="006758DF" w:rsidRDefault="00E47F51">
      <w:r w:rsidRPr="006758DF">
        <w:rPr>
          <w:noProof/>
          <w:lang w:eastAsia="cs-CZ"/>
        </w:rPr>
        <mc:AlternateContent>
          <mc:Choice Requires="wps">
            <w:drawing>
              <wp:anchor distT="45720" distB="45720" distL="114300" distR="114300" simplePos="0" relativeHeight="251659264" behindDoc="0" locked="0" layoutInCell="1" allowOverlap="1" wp14:anchorId="322425DC" wp14:editId="696EDE93">
                <wp:simplePos x="0" y="0"/>
                <wp:positionH relativeFrom="column">
                  <wp:posOffset>2948305</wp:posOffset>
                </wp:positionH>
                <wp:positionV relativeFrom="paragraph">
                  <wp:posOffset>94615</wp:posOffset>
                </wp:positionV>
                <wp:extent cx="2856230" cy="1228725"/>
                <wp:effectExtent l="0" t="0" r="127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1228725"/>
                        </a:xfrm>
                        <a:prstGeom prst="rect">
                          <a:avLst/>
                        </a:prstGeom>
                        <a:solidFill>
                          <a:srgbClr val="FFFFFF"/>
                        </a:solidFill>
                        <a:ln w="9525">
                          <a:noFill/>
                          <a:miter lim="800000"/>
                          <a:headEnd/>
                          <a:tailEnd/>
                        </a:ln>
                      </wps:spPr>
                      <wps:txbx>
                        <w:txbxContent>
                          <w:p w14:paraId="76BB8488" w14:textId="77777777" w:rsidR="00903C18" w:rsidRDefault="00903C18" w:rsidP="00903C18">
                            <w:pPr>
                              <w:jc w:val="center"/>
                            </w:pPr>
                            <w:r>
                              <w:t>Objednatel:</w:t>
                            </w:r>
                          </w:p>
                          <w:p w14:paraId="1F69E6C2" w14:textId="77777777" w:rsidR="00983D46" w:rsidRDefault="00983D46" w:rsidP="00983D46">
                            <w:pPr>
                              <w:spacing w:after="0"/>
                              <w:jc w:val="center"/>
                            </w:pPr>
                            <w:r w:rsidRPr="00E46212">
                              <w:t>Ing. Štěpán Forman</w:t>
                            </w:r>
                            <w:r w:rsidDel="00BF5BC1">
                              <w:t xml:space="preserve"> </w:t>
                            </w:r>
                          </w:p>
                          <w:p w14:paraId="3CC67645" w14:textId="4C9C5650" w:rsidR="00983D46" w:rsidRDefault="00E47F51" w:rsidP="00983D46">
                            <w:pPr>
                              <w:jc w:val="center"/>
                            </w:pPr>
                            <w:r w:rsidRPr="00E47F51">
                              <w:t xml:space="preserve">ředitel Katastrálního úřadu pro Zlínský kraj </w:t>
                            </w:r>
                            <w:r w:rsidR="00983D46" w:rsidDel="00BF5BC1">
                              <w:t xml:space="preserve"> </w:t>
                            </w:r>
                          </w:p>
                          <w:p w14:paraId="12D84833" w14:textId="4C4B1601" w:rsidR="00903C18" w:rsidRDefault="00903C18" w:rsidP="00903C18">
                            <w:pPr>
                              <w:jc w:val="center"/>
                            </w:pPr>
                          </w:p>
                          <w:p w14:paraId="2195F774" w14:textId="17F35BB1" w:rsidR="00B25E4B" w:rsidRDefault="00B25E4B" w:rsidP="00C94B0D">
                            <w:pPr>
                              <w:jc w:val="center"/>
                            </w:pPr>
                          </w:p>
                          <w:p w14:paraId="6E1152AA" w14:textId="7A138FEC" w:rsidR="00B25E4B" w:rsidRDefault="00B25E4B" w:rsidP="00C94B0D">
                            <w:pPr>
                              <w:jc w:val="center"/>
                            </w:pPr>
                          </w:p>
                          <w:p w14:paraId="5B854027" w14:textId="503B3421" w:rsidR="00B25E4B" w:rsidRDefault="00B25E4B" w:rsidP="00C94B0D">
                            <w:pPr>
                              <w:jc w:val="center"/>
                            </w:pPr>
                          </w:p>
                          <w:p w14:paraId="0A4BAE1C" w14:textId="64BB32F9" w:rsidR="00B25E4B" w:rsidRDefault="00B25E4B" w:rsidP="00C94B0D">
                            <w:pPr>
                              <w:jc w:val="center"/>
                            </w:pPr>
                          </w:p>
                          <w:p w14:paraId="7C9F5C76" w14:textId="0CD9D4D5" w:rsidR="00B25E4B" w:rsidRDefault="00B25E4B" w:rsidP="00C94B0D">
                            <w:pPr>
                              <w:jc w:val="center"/>
                            </w:pPr>
                          </w:p>
                          <w:p w14:paraId="1BC6A422" w14:textId="1FBAED2B" w:rsidR="00B25E4B" w:rsidRDefault="00B25E4B" w:rsidP="00C94B0D">
                            <w:pPr>
                              <w:jc w:val="center"/>
                            </w:pPr>
                          </w:p>
                          <w:p w14:paraId="61294716" w14:textId="45587E1A" w:rsidR="00B25E4B" w:rsidRDefault="00B25E4B" w:rsidP="00C94B0D">
                            <w:pPr>
                              <w:jc w:val="center"/>
                            </w:pPr>
                          </w:p>
                          <w:p w14:paraId="6EEA8821" w14:textId="1D959C05" w:rsidR="00B25E4B" w:rsidRDefault="00B25E4B" w:rsidP="00C94B0D">
                            <w:pPr>
                              <w:jc w:val="center"/>
                            </w:pPr>
                          </w:p>
                          <w:p w14:paraId="0F8F3C25" w14:textId="4524302D" w:rsidR="00B25E4B" w:rsidRDefault="00B25E4B" w:rsidP="00C94B0D">
                            <w:pPr>
                              <w:jc w:val="center"/>
                            </w:pPr>
                          </w:p>
                          <w:p w14:paraId="18590DBC" w14:textId="7581E824" w:rsidR="00B25E4B" w:rsidRDefault="00B25E4B" w:rsidP="00C94B0D">
                            <w:pPr>
                              <w:jc w:val="center"/>
                            </w:pPr>
                          </w:p>
                          <w:p w14:paraId="13B3B287" w14:textId="56DA37ED" w:rsidR="00B25E4B" w:rsidRDefault="00B25E4B" w:rsidP="00C94B0D">
                            <w:pPr>
                              <w:jc w:val="center"/>
                            </w:pPr>
                          </w:p>
                          <w:p w14:paraId="0CA05977" w14:textId="14DCA968" w:rsidR="00B25E4B" w:rsidRDefault="00B25E4B" w:rsidP="00C94B0D">
                            <w:pPr>
                              <w:jc w:val="center"/>
                            </w:pPr>
                          </w:p>
                          <w:p w14:paraId="705BA45D" w14:textId="7C66C4A4" w:rsidR="00B25E4B" w:rsidRDefault="00B25E4B" w:rsidP="00C94B0D">
                            <w:pPr>
                              <w:jc w:val="center"/>
                            </w:pPr>
                          </w:p>
                          <w:p w14:paraId="0D92BA4C" w14:textId="51A700E5" w:rsidR="00B25E4B" w:rsidRDefault="00B25E4B" w:rsidP="00C94B0D">
                            <w:pPr>
                              <w:jc w:val="center"/>
                            </w:pPr>
                          </w:p>
                          <w:p w14:paraId="0EDA23B1" w14:textId="7AAE29A4" w:rsidR="00B25E4B" w:rsidRDefault="00B25E4B" w:rsidP="00C94B0D">
                            <w:pPr>
                              <w:jc w:val="center"/>
                            </w:pPr>
                          </w:p>
                          <w:p w14:paraId="0680800E" w14:textId="60220917" w:rsidR="00B25E4B" w:rsidRDefault="00B25E4B" w:rsidP="00C94B0D">
                            <w:pPr>
                              <w:jc w:val="center"/>
                            </w:pPr>
                          </w:p>
                          <w:p w14:paraId="14C38F53" w14:textId="68044A9D" w:rsidR="00B25E4B" w:rsidRDefault="00B25E4B" w:rsidP="00C94B0D">
                            <w:pPr>
                              <w:jc w:val="center"/>
                            </w:pPr>
                          </w:p>
                          <w:p w14:paraId="07AF47F9" w14:textId="1FA67612" w:rsidR="00B25E4B" w:rsidRDefault="00B25E4B" w:rsidP="00C94B0D">
                            <w:pPr>
                              <w:jc w:val="center"/>
                            </w:pPr>
                          </w:p>
                          <w:p w14:paraId="500C5207" w14:textId="3B5DB042" w:rsidR="00B25E4B" w:rsidRDefault="00B25E4B" w:rsidP="00C94B0D">
                            <w:pPr>
                              <w:jc w:val="center"/>
                            </w:pPr>
                          </w:p>
                          <w:p w14:paraId="143FA2A7" w14:textId="06543E0F" w:rsidR="00B25E4B" w:rsidRDefault="00B25E4B" w:rsidP="00C94B0D">
                            <w:pPr>
                              <w:jc w:val="center"/>
                            </w:pPr>
                          </w:p>
                          <w:p w14:paraId="68DD87E9" w14:textId="5FA04C42" w:rsidR="00B25E4B" w:rsidRDefault="00B25E4B" w:rsidP="00C94B0D">
                            <w:pPr>
                              <w:jc w:val="center"/>
                            </w:pPr>
                          </w:p>
                          <w:p w14:paraId="239A6AD4" w14:textId="2B5B7102" w:rsidR="00B25E4B" w:rsidRDefault="00B25E4B" w:rsidP="00C94B0D">
                            <w:pPr>
                              <w:jc w:val="center"/>
                            </w:pPr>
                          </w:p>
                          <w:p w14:paraId="6E0B35F6" w14:textId="746E0F6C" w:rsidR="00B25E4B" w:rsidRDefault="00B25E4B" w:rsidP="00C94B0D">
                            <w:pPr>
                              <w:jc w:val="center"/>
                            </w:pPr>
                          </w:p>
                          <w:p w14:paraId="3D52A0DD" w14:textId="5DEE0964" w:rsidR="00B25E4B" w:rsidRDefault="00B25E4B" w:rsidP="00C94B0D">
                            <w:pPr>
                              <w:jc w:val="center"/>
                            </w:pPr>
                          </w:p>
                          <w:p w14:paraId="0FEB3997" w14:textId="05F622F3" w:rsidR="00B25E4B" w:rsidRDefault="00B25E4B" w:rsidP="00C94B0D">
                            <w:pPr>
                              <w:jc w:val="center"/>
                            </w:pPr>
                          </w:p>
                          <w:p w14:paraId="4EA77B80" w14:textId="4BA29A8C" w:rsidR="00B25E4B" w:rsidRDefault="00B25E4B" w:rsidP="00C94B0D">
                            <w:pPr>
                              <w:jc w:val="center"/>
                            </w:pPr>
                          </w:p>
                          <w:p w14:paraId="380FD11D" w14:textId="499708D5" w:rsidR="00B25E4B" w:rsidRDefault="00B25E4B" w:rsidP="00C94B0D">
                            <w:pPr>
                              <w:jc w:val="center"/>
                            </w:pPr>
                          </w:p>
                          <w:p w14:paraId="423AA9EC" w14:textId="4CBF51E6" w:rsidR="00B25E4B" w:rsidRDefault="00B25E4B" w:rsidP="00C94B0D">
                            <w:pPr>
                              <w:jc w:val="center"/>
                            </w:pPr>
                          </w:p>
                          <w:p w14:paraId="62B5BC25" w14:textId="77777777" w:rsidR="00B25E4B" w:rsidRDefault="00B25E4B" w:rsidP="00C94B0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2425DC" id="_x0000_t202" coordsize="21600,21600" o:spt="202" path="m,l,21600r21600,l21600,xe">
                <v:stroke joinstyle="miter"/>
                <v:path gradientshapeok="t" o:connecttype="rect"/>
              </v:shapetype>
              <v:shape id="Textové pole 2" o:spid="_x0000_s1026" type="#_x0000_t202" style="position:absolute;left:0;text-align:left;margin-left:232.15pt;margin-top:7.45pt;width:224.9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" stroked="f">
                <v:textbox>
                  <w:txbxContent>
                    <w:p w14:paraId="76BB8488" w14:textId="77777777" w:rsidR="00903C18" w:rsidRDefault="00903C18" w:rsidP="00903C18">
                      <w:pPr>
                        <w:jc w:val="center"/>
                      </w:pPr>
                      <w:r>
                        <w:t>Objednatel:</w:t>
                      </w:r>
                    </w:p>
                    <w:p w14:paraId="1F69E6C2" w14:textId="77777777" w:rsidR="00983D46" w:rsidRDefault="00983D46" w:rsidP="00983D46">
                      <w:pPr>
                        <w:spacing w:after="0"/>
                        <w:jc w:val="center"/>
                      </w:pPr>
                      <w:r w:rsidRPr="00E46212">
                        <w:t>Ing. Štěpán Forman</w:t>
                      </w:r>
                      <w:r w:rsidDel="00BF5BC1">
                        <w:t xml:space="preserve"> </w:t>
                      </w:r>
                    </w:p>
                    <w:p w14:paraId="3CC67645" w14:textId="4C9C5650" w:rsidR="00983D46" w:rsidRDefault="00E47F51" w:rsidP="00983D46">
                      <w:pPr>
                        <w:jc w:val="center"/>
                      </w:pPr>
                      <w:r w:rsidRPr="00E47F51">
                        <w:t xml:space="preserve">ředitel Katastrálního úřadu pro Zlínský kraj </w:t>
                      </w:r>
                      <w:r w:rsidR="00983D46" w:rsidDel="00BF5BC1">
                        <w:t xml:space="preserve"> </w:t>
                      </w:r>
                    </w:p>
                    <w:p w14:paraId="12D84833" w14:textId="4C4B1601" w:rsidR="00903C18" w:rsidRDefault="00903C18" w:rsidP="00903C18">
                      <w:pPr>
                        <w:jc w:val="center"/>
                      </w:pPr>
                    </w:p>
                    <w:p w14:paraId="2195F774" w14:textId="17F35BB1" w:rsidR="00B25E4B" w:rsidRDefault="00B25E4B" w:rsidP="00C94B0D">
                      <w:pPr>
                        <w:jc w:val="center"/>
                      </w:pPr>
                    </w:p>
                    <w:p w14:paraId="6E1152AA" w14:textId="7A138FEC" w:rsidR="00B25E4B" w:rsidRDefault="00B25E4B" w:rsidP="00C94B0D">
                      <w:pPr>
                        <w:jc w:val="center"/>
                      </w:pPr>
                    </w:p>
                    <w:p w14:paraId="5B854027" w14:textId="503B3421" w:rsidR="00B25E4B" w:rsidRDefault="00B25E4B" w:rsidP="00C94B0D">
                      <w:pPr>
                        <w:jc w:val="center"/>
                      </w:pPr>
                    </w:p>
                    <w:p w14:paraId="0A4BAE1C" w14:textId="64BB32F9" w:rsidR="00B25E4B" w:rsidRDefault="00B25E4B" w:rsidP="00C94B0D">
                      <w:pPr>
                        <w:jc w:val="center"/>
                      </w:pPr>
                    </w:p>
                    <w:p w14:paraId="7C9F5C76" w14:textId="0CD9D4D5" w:rsidR="00B25E4B" w:rsidRDefault="00B25E4B" w:rsidP="00C94B0D">
                      <w:pPr>
                        <w:jc w:val="center"/>
                      </w:pPr>
                    </w:p>
                    <w:p w14:paraId="1BC6A422" w14:textId="1FBAED2B" w:rsidR="00B25E4B" w:rsidRDefault="00B25E4B" w:rsidP="00C94B0D">
                      <w:pPr>
                        <w:jc w:val="center"/>
                      </w:pPr>
                    </w:p>
                    <w:p w14:paraId="61294716" w14:textId="45587E1A" w:rsidR="00B25E4B" w:rsidRDefault="00B25E4B" w:rsidP="00C94B0D">
                      <w:pPr>
                        <w:jc w:val="center"/>
                      </w:pPr>
                    </w:p>
                    <w:p w14:paraId="6EEA8821" w14:textId="1D959C05" w:rsidR="00B25E4B" w:rsidRDefault="00B25E4B" w:rsidP="00C94B0D">
                      <w:pPr>
                        <w:jc w:val="center"/>
                      </w:pPr>
                    </w:p>
                    <w:p w14:paraId="0F8F3C25" w14:textId="4524302D" w:rsidR="00B25E4B" w:rsidRDefault="00B25E4B" w:rsidP="00C94B0D">
                      <w:pPr>
                        <w:jc w:val="center"/>
                      </w:pPr>
                    </w:p>
                    <w:p w14:paraId="18590DBC" w14:textId="7581E824" w:rsidR="00B25E4B" w:rsidRDefault="00B25E4B" w:rsidP="00C94B0D">
                      <w:pPr>
                        <w:jc w:val="center"/>
                      </w:pPr>
                    </w:p>
                    <w:p w14:paraId="13B3B287" w14:textId="56DA37ED" w:rsidR="00B25E4B" w:rsidRDefault="00B25E4B" w:rsidP="00C94B0D">
                      <w:pPr>
                        <w:jc w:val="center"/>
                      </w:pPr>
                    </w:p>
                    <w:p w14:paraId="0CA05977" w14:textId="14DCA968" w:rsidR="00B25E4B" w:rsidRDefault="00B25E4B" w:rsidP="00C94B0D">
                      <w:pPr>
                        <w:jc w:val="center"/>
                      </w:pPr>
                    </w:p>
                    <w:p w14:paraId="705BA45D" w14:textId="7C66C4A4" w:rsidR="00B25E4B" w:rsidRDefault="00B25E4B" w:rsidP="00C94B0D">
                      <w:pPr>
                        <w:jc w:val="center"/>
                      </w:pPr>
                    </w:p>
                    <w:p w14:paraId="0D92BA4C" w14:textId="51A700E5" w:rsidR="00B25E4B" w:rsidRDefault="00B25E4B" w:rsidP="00C94B0D">
                      <w:pPr>
                        <w:jc w:val="center"/>
                      </w:pPr>
                    </w:p>
                    <w:p w14:paraId="0EDA23B1" w14:textId="7AAE29A4" w:rsidR="00B25E4B" w:rsidRDefault="00B25E4B" w:rsidP="00C94B0D">
                      <w:pPr>
                        <w:jc w:val="center"/>
                      </w:pPr>
                    </w:p>
                    <w:p w14:paraId="0680800E" w14:textId="60220917" w:rsidR="00B25E4B" w:rsidRDefault="00B25E4B" w:rsidP="00C94B0D">
                      <w:pPr>
                        <w:jc w:val="center"/>
                      </w:pPr>
                    </w:p>
                    <w:p w14:paraId="14C38F53" w14:textId="68044A9D" w:rsidR="00B25E4B" w:rsidRDefault="00B25E4B" w:rsidP="00C94B0D">
                      <w:pPr>
                        <w:jc w:val="center"/>
                      </w:pPr>
                    </w:p>
                    <w:p w14:paraId="07AF47F9" w14:textId="1FA67612" w:rsidR="00B25E4B" w:rsidRDefault="00B25E4B" w:rsidP="00C94B0D">
                      <w:pPr>
                        <w:jc w:val="center"/>
                      </w:pPr>
                    </w:p>
                    <w:p w14:paraId="500C5207" w14:textId="3B5DB042" w:rsidR="00B25E4B" w:rsidRDefault="00B25E4B" w:rsidP="00C94B0D">
                      <w:pPr>
                        <w:jc w:val="center"/>
                      </w:pPr>
                    </w:p>
                    <w:p w14:paraId="143FA2A7" w14:textId="06543E0F" w:rsidR="00B25E4B" w:rsidRDefault="00B25E4B" w:rsidP="00C94B0D">
                      <w:pPr>
                        <w:jc w:val="center"/>
                      </w:pPr>
                    </w:p>
                    <w:p w14:paraId="68DD87E9" w14:textId="5FA04C42" w:rsidR="00B25E4B" w:rsidRDefault="00B25E4B" w:rsidP="00C94B0D">
                      <w:pPr>
                        <w:jc w:val="center"/>
                      </w:pPr>
                    </w:p>
                    <w:p w14:paraId="239A6AD4" w14:textId="2B5B7102" w:rsidR="00B25E4B" w:rsidRDefault="00B25E4B" w:rsidP="00C94B0D">
                      <w:pPr>
                        <w:jc w:val="center"/>
                      </w:pPr>
                    </w:p>
                    <w:p w14:paraId="6E0B35F6" w14:textId="746E0F6C" w:rsidR="00B25E4B" w:rsidRDefault="00B25E4B" w:rsidP="00C94B0D">
                      <w:pPr>
                        <w:jc w:val="center"/>
                      </w:pPr>
                    </w:p>
                    <w:p w14:paraId="3D52A0DD" w14:textId="5DEE0964" w:rsidR="00B25E4B" w:rsidRDefault="00B25E4B" w:rsidP="00C94B0D">
                      <w:pPr>
                        <w:jc w:val="center"/>
                      </w:pPr>
                    </w:p>
                    <w:p w14:paraId="0FEB3997" w14:textId="05F622F3" w:rsidR="00B25E4B" w:rsidRDefault="00B25E4B" w:rsidP="00C94B0D">
                      <w:pPr>
                        <w:jc w:val="center"/>
                      </w:pPr>
                    </w:p>
                    <w:p w14:paraId="4EA77B80" w14:textId="4BA29A8C" w:rsidR="00B25E4B" w:rsidRDefault="00B25E4B" w:rsidP="00C94B0D">
                      <w:pPr>
                        <w:jc w:val="center"/>
                      </w:pPr>
                    </w:p>
                    <w:p w14:paraId="380FD11D" w14:textId="499708D5" w:rsidR="00B25E4B" w:rsidRDefault="00B25E4B" w:rsidP="00C94B0D">
                      <w:pPr>
                        <w:jc w:val="center"/>
                      </w:pPr>
                    </w:p>
                    <w:p w14:paraId="423AA9EC" w14:textId="4CBF51E6" w:rsidR="00B25E4B" w:rsidRDefault="00B25E4B" w:rsidP="00C94B0D">
                      <w:pPr>
                        <w:jc w:val="center"/>
                      </w:pPr>
                    </w:p>
                    <w:p w14:paraId="62B5BC25" w14:textId="77777777" w:rsidR="00B25E4B" w:rsidRDefault="00B25E4B" w:rsidP="00C94B0D">
                      <w:pPr>
                        <w:jc w:val="center"/>
                      </w:pPr>
                    </w:p>
                  </w:txbxContent>
                </v:textbox>
                <w10:wrap type="square"/>
              </v:shape>
            </w:pict>
          </mc:Fallback>
        </mc:AlternateContent>
      </w:r>
      <w:r w:rsidR="00F868F3" w:rsidRPr="006758DF">
        <w:rPr>
          <w:noProof/>
          <w:lang w:eastAsia="cs-CZ"/>
        </w:rPr>
        <mc:AlternateContent>
          <mc:Choice Requires="wps">
            <w:drawing>
              <wp:anchor distT="45720" distB="45720" distL="114300" distR="114300" simplePos="0" relativeHeight="251661312" behindDoc="0" locked="0" layoutInCell="1" allowOverlap="1" wp14:anchorId="383A23BF" wp14:editId="02AB6F3C">
                <wp:simplePos x="0" y="0"/>
                <wp:positionH relativeFrom="column">
                  <wp:posOffset>0</wp:posOffset>
                </wp:positionH>
                <wp:positionV relativeFrom="paragraph">
                  <wp:posOffset>100330</wp:posOffset>
                </wp:positionV>
                <wp:extent cx="2360930" cy="78867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8670"/>
                        </a:xfrm>
                        <a:prstGeom prst="rect">
                          <a:avLst/>
                        </a:prstGeom>
                        <a:solidFill>
                          <a:srgbClr val="FFFFFF"/>
                        </a:solidFill>
                        <a:ln w="9525">
                          <a:noFill/>
                          <a:miter lim="800000"/>
                          <a:headEnd/>
                          <a:tailEnd/>
                        </a:ln>
                      </wps:spPr>
                      <wps:txbx>
                        <w:txbxContent>
                          <w:p w14:paraId="7FE071BD" w14:textId="77777777" w:rsidR="00F868F3" w:rsidRDefault="00F868F3" w:rsidP="00C94B0D">
                            <w:pPr>
                              <w:jc w:val="center"/>
                            </w:pPr>
                            <w:r>
                              <w:t>Dodavatel:</w:t>
                            </w:r>
                          </w:p>
                          <w:p w14:paraId="02436AD4" w14:textId="455BE42A" w:rsidR="00F868F3" w:rsidRDefault="00983D46" w:rsidP="00C94B0D">
                            <w:pPr>
                              <w:jc w:val="center"/>
                              <w:rPr>
                                <w:lang w:val="en-US"/>
                              </w:rPr>
                            </w:pPr>
                            <w:r>
                              <w:rPr>
                                <w:lang w:val="en-US"/>
                              </w:rPr>
                              <w:t>Ing. Erik Grešák</w:t>
                            </w:r>
                          </w:p>
                          <w:p w14:paraId="494A0092" w14:textId="6EA44CF2" w:rsidR="002A2929" w:rsidRDefault="002A2929" w:rsidP="00C94B0D">
                            <w:pPr>
                              <w:jc w:val="center"/>
                              <w:rPr>
                                <w:lang w:val="en-US"/>
                              </w:rPr>
                            </w:pPr>
                          </w:p>
                          <w:p w14:paraId="3028C990" w14:textId="2CBEE2A2" w:rsidR="002A2929" w:rsidRDefault="002A2929" w:rsidP="00C94B0D">
                            <w:pPr>
                              <w:jc w:val="center"/>
                              <w:rPr>
                                <w:lang w:val="en-US"/>
                              </w:rPr>
                            </w:pPr>
                          </w:p>
                          <w:p w14:paraId="32091D78" w14:textId="77777777" w:rsidR="002A2929" w:rsidRDefault="002A2929" w:rsidP="00C94B0D">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3A23BF" id="_x0000_s1027" type="#_x0000_t202" style="position:absolute;left:0;text-align:left;margin-left:0;margin-top:7.9pt;width:185.9pt;height:62.1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" stroked="f">
                <v:textbox>
                  <w:txbxContent>
                    <w:p w14:paraId="7FE071BD" w14:textId="77777777" w:rsidR="00F868F3" w:rsidRDefault="00F868F3" w:rsidP="00C94B0D">
                      <w:pPr>
                        <w:jc w:val="center"/>
                      </w:pPr>
                      <w:r>
                        <w:t>Dodavatel:</w:t>
                      </w:r>
                    </w:p>
                    <w:p w14:paraId="02436AD4" w14:textId="455BE42A" w:rsidR="00F868F3" w:rsidRDefault="00983D46" w:rsidP="00C94B0D">
                      <w:pPr>
                        <w:jc w:val="center"/>
                        <w:rPr>
                          <w:lang w:val="en-US"/>
                        </w:rPr>
                      </w:pPr>
                      <w:r>
                        <w:rPr>
                          <w:lang w:val="en-US"/>
                        </w:rPr>
                        <w:t>Ing. Erik Grešák</w:t>
                      </w:r>
                    </w:p>
                    <w:p w14:paraId="494A0092" w14:textId="6EA44CF2" w:rsidR="002A2929" w:rsidRDefault="002A2929" w:rsidP="00C94B0D">
                      <w:pPr>
                        <w:jc w:val="center"/>
                        <w:rPr>
                          <w:lang w:val="en-US"/>
                        </w:rPr>
                      </w:pPr>
                    </w:p>
                    <w:p w14:paraId="3028C990" w14:textId="2CBEE2A2" w:rsidR="002A2929" w:rsidRDefault="002A2929" w:rsidP="00C94B0D">
                      <w:pPr>
                        <w:jc w:val="center"/>
                        <w:rPr>
                          <w:lang w:val="en-US"/>
                        </w:rPr>
                      </w:pPr>
                    </w:p>
                    <w:p w14:paraId="32091D78" w14:textId="77777777" w:rsidR="002A2929" w:rsidRDefault="002A2929" w:rsidP="00C94B0D">
                      <w:pPr>
                        <w:jc w:val="center"/>
                      </w:pPr>
                    </w:p>
                  </w:txbxContent>
                </v:textbox>
                <w10:wrap type="square"/>
              </v:shape>
            </w:pict>
          </mc:Fallback>
        </mc:AlternateContent>
      </w:r>
      <w:bookmarkStart w:id="1" w:name="_Toc398826284"/>
      <w:bookmarkStart w:id="2" w:name="_Toc398826285"/>
      <w:bookmarkStart w:id="3" w:name="_Toc398826286"/>
      <w:bookmarkStart w:id="4" w:name="_Toc398826287"/>
      <w:bookmarkStart w:id="5" w:name="_Toc275442253"/>
      <w:bookmarkStart w:id="6" w:name="_Toc4696908"/>
      <w:bookmarkStart w:id="7" w:name="_Toc4931272"/>
      <w:bookmarkStart w:id="8" w:name="_Toc188000214"/>
      <w:bookmarkStart w:id="9" w:name="_Toc187828661"/>
      <w:bookmarkStart w:id="10" w:name="_Toc188000155"/>
      <w:bookmarkStart w:id="11" w:name="_Toc188000219"/>
      <w:bookmarkStart w:id="12" w:name="_Toc188000163"/>
      <w:bookmarkStart w:id="13" w:name="_Toc188000227"/>
      <w:bookmarkStart w:id="14" w:name="_Toc188000164"/>
      <w:bookmarkStart w:id="15" w:name="_Toc188000228"/>
      <w:bookmarkStart w:id="16" w:name="_Toc188000165"/>
      <w:bookmarkStart w:id="17" w:name="_Toc188000229"/>
      <w:bookmarkStart w:id="18" w:name="_Toc188000166"/>
      <w:bookmarkStart w:id="19" w:name="_Toc188000230"/>
      <w:bookmarkStart w:id="20" w:name="_Toc188000167"/>
      <w:bookmarkStart w:id="21" w:name="_Toc188000231"/>
      <w:bookmarkStart w:id="22" w:name="_Toc188000168"/>
      <w:bookmarkStart w:id="23" w:name="_Toc188000232"/>
      <w:bookmarkStart w:id="24" w:name="_Toc188000169"/>
      <w:bookmarkStart w:id="25" w:name="_Toc188000233"/>
      <w:bookmarkStart w:id="26" w:name="_Toc188000170"/>
      <w:bookmarkStart w:id="27" w:name="_Toc188000234"/>
      <w:bookmarkStart w:id="28" w:name="_Toc188000171"/>
      <w:bookmarkStart w:id="29" w:name="_Toc188000235"/>
      <w:bookmarkStart w:id="30" w:name="_Toc188000172"/>
      <w:bookmarkStart w:id="31" w:name="_Toc188000236"/>
      <w:bookmarkStart w:id="32" w:name="_Toc188000173"/>
      <w:bookmarkStart w:id="33" w:name="_Toc188000237"/>
      <w:bookmarkStart w:id="34" w:name="_Toc188000174"/>
      <w:bookmarkStart w:id="35" w:name="_Toc188000238"/>
      <w:bookmarkStart w:id="36" w:name="_Toc100041896"/>
      <w:bookmarkStart w:id="37" w:name="_Toc100041897"/>
      <w:bookmarkStart w:id="38" w:name="_Toc100041901"/>
      <w:bookmarkStart w:id="39" w:name="_Toc100041902"/>
      <w:bookmarkStart w:id="40" w:name="_Toc100041904"/>
      <w:bookmarkStart w:id="41" w:name="_Toc100041916"/>
      <w:bookmarkStart w:id="42" w:name="_Toc100041917"/>
      <w:bookmarkStart w:id="43" w:name="_Toc100041945"/>
      <w:bookmarkStart w:id="44" w:name="_Toc100041946"/>
      <w:bookmarkStart w:id="45" w:name="_Toc100041947"/>
      <w:bookmarkStart w:id="46" w:name="_Toc100041948"/>
      <w:bookmarkStart w:id="47" w:name="_Toc100211999"/>
      <w:bookmarkStart w:id="48" w:name="_Toc1002120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6BDBCA9" w14:textId="3672FDB3" w:rsidR="002A2929" w:rsidRPr="006758DF" w:rsidRDefault="002A2929"/>
    <w:p w14:paraId="747B9FC1" w14:textId="77777777" w:rsidR="002A2929" w:rsidRPr="006758DF" w:rsidRDefault="002A2929">
      <w:pPr>
        <w:spacing w:after="160" w:line="259" w:lineRule="auto"/>
        <w:jc w:val="left"/>
      </w:pPr>
      <w:r w:rsidRPr="006758DF">
        <w:br w:type="page"/>
      </w:r>
    </w:p>
    <w:p w14:paraId="12C7A007" w14:textId="77777777" w:rsidR="002A2929" w:rsidRPr="006758DF" w:rsidRDefault="002A2929" w:rsidP="002A2929">
      <w:pPr>
        <w:jc w:val="right"/>
        <w:rPr>
          <w:rFonts w:ascii="Arial" w:hAnsi="Arial" w:cs="Arial"/>
          <w:bCs/>
        </w:rPr>
      </w:pPr>
      <w:r w:rsidRPr="006758DF">
        <w:rPr>
          <w:rFonts w:ascii="Arial" w:hAnsi="Arial" w:cs="Arial"/>
          <w:bCs/>
        </w:rPr>
        <w:lastRenderedPageBreak/>
        <w:t>Příloha č. 1 Smlouvy</w:t>
      </w:r>
    </w:p>
    <w:p w14:paraId="0F52DB14" w14:textId="77777777" w:rsidR="002A2929" w:rsidRPr="006758DF" w:rsidRDefault="002A2929" w:rsidP="002A2929">
      <w:pPr>
        <w:ind w:left="4963"/>
        <w:jc w:val="right"/>
        <w:rPr>
          <w:rFonts w:ascii="Arial" w:hAnsi="Arial" w:cs="Arial"/>
        </w:rPr>
      </w:pPr>
      <w:r w:rsidRPr="006758DF">
        <w:rPr>
          <w:rFonts w:ascii="Arial" w:hAnsi="Arial" w:cs="Arial"/>
        </w:rPr>
        <w:t>Podrobná technická specifikace plnění</w:t>
      </w:r>
    </w:p>
    <w:p w14:paraId="78AB3A05" w14:textId="77777777" w:rsidR="002A2929" w:rsidRPr="006758DF" w:rsidRDefault="002A2929" w:rsidP="002A2929">
      <w:pPr>
        <w:jc w:val="center"/>
        <w:rPr>
          <w:rFonts w:ascii="Arial" w:hAnsi="Arial" w:cs="Arial"/>
          <w:b/>
        </w:rPr>
      </w:pPr>
    </w:p>
    <w:p w14:paraId="5BDDD504" w14:textId="77777777" w:rsidR="002A2929" w:rsidRPr="006758DF" w:rsidRDefault="002A2929" w:rsidP="002A2929">
      <w:pPr>
        <w:rPr>
          <w:rFonts w:ascii="Arial" w:hAnsi="Arial" w:cs="Arial"/>
          <w:b/>
        </w:rPr>
      </w:pPr>
    </w:p>
    <w:p w14:paraId="6841D663" w14:textId="596FA664" w:rsidR="002A2929" w:rsidRPr="006758DF" w:rsidRDefault="002A2929" w:rsidP="002A2929">
      <w:pPr>
        <w:pStyle w:val="Default"/>
        <w:spacing w:line="360" w:lineRule="auto"/>
        <w:jc w:val="both"/>
        <w:rPr>
          <w:rFonts w:asciiTheme="minorHAnsi" w:hAnsiTheme="minorHAnsi" w:cstheme="minorHAnsi"/>
          <w:sz w:val="22"/>
          <w:szCs w:val="22"/>
          <w:lang w:bidi="cs-CZ"/>
        </w:rPr>
      </w:pPr>
      <w:r w:rsidRPr="006758DF">
        <w:rPr>
          <w:rFonts w:asciiTheme="minorHAnsi" w:hAnsiTheme="minorHAnsi" w:cstheme="minorHAnsi"/>
          <w:sz w:val="22"/>
          <w:szCs w:val="22"/>
          <w:lang w:bidi="cs-CZ"/>
        </w:rPr>
        <w:t>Předmětem plnění</w:t>
      </w:r>
      <w:r w:rsidRPr="006758DF">
        <w:rPr>
          <w:rFonts w:asciiTheme="minorHAnsi" w:hAnsiTheme="minorHAnsi" w:cstheme="minorHAnsi"/>
          <w:b/>
          <w:sz w:val="22"/>
          <w:szCs w:val="22"/>
          <w:lang w:bidi="cs-CZ"/>
        </w:rPr>
        <w:t xml:space="preserve"> </w:t>
      </w:r>
      <w:r w:rsidRPr="006758DF">
        <w:rPr>
          <w:rFonts w:asciiTheme="minorHAnsi" w:hAnsiTheme="minorHAnsi" w:cstheme="minorHAnsi"/>
          <w:sz w:val="22"/>
          <w:szCs w:val="22"/>
          <w:lang w:bidi="cs-CZ"/>
        </w:rPr>
        <w:t>je dodání, instalace a zprovoznění venkovní elektronické úřední desky</w:t>
      </w:r>
      <w:r w:rsidR="0027110B" w:rsidRPr="006758DF">
        <w:rPr>
          <w:rFonts w:asciiTheme="minorHAnsi" w:hAnsiTheme="minorHAnsi" w:cstheme="minorHAnsi"/>
          <w:sz w:val="22"/>
          <w:szCs w:val="22"/>
          <w:lang w:bidi="cs-CZ"/>
        </w:rPr>
        <w:t xml:space="preserve"> </w:t>
      </w:r>
      <w:r w:rsidR="003F1820" w:rsidRPr="006758DF">
        <w:rPr>
          <w:rFonts w:asciiTheme="minorHAnsi" w:hAnsiTheme="minorHAnsi" w:cstheme="minorHAnsi"/>
          <w:sz w:val="22"/>
          <w:szCs w:val="22"/>
          <w:lang w:bidi="cs-CZ"/>
        </w:rPr>
        <w:t xml:space="preserve">KRAKEN 43“ </w:t>
      </w:r>
      <w:r w:rsidR="00175C2A" w:rsidRPr="006758DF">
        <w:rPr>
          <w:rFonts w:asciiTheme="minorHAnsi" w:hAnsiTheme="minorHAnsi" w:cstheme="minorHAnsi"/>
          <w:sz w:val="22"/>
          <w:szCs w:val="22"/>
          <w:lang w:bidi="cs-CZ"/>
        </w:rPr>
        <w:t>V</w:t>
      </w:r>
      <w:r w:rsidR="003F1820" w:rsidRPr="006758DF">
        <w:rPr>
          <w:rFonts w:asciiTheme="minorHAnsi" w:hAnsiTheme="minorHAnsi" w:cstheme="minorHAnsi"/>
          <w:sz w:val="22"/>
          <w:szCs w:val="22"/>
          <w:lang w:bidi="cs-CZ"/>
        </w:rPr>
        <w:t> včetně SW TACITUS NG</w:t>
      </w:r>
      <w:r w:rsidRPr="006758DF">
        <w:rPr>
          <w:rFonts w:asciiTheme="minorHAnsi" w:hAnsiTheme="minorHAnsi" w:cstheme="minorHAnsi"/>
          <w:sz w:val="22"/>
          <w:szCs w:val="22"/>
          <w:lang w:bidi="cs-CZ"/>
        </w:rPr>
        <w:t xml:space="preserve"> </w:t>
      </w:r>
      <w:r w:rsidR="00175C2A" w:rsidRPr="006758DF">
        <w:rPr>
          <w:rFonts w:asciiTheme="minorHAnsi" w:hAnsiTheme="minorHAnsi" w:cstheme="minorHAnsi"/>
          <w:sz w:val="22"/>
          <w:szCs w:val="22"/>
          <w:lang w:bidi="cs-CZ"/>
        </w:rPr>
        <w:t>(</w:t>
      </w:r>
      <w:r w:rsidR="00A07352" w:rsidRPr="006758DF">
        <w:rPr>
          <w:rFonts w:asciiTheme="minorHAnsi" w:hAnsiTheme="minorHAnsi" w:cstheme="minorHAnsi"/>
          <w:sz w:val="22"/>
          <w:szCs w:val="22"/>
          <w:lang w:bidi="cs-CZ"/>
        </w:rPr>
        <w:t>připevněné na fasádu budovy</w:t>
      </w:r>
      <w:r w:rsidR="00175C2A" w:rsidRPr="006758DF">
        <w:rPr>
          <w:rFonts w:asciiTheme="minorHAnsi" w:hAnsiTheme="minorHAnsi" w:cstheme="minorHAnsi"/>
          <w:sz w:val="22"/>
          <w:szCs w:val="22"/>
          <w:lang w:bidi="cs-CZ"/>
        </w:rPr>
        <w:t>)</w:t>
      </w:r>
      <w:r w:rsidR="00A07352" w:rsidRPr="006758DF">
        <w:rPr>
          <w:rFonts w:asciiTheme="minorHAnsi" w:hAnsiTheme="minorHAnsi" w:cstheme="minorHAnsi"/>
          <w:sz w:val="22"/>
          <w:szCs w:val="22"/>
          <w:lang w:bidi="cs-CZ"/>
        </w:rPr>
        <w:t xml:space="preserve"> </w:t>
      </w:r>
      <w:r w:rsidRPr="006758DF">
        <w:rPr>
          <w:rFonts w:asciiTheme="minorHAnsi" w:hAnsiTheme="minorHAnsi" w:cstheme="minorHAnsi"/>
          <w:sz w:val="22"/>
          <w:szCs w:val="22"/>
          <w:lang w:bidi="cs-CZ"/>
        </w:rPr>
        <w:t>včetně poskytnutí záruky po dobu 60 měsíců. Součástí plnění je i zaškolení zaměstnanců Objednatele na administraci obsahu a ovládání zařízení EÚD plus dokumentace.</w:t>
      </w:r>
    </w:p>
    <w:p w14:paraId="40CA8F4C" w14:textId="77777777" w:rsidR="002A2929" w:rsidRPr="006758DF" w:rsidRDefault="002A2929" w:rsidP="002A2929">
      <w:pPr>
        <w:pStyle w:val="Default"/>
        <w:spacing w:line="360" w:lineRule="auto"/>
        <w:jc w:val="both"/>
        <w:rPr>
          <w:rFonts w:asciiTheme="minorHAnsi" w:hAnsiTheme="minorHAnsi" w:cstheme="minorHAnsi"/>
          <w:color w:val="auto"/>
          <w:sz w:val="22"/>
          <w:szCs w:val="22"/>
        </w:rPr>
      </w:pPr>
    </w:p>
    <w:p w14:paraId="35E82FB3" w14:textId="77777777" w:rsidR="002A2929" w:rsidRPr="006758DF" w:rsidRDefault="002A2929" w:rsidP="002A2929">
      <w:pPr>
        <w:pStyle w:val="Default"/>
        <w:spacing w:line="360" w:lineRule="auto"/>
        <w:jc w:val="both"/>
        <w:rPr>
          <w:rFonts w:asciiTheme="minorHAnsi" w:hAnsiTheme="minorHAnsi" w:cstheme="minorHAnsi"/>
          <w:color w:val="auto"/>
          <w:sz w:val="22"/>
          <w:szCs w:val="22"/>
        </w:rPr>
      </w:pPr>
      <w:r w:rsidRPr="006758DF">
        <w:rPr>
          <w:rFonts w:asciiTheme="minorHAnsi" w:hAnsiTheme="minorHAnsi" w:cstheme="minorHAnsi"/>
          <w:color w:val="auto"/>
          <w:sz w:val="22"/>
          <w:szCs w:val="22"/>
        </w:rPr>
        <w:t>EÚD bude osazena velkoplošným monitorem a počítačem s nainstalovaným softwarem pro řízení a správu EÚD. EÚD bude vyrobena tak, aby odolala přírodním vlivům i zásahu nepovolanou osobou. Obsluha EÚD musí být jednoduchá a zvládnutelná bez komplikací pro každého (zejména pro starší a handicapované osoby). EÚD musí být funkční v definovaném teplotním rozsahu bez využití klimatizační jednotky, přičemž nesmí docházet k mlžení nebo namrzání vnitřní strany EÚD a nesmí docházet k poruchám z důvodu přehřátí zařízení.</w:t>
      </w:r>
    </w:p>
    <w:p w14:paraId="277ABEBF" w14:textId="77777777" w:rsidR="002A2929" w:rsidRPr="006758DF" w:rsidRDefault="002A2929" w:rsidP="002A2929">
      <w:pPr>
        <w:pStyle w:val="Default"/>
        <w:spacing w:line="360" w:lineRule="auto"/>
        <w:jc w:val="both"/>
        <w:rPr>
          <w:rFonts w:asciiTheme="minorHAnsi" w:hAnsiTheme="minorHAnsi" w:cstheme="minorHAnsi"/>
          <w:color w:val="auto"/>
          <w:sz w:val="22"/>
          <w:szCs w:val="22"/>
        </w:rPr>
      </w:pPr>
    </w:p>
    <w:p w14:paraId="2AF45B43" w14:textId="702AB75E" w:rsidR="002A2929" w:rsidRPr="006758DF" w:rsidRDefault="002A2929" w:rsidP="002A2929">
      <w:pPr>
        <w:pStyle w:val="Default"/>
        <w:spacing w:line="360" w:lineRule="auto"/>
        <w:jc w:val="both"/>
        <w:rPr>
          <w:rFonts w:asciiTheme="minorHAnsi" w:hAnsiTheme="minorHAnsi" w:cstheme="minorHAnsi"/>
          <w:color w:val="auto"/>
          <w:sz w:val="22"/>
          <w:szCs w:val="22"/>
        </w:rPr>
      </w:pPr>
      <w:r w:rsidRPr="006758DF">
        <w:rPr>
          <w:rFonts w:asciiTheme="minorHAnsi" w:hAnsiTheme="minorHAnsi" w:cstheme="minorHAnsi"/>
          <w:color w:val="auto"/>
          <w:sz w:val="22"/>
          <w:szCs w:val="22"/>
        </w:rPr>
        <w:t>Způsob zveřejňování dokumentů na EÚD musí splňovat všechny legislativní požadavky na úřední desku. Zadavatel požaduje zajištění nepřetržité dostupnosti dokumentů na úřední desce. Obsah úřední desky bude uložen lokálně na disku počítače uvnitř EÚD, aby bylo možné zobrazovat dokumenty i v případě výpadku internetu. Dokumenty na úřední desce se automaticky aktualizují (minimálně 1x denně kompletní aktualizace, dále průběžná aktualizace dle informací zasíl</w:t>
      </w:r>
      <w:r w:rsidR="009E17E2" w:rsidRPr="006758DF">
        <w:rPr>
          <w:rFonts w:asciiTheme="minorHAnsi" w:hAnsiTheme="minorHAnsi" w:cstheme="minorHAnsi"/>
          <w:color w:val="auto"/>
          <w:sz w:val="22"/>
          <w:szCs w:val="22"/>
        </w:rPr>
        <w:t>a</w:t>
      </w:r>
      <w:r w:rsidRPr="006758DF">
        <w:rPr>
          <w:rFonts w:asciiTheme="minorHAnsi" w:hAnsiTheme="minorHAnsi" w:cstheme="minorHAnsi"/>
          <w:color w:val="auto"/>
          <w:sz w:val="22"/>
          <w:szCs w:val="22"/>
        </w:rPr>
        <w:t>né RSS kanálem z jedno</w:t>
      </w:r>
      <w:r w:rsidR="00690E9B" w:rsidRPr="006758DF">
        <w:rPr>
          <w:rFonts w:asciiTheme="minorHAnsi" w:hAnsiTheme="minorHAnsi" w:cstheme="minorHAnsi"/>
          <w:color w:val="auto"/>
          <w:sz w:val="22"/>
          <w:szCs w:val="22"/>
        </w:rPr>
        <w:t>t</w:t>
      </w:r>
      <w:r w:rsidRPr="006758DF">
        <w:rPr>
          <w:rFonts w:asciiTheme="minorHAnsi" w:hAnsiTheme="minorHAnsi" w:cstheme="minorHAnsi"/>
          <w:color w:val="auto"/>
          <w:sz w:val="22"/>
          <w:szCs w:val="22"/>
        </w:rPr>
        <w:t>livých úřadů a jednotlivých záložek). Obsah položky může být fyzický dokument, popřípadě odkaz na www stránku. EÚD bude dále disponovat záložní baterií, aby odolala krátkodobému výpadku proudu.</w:t>
      </w:r>
    </w:p>
    <w:p w14:paraId="01D8917F" w14:textId="42BDC22D" w:rsidR="002A2929" w:rsidRPr="006758DF" w:rsidRDefault="002A2929" w:rsidP="002A2929">
      <w:pPr>
        <w:pStyle w:val="Default"/>
        <w:spacing w:line="360" w:lineRule="auto"/>
        <w:jc w:val="both"/>
        <w:rPr>
          <w:rFonts w:asciiTheme="minorHAnsi" w:hAnsiTheme="minorHAnsi" w:cstheme="minorHAnsi"/>
          <w:color w:val="auto"/>
          <w:sz w:val="22"/>
          <w:szCs w:val="22"/>
        </w:rPr>
      </w:pPr>
    </w:p>
    <w:p w14:paraId="6C52780C" w14:textId="77777777" w:rsidR="002A2929" w:rsidRPr="006758DF" w:rsidRDefault="002A2929" w:rsidP="002A2929">
      <w:pPr>
        <w:pStyle w:val="Default"/>
        <w:spacing w:line="360" w:lineRule="auto"/>
        <w:jc w:val="both"/>
        <w:rPr>
          <w:rFonts w:asciiTheme="minorHAnsi" w:hAnsiTheme="minorHAnsi" w:cstheme="minorHAnsi"/>
          <w:color w:val="auto"/>
          <w:sz w:val="22"/>
          <w:szCs w:val="22"/>
        </w:rPr>
      </w:pPr>
      <w:r w:rsidRPr="006758DF">
        <w:rPr>
          <w:rFonts w:asciiTheme="minorHAnsi" w:hAnsiTheme="minorHAnsi" w:cstheme="minorHAnsi"/>
          <w:color w:val="auto"/>
          <w:sz w:val="22"/>
          <w:szCs w:val="22"/>
        </w:rPr>
        <w:t>Datové připojení bude realizováno pomocí síťového kabelu do internetu.</w:t>
      </w:r>
      <w:r w:rsidRPr="006758DF">
        <w:rPr>
          <w:rFonts w:asciiTheme="minorHAnsi" w:hAnsiTheme="minorHAnsi" w:cstheme="minorHAnsi"/>
          <w:sz w:val="22"/>
          <w:szCs w:val="22"/>
        </w:rPr>
        <w:t xml:space="preserve"> </w:t>
      </w:r>
      <w:r w:rsidRPr="006758DF">
        <w:rPr>
          <w:rFonts w:asciiTheme="minorHAnsi" w:hAnsiTheme="minorHAnsi" w:cstheme="minorHAnsi"/>
          <w:color w:val="auto"/>
          <w:sz w:val="22"/>
          <w:szCs w:val="22"/>
        </w:rPr>
        <w:t>Připojení musí být zabezpečeno proti přístupu zvenčí.</w:t>
      </w:r>
    </w:p>
    <w:p w14:paraId="32D44612" w14:textId="77777777" w:rsidR="002A2929" w:rsidRPr="006758DF" w:rsidRDefault="002A2929" w:rsidP="002A2929">
      <w:pPr>
        <w:pStyle w:val="Default"/>
        <w:spacing w:line="360" w:lineRule="auto"/>
        <w:jc w:val="both"/>
        <w:rPr>
          <w:rFonts w:asciiTheme="minorHAnsi" w:hAnsiTheme="minorHAnsi" w:cstheme="minorHAnsi"/>
          <w:color w:val="auto"/>
          <w:sz w:val="22"/>
          <w:szCs w:val="22"/>
        </w:rPr>
      </w:pPr>
    </w:p>
    <w:p w14:paraId="1490E5B3" w14:textId="77777777" w:rsidR="002A2929" w:rsidRPr="006758DF" w:rsidRDefault="002A2929" w:rsidP="002A2929">
      <w:pPr>
        <w:pStyle w:val="Default"/>
        <w:spacing w:line="360" w:lineRule="auto"/>
        <w:jc w:val="both"/>
        <w:rPr>
          <w:rFonts w:asciiTheme="minorHAnsi" w:hAnsiTheme="minorHAnsi" w:cstheme="minorHAnsi"/>
          <w:color w:val="auto"/>
          <w:sz w:val="22"/>
          <w:szCs w:val="22"/>
        </w:rPr>
      </w:pPr>
      <w:r w:rsidRPr="006758DF">
        <w:rPr>
          <w:rFonts w:asciiTheme="minorHAnsi" w:hAnsiTheme="minorHAnsi" w:cstheme="minorHAnsi"/>
          <w:color w:val="auto"/>
          <w:sz w:val="22"/>
          <w:szCs w:val="22"/>
        </w:rPr>
        <w:t>Objednatel požaduje cloudovou správu EÚD pomocí internetového prohlížeče (Microsoft Edge). Software pro správu EÚD umožní zobrazení úřední desky (aktualizace a údržba softwaru v souladu s platnou legislativou) a Objednatelem vybraných webových stránek (pomocí tzv. white listu). Správa obsahu úřední desky bude probíhat plně automaticky a Dodavatel zajistí komunikaci EÚD se zdrojem dat.</w:t>
      </w:r>
    </w:p>
    <w:p w14:paraId="15C8D09B" w14:textId="77777777" w:rsidR="002A2929" w:rsidRPr="006758DF" w:rsidRDefault="002A2929" w:rsidP="002A2929">
      <w:pPr>
        <w:pStyle w:val="Default"/>
        <w:spacing w:line="360" w:lineRule="auto"/>
        <w:jc w:val="both"/>
        <w:rPr>
          <w:rFonts w:asciiTheme="minorHAnsi" w:hAnsiTheme="minorHAnsi" w:cstheme="minorHAnsi"/>
          <w:color w:val="auto"/>
          <w:sz w:val="22"/>
          <w:szCs w:val="22"/>
        </w:rPr>
      </w:pPr>
    </w:p>
    <w:p w14:paraId="53F79636" w14:textId="77777777" w:rsidR="002A2929" w:rsidRPr="006758DF" w:rsidRDefault="002A2929" w:rsidP="002A2929">
      <w:pPr>
        <w:spacing w:line="360" w:lineRule="auto"/>
        <w:rPr>
          <w:rFonts w:cstheme="minorHAnsi"/>
          <w:b/>
        </w:rPr>
      </w:pPr>
      <w:r w:rsidRPr="006758DF">
        <w:rPr>
          <w:rFonts w:cstheme="minorHAnsi"/>
          <w:b/>
        </w:rPr>
        <w:t>Místo a způsob umístění:</w:t>
      </w:r>
    </w:p>
    <w:p w14:paraId="5C4A6F88" w14:textId="798F50CF" w:rsidR="002A2929" w:rsidRPr="006758DF" w:rsidRDefault="002A2929" w:rsidP="002A2929">
      <w:pPr>
        <w:pStyle w:val="Odstavecseseznamem"/>
        <w:numPr>
          <w:ilvl w:val="0"/>
          <w:numId w:val="22"/>
        </w:numPr>
        <w:spacing w:after="0" w:line="360" w:lineRule="auto"/>
        <w:rPr>
          <w:rFonts w:cstheme="minorHAnsi"/>
        </w:rPr>
      </w:pPr>
      <w:r w:rsidRPr="006758DF">
        <w:rPr>
          <w:rFonts w:cstheme="minorHAnsi"/>
        </w:rPr>
        <w:t>veřejně přístupný prostor před budovou sídla Objednatele</w:t>
      </w:r>
      <w:r w:rsidR="00175C2A" w:rsidRPr="006758DF">
        <w:rPr>
          <w:rFonts w:cstheme="minorHAnsi"/>
        </w:rPr>
        <w:t>;</w:t>
      </w:r>
      <w:r w:rsidRPr="006758DF">
        <w:rPr>
          <w:rFonts w:cstheme="minorHAnsi"/>
        </w:rPr>
        <w:t xml:space="preserve"> </w:t>
      </w:r>
    </w:p>
    <w:p w14:paraId="06EAADFB" w14:textId="77777777" w:rsidR="008F018F" w:rsidRPr="006758DF" w:rsidRDefault="008F018F" w:rsidP="00175C2A">
      <w:pPr>
        <w:pStyle w:val="Odstavecseseznamem"/>
        <w:spacing w:after="0" w:line="360" w:lineRule="auto"/>
        <w:rPr>
          <w:rFonts w:cstheme="minorHAnsi"/>
        </w:rPr>
      </w:pPr>
    </w:p>
    <w:p w14:paraId="2EA58D0C" w14:textId="32539A88" w:rsidR="002A2929" w:rsidRPr="006758DF" w:rsidRDefault="00D6521B" w:rsidP="002A2929">
      <w:pPr>
        <w:pStyle w:val="Odstavecseseznamem"/>
        <w:numPr>
          <w:ilvl w:val="0"/>
          <w:numId w:val="22"/>
        </w:numPr>
        <w:spacing w:after="0" w:line="360" w:lineRule="auto"/>
        <w:rPr>
          <w:rFonts w:cstheme="minorHAnsi"/>
        </w:rPr>
      </w:pPr>
      <w:r w:rsidRPr="006758DF">
        <w:rPr>
          <w:rFonts w:cstheme="minorHAnsi"/>
        </w:rPr>
        <w:lastRenderedPageBreak/>
        <w:t xml:space="preserve"> EÚD připevněná na fasádu budovy vpravo od hlavního vstupu do budovy sídla Objednatele</w:t>
      </w:r>
    </w:p>
    <w:p w14:paraId="5ABD8504" w14:textId="7E80CF40" w:rsidR="00D6521B" w:rsidRPr="006758DF" w:rsidRDefault="00D6521B" w:rsidP="002A2929">
      <w:pPr>
        <w:pStyle w:val="Odstavecseseznamem"/>
        <w:numPr>
          <w:ilvl w:val="0"/>
          <w:numId w:val="22"/>
        </w:numPr>
        <w:spacing w:after="0" w:line="360" w:lineRule="auto"/>
        <w:rPr>
          <w:rFonts w:cstheme="minorHAnsi"/>
        </w:rPr>
      </w:pPr>
      <w:r w:rsidRPr="006758DF">
        <w:rPr>
          <w:rFonts w:cstheme="minorHAnsi"/>
        </w:rPr>
        <w:t>UPS bude uvnitř budovy a bude propojena s EÚD kabelem</w:t>
      </w:r>
      <w:r w:rsidR="00175C2A" w:rsidRPr="006758DF">
        <w:rPr>
          <w:rFonts w:cstheme="minorHAnsi"/>
        </w:rPr>
        <w:t>;</w:t>
      </w:r>
    </w:p>
    <w:p w14:paraId="27702117" w14:textId="77777777" w:rsidR="002A2929" w:rsidRPr="006758DF" w:rsidRDefault="002A2929" w:rsidP="002A2929">
      <w:pPr>
        <w:pStyle w:val="Odstavecseseznamem"/>
        <w:numPr>
          <w:ilvl w:val="0"/>
          <w:numId w:val="22"/>
        </w:numPr>
        <w:spacing w:after="0" w:line="360" w:lineRule="auto"/>
        <w:rPr>
          <w:rFonts w:cstheme="minorHAnsi"/>
        </w:rPr>
      </w:pPr>
      <w:r w:rsidRPr="006758DF">
        <w:rPr>
          <w:rFonts w:cstheme="minorHAnsi"/>
        </w:rPr>
        <w:t>přípojky slaboproudu, silnoproudu a síťového kabelu do místa umístění zajistí Objednatel;</w:t>
      </w:r>
    </w:p>
    <w:p w14:paraId="4884BAD3" w14:textId="77777777" w:rsidR="002A2929" w:rsidRPr="006758DF" w:rsidRDefault="002A2929" w:rsidP="002A2929">
      <w:pPr>
        <w:spacing w:line="276" w:lineRule="auto"/>
        <w:rPr>
          <w:rFonts w:ascii="Arial" w:hAnsi="Arial" w:cs="Arial"/>
          <w:b/>
        </w:rPr>
      </w:pPr>
      <w:r w:rsidRPr="006758DF">
        <w:rPr>
          <w:rFonts w:ascii="Arial" w:hAnsi="Arial" w:cs="Arial"/>
          <w:b/>
        </w:rPr>
        <w:t>Požadavky na EÚD:</w:t>
      </w:r>
    </w:p>
    <w:tbl>
      <w:tblPr>
        <w:tblStyle w:val="Mkatabulky"/>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638"/>
        <w:gridCol w:w="3639"/>
      </w:tblGrid>
      <w:tr w:rsidR="00A6099D" w:rsidRPr="006758DF" w14:paraId="62082162" w14:textId="77777777" w:rsidTr="00D6521B">
        <w:trPr>
          <w:trHeight w:val="315"/>
        </w:trPr>
        <w:tc>
          <w:tcPr>
            <w:tcW w:w="1507" w:type="dxa"/>
            <w:shd w:val="clear" w:color="auto" w:fill="BFBFBF" w:themeFill="background1" w:themeFillShade="BF"/>
          </w:tcPr>
          <w:p w14:paraId="49EF7ACE" w14:textId="26FE4733" w:rsidR="00A6099D" w:rsidRPr="006758DF" w:rsidRDefault="00A6099D" w:rsidP="00D6521B">
            <w:pPr>
              <w:jc w:val="center"/>
              <w:rPr>
                <w:rFonts w:ascii="Arial" w:eastAsia="Arial" w:hAnsi="Arial" w:cs="Arial"/>
                <w:b/>
                <w:bCs/>
              </w:rPr>
            </w:pPr>
            <w:r w:rsidRPr="006758DF">
              <w:rPr>
                <w:rFonts w:ascii="Arial" w:eastAsia="Arial" w:hAnsi="Arial" w:cs="Arial"/>
                <w:b/>
                <w:bCs/>
              </w:rPr>
              <w:t>Číslo požadavku</w:t>
            </w:r>
          </w:p>
        </w:tc>
        <w:tc>
          <w:tcPr>
            <w:tcW w:w="3638" w:type="dxa"/>
            <w:shd w:val="clear" w:color="auto" w:fill="BFBFBF" w:themeFill="background1" w:themeFillShade="BF"/>
            <w:tcMar>
              <w:top w:w="15" w:type="dxa"/>
              <w:left w:w="15" w:type="dxa"/>
              <w:right w:w="15" w:type="dxa"/>
            </w:tcMar>
            <w:vAlign w:val="center"/>
          </w:tcPr>
          <w:p w14:paraId="03470549" w14:textId="77777777" w:rsidR="00A6099D" w:rsidRPr="006758DF" w:rsidRDefault="00A6099D" w:rsidP="009D7DF9">
            <w:pPr>
              <w:jc w:val="center"/>
              <w:rPr>
                <w:rFonts w:ascii="Arial" w:hAnsi="Arial" w:cs="Arial"/>
              </w:rPr>
            </w:pPr>
            <w:r w:rsidRPr="006758DF">
              <w:rPr>
                <w:rFonts w:ascii="Arial" w:eastAsia="Arial" w:hAnsi="Arial" w:cs="Arial"/>
                <w:b/>
                <w:bCs/>
              </w:rPr>
              <w:t>Druh položky</w:t>
            </w:r>
          </w:p>
        </w:tc>
        <w:tc>
          <w:tcPr>
            <w:tcW w:w="3639" w:type="dxa"/>
            <w:shd w:val="clear" w:color="auto" w:fill="BFBFBF" w:themeFill="background1" w:themeFillShade="BF"/>
            <w:tcMar>
              <w:top w:w="15" w:type="dxa"/>
              <w:left w:w="15" w:type="dxa"/>
              <w:right w:w="15" w:type="dxa"/>
            </w:tcMar>
            <w:vAlign w:val="center"/>
          </w:tcPr>
          <w:p w14:paraId="56A269D4" w14:textId="77777777" w:rsidR="00A6099D" w:rsidRPr="006758DF" w:rsidRDefault="00A6099D" w:rsidP="009D7DF9">
            <w:pPr>
              <w:jc w:val="center"/>
              <w:rPr>
                <w:rFonts w:ascii="Arial" w:hAnsi="Arial" w:cs="Arial"/>
              </w:rPr>
            </w:pPr>
            <w:r w:rsidRPr="006758DF">
              <w:rPr>
                <w:rFonts w:ascii="Arial" w:eastAsia="Arial" w:hAnsi="Arial" w:cs="Arial"/>
                <w:b/>
                <w:bCs/>
              </w:rPr>
              <w:t>Požadavek</w:t>
            </w:r>
          </w:p>
        </w:tc>
      </w:tr>
      <w:tr w:rsidR="00A6099D" w:rsidRPr="006758DF" w14:paraId="77EFA72F" w14:textId="77777777" w:rsidTr="00D6521B">
        <w:trPr>
          <w:trHeight w:val="315"/>
        </w:trPr>
        <w:tc>
          <w:tcPr>
            <w:tcW w:w="1507" w:type="dxa"/>
          </w:tcPr>
          <w:p w14:paraId="6D0BF449"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w:t>
            </w:r>
          </w:p>
        </w:tc>
        <w:tc>
          <w:tcPr>
            <w:tcW w:w="3638" w:type="dxa"/>
            <w:tcMar>
              <w:top w:w="15" w:type="dxa"/>
              <w:left w:w="15" w:type="dxa"/>
              <w:right w:w="15" w:type="dxa"/>
            </w:tcMar>
            <w:vAlign w:val="center"/>
          </w:tcPr>
          <w:p w14:paraId="7EA777F2" w14:textId="77777777" w:rsidR="00A6099D" w:rsidRPr="006758DF" w:rsidRDefault="00A6099D" w:rsidP="009D7DF9">
            <w:pPr>
              <w:rPr>
                <w:rFonts w:ascii="Arial" w:hAnsi="Arial" w:cs="Arial"/>
              </w:rPr>
            </w:pPr>
            <w:r w:rsidRPr="006758DF">
              <w:rPr>
                <w:rFonts w:ascii="Arial" w:eastAsia="Arial" w:hAnsi="Arial" w:cs="Arial"/>
                <w:color w:val="000000" w:themeColor="text1"/>
              </w:rPr>
              <w:t>provozuschopnost</w:t>
            </w:r>
          </w:p>
        </w:tc>
        <w:tc>
          <w:tcPr>
            <w:tcW w:w="3639" w:type="dxa"/>
            <w:tcMar>
              <w:top w:w="15" w:type="dxa"/>
              <w:left w:w="15" w:type="dxa"/>
              <w:right w:w="15" w:type="dxa"/>
            </w:tcMar>
            <w:vAlign w:val="center"/>
          </w:tcPr>
          <w:p w14:paraId="79B1809D"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 24/7/365</w:t>
            </w:r>
          </w:p>
        </w:tc>
      </w:tr>
      <w:tr w:rsidR="00A6099D" w:rsidRPr="006758DF" w14:paraId="200702CC" w14:textId="77777777" w:rsidTr="00D6521B">
        <w:trPr>
          <w:trHeight w:val="315"/>
        </w:trPr>
        <w:tc>
          <w:tcPr>
            <w:tcW w:w="1507" w:type="dxa"/>
          </w:tcPr>
          <w:p w14:paraId="3FEDB501"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w:t>
            </w:r>
          </w:p>
        </w:tc>
        <w:tc>
          <w:tcPr>
            <w:tcW w:w="3638" w:type="dxa"/>
            <w:tcMar>
              <w:top w:w="15" w:type="dxa"/>
              <w:left w:w="15" w:type="dxa"/>
              <w:right w:w="15" w:type="dxa"/>
            </w:tcMar>
            <w:vAlign w:val="center"/>
          </w:tcPr>
          <w:p w14:paraId="1D45B5D1" w14:textId="77777777" w:rsidR="00A6099D" w:rsidRPr="006758DF" w:rsidRDefault="00A6099D" w:rsidP="009D7DF9">
            <w:pPr>
              <w:rPr>
                <w:rFonts w:ascii="Arial" w:hAnsi="Arial" w:cs="Arial"/>
              </w:rPr>
            </w:pPr>
            <w:r w:rsidRPr="006758DF">
              <w:rPr>
                <w:rFonts w:ascii="Arial" w:eastAsia="Arial" w:hAnsi="Arial" w:cs="Arial"/>
                <w:color w:val="000000" w:themeColor="text1"/>
              </w:rPr>
              <w:t>barevnost boxu</w:t>
            </w:r>
          </w:p>
        </w:tc>
        <w:tc>
          <w:tcPr>
            <w:tcW w:w="3639" w:type="dxa"/>
            <w:tcMar>
              <w:top w:w="15" w:type="dxa"/>
              <w:left w:w="15" w:type="dxa"/>
              <w:right w:w="15" w:type="dxa"/>
            </w:tcMar>
            <w:vAlign w:val="center"/>
          </w:tcPr>
          <w:p w14:paraId="165CCD39"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NEREZ broušený  </w:t>
            </w:r>
          </w:p>
        </w:tc>
      </w:tr>
      <w:tr w:rsidR="00A6099D" w:rsidRPr="006758DF" w14:paraId="34F7971D" w14:textId="77777777" w:rsidTr="00D6521B">
        <w:trPr>
          <w:trHeight w:val="315"/>
        </w:trPr>
        <w:tc>
          <w:tcPr>
            <w:tcW w:w="1507" w:type="dxa"/>
          </w:tcPr>
          <w:p w14:paraId="48031611"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3</w:t>
            </w:r>
          </w:p>
        </w:tc>
        <w:tc>
          <w:tcPr>
            <w:tcW w:w="3638" w:type="dxa"/>
            <w:tcMar>
              <w:top w:w="15" w:type="dxa"/>
              <w:left w:w="15" w:type="dxa"/>
              <w:right w:w="15" w:type="dxa"/>
            </w:tcMar>
            <w:vAlign w:val="center"/>
          </w:tcPr>
          <w:p w14:paraId="397253DE" w14:textId="0FCACA30" w:rsidR="00A6099D" w:rsidRPr="006758DF" w:rsidRDefault="00A6099D" w:rsidP="009D7DF9">
            <w:pPr>
              <w:rPr>
                <w:rFonts w:ascii="Arial" w:hAnsi="Arial" w:cs="Arial"/>
              </w:rPr>
            </w:pPr>
            <w:r w:rsidRPr="006758DF">
              <w:rPr>
                <w:rFonts w:ascii="Arial" w:eastAsia="Arial" w:hAnsi="Arial" w:cs="Arial"/>
                <w:color w:val="000000" w:themeColor="text1"/>
              </w:rPr>
              <w:t xml:space="preserve">pevné připevnění </w:t>
            </w:r>
            <w:r w:rsidR="00347A16" w:rsidRPr="006758DF">
              <w:rPr>
                <w:rFonts w:ascii="Arial" w:eastAsia="Arial" w:hAnsi="Arial" w:cs="Arial"/>
                <w:color w:val="000000" w:themeColor="text1"/>
              </w:rPr>
              <w:t>na zeď</w:t>
            </w:r>
            <w:r w:rsidRPr="006758DF">
              <w:rPr>
                <w:rFonts w:ascii="Arial" w:eastAsia="Arial" w:hAnsi="Arial" w:cs="Arial"/>
                <w:color w:val="000000" w:themeColor="text1"/>
              </w:rPr>
              <w:t xml:space="preserve"> </w:t>
            </w:r>
          </w:p>
        </w:tc>
        <w:tc>
          <w:tcPr>
            <w:tcW w:w="3639" w:type="dxa"/>
            <w:tcMar>
              <w:top w:w="15" w:type="dxa"/>
              <w:left w:w="15" w:type="dxa"/>
              <w:right w:w="15" w:type="dxa"/>
            </w:tcMar>
            <w:vAlign w:val="center"/>
          </w:tcPr>
          <w:p w14:paraId="72084AF4"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ano</w:t>
            </w:r>
          </w:p>
        </w:tc>
      </w:tr>
      <w:tr w:rsidR="00A6099D" w:rsidRPr="006758DF" w14:paraId="356E05F4" w14:textId="77777777" w:rsidTr="00D6521B">
        <w:trPr>
          <w:trHeight w:val="525"/>
        </w:trPr>
        <w:tc>
          <w:tcPr>
            <w:tcW w:w="1507" w:type="dxa"/>
          </w:tcPr>
          <w:p w14:paraId="196CFDB8"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4</w:t>
            </w:r>
          </w:p>
        </w:tc>
        <w:tc>
          <w:tcPr>
            <w:tcW w:w="3638" w:type="dxa"/>
            <w:tcMar>
              <w:top w:w="15" w:type="dxa"/>
              <w:left w:w="15" w:type="dxa"/>
              <w:right w:w="15" w:type="dxa"/>
            </w:tcMar>
            <w:vAlign w:val="center"/>
          </w:tcPr>
          <w:p w14:paraId="054E2894"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odolná nerezová konstrukce s třídou min. A2 </w:t>
            </w:r>
          </w:p>
        </w:tc>
        <w:tc>
          <w:tcPr>
            <w:tcW w:w="3639" w:type="dxa"/>
            <w:tcMar>
              <w:top w:w="15" w:type="dxa"/>
              <w:left w:w="15" w:type="dxa"/>
              <w:right w:w="15" w:type="dxa"/>
            </w:tcMar>
            <w:vAlign w:val="center"/>
          </w:tcPr>
          <w:p w14:paraId="22777A1A"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ano</w:t>
            </w:r>
          </w:p>
        </w:tc>
      </w:tr>
      <w:tr w:rsidR="00A6099D" w:rsidRPr="006758DF" w14:paraId="0CFCED32" w14:textId="77777777" w:rsidTr="00D6521B">
        <w:trPr>
          <w:trHeight w:val="525"/>
        </w:trPr>
        <w:tc>
          <w:tcPr>
            <w:tcW w:w="1507" w:type="dxa"/>
          </w:tcPr>
          <w:p w14:paraId="58E7376F"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5</w:t>
            </w:r>
          </w:p>
        </w:tc>
        <w:tc>
          <w:tcPr>
            <w:tcW w:w="3638" w:type="dxa"/>
            <w:tcMar>
              <w:top w:w="15" w:type="dxa"/>
              <w:left w:w="15" w:type="dxa"/>
              <w:right w:w="15" w:type="dxa"/>
            </w:tcMar>
            <w:vAlign w:val="center"/>
          </w:tcPr>
          <w:p w14:paraId="39467657" w14:textId="77777777" w:rsidR="00A6099D" w:rsidRPr="006758DF" w:rsidRDefault="00A6099D" w:rsidP="009D7DF9">
            <w:pPr>
              <w:rPr>
                <w:rFonts w:ascii="Arial" w:hAnsi="Arial" w:cs="Arial"/>
              </w:rPr>
            </w:pPr>
            <w:r w:rsidRPr="006758DF">
              <w:rPr>
                <w:rFonts w:ascii="Arial" w:eastAsia="Arial" w:hAnsi="Arial" w:cs="Arial"/>
                <w:color w:val="000000" w:themeColor="text1"/>
              </w:rPr>
              <w:t>ochranné sklo displeje</w:t>
            </w:r>
          </w:p>
        </w:tc>
        <w:tc>
          <w:tcPr>
            <w:tcW w:w="3639" w:type="dxa"/>
            <w:tcMar>
              <w:top w:w="15" w:type="dxa"/>
              <w:left w:w="15" w:type="dxa"/>
              <w:right w:w="15" w:type="dxa"/>
            </w:tcMar>
            <w:vAlign w:val="center"/>
          </w:tcPr>
          <w:p w14:paraId="5F36B95A"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ochrana dle ČSN EN 62262 na stupni IK10</w:t>
            </w:r>
          </w:p>
        </w:tc>
      </w:tr>
      <w:tr w:rsidR="00A6099D" w:rsidRPr="006758DF" w14:paraId="5F834610" w14:textId="77777777" w:rsidTr="00D6521B">
        <w:trPr>
          <w:trHeight w:val="780"/>
        </w:trPr>
        <w:tc>
          <w:tcPr>
            <w:tcW w:w="1507" w:type="dxa"/>
          </w:tcPr>
          <w:p w14:paraId="5E243CED"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6</w:t>
            </w:r>
          </w:p>
        </w:tc>
        <w:tc>
          <w:tcPr>
            <w:tcW w:w="3638" w:type="dxa"/>
            <w:tcMar>
              <w:top w:w="15" w:type="dxa"/>
              <w:left w:w="15" w:type="dxa"/>
              <w:right w:w="15" w:type="dxa"/>
            </w:tcMar>
            <w:vAlign w:val="center"/>
          </w:tcPr>
          <w:p w14:paraId="2F423EEB"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ochrana proti neoprávněnému vniknutí do vnitřku zařízení (např. alarm, uzamykatelná skříň) </w:t>
            </w:r>
          </w:p>
        </w:tc>
        <w:tc>
          <w:tcPr>
            <w:tcW w:w="3639" w:type="dxa"/>
            <w:tcMar>
              <w:top w:w="15" w:type="dxa"/>
              <w:left w:w="15" w:type="dxa"/>
              <w:right w:w="15" w:type="dxa"/>
            </w:tcMar>
            <w:vAlign w:val="center"/>
          </w:tcPr>
          <w:p w14:paraId="1B7489A7" w14:textId="59C86FC3" w:rsidR="00A6099D" w:rsidRPr="006758DF" w:rsidRDefault="00A6099D" w:rsidP="009D7DF9">
            <w:pPr>
              <w:jc w:val="center"/>
              <w:rPr>
                <w:rFonts w:ascii="Arial" w:hAnsi="Arial" w:cs="Arial"/>
              </w:rPr>
            </w:pPr>
            <w:r w:rsidRPr="006758DF">
              <w:rPr>
                <w:rFonts w:ascii="Arial" w:eastAsia="Arial" w:hAnsi="Arial" w:cs="Arial"/>
              </w:rPr>
              <w:t>uzamykatelná skříň s alarmem</w:t>
            </w:r>
            <w:r w:rsidRPr="006758DF">
              <w:rPr>
                <w:rFonts w:ascii="Arial" w:eastAsia="Arial" w:hAnsi="Arial" w:cs="Arial"/>
                <w:i/>
                <w:iCs/>
                <w:color w:val="000000" w:themeColor="text1"/>
              </w:rPr>
              <w:t xml:space="preserve">) </w:t>
            </w:r>
          </w:p>
        </w:tc>
      </w:tr>
      <w:tr w:rsidR="00A6099D" w:rsidRPr="006758DF" w14:paraId="4414FBC1" w14:textId="77777777" w:rsidTr="00D6521B">
        <w:trPr>
          <w:trHeight w:val="525"/>
        </w:trPr>
        <w:tc>
          <w:tcPr>
            <w:tcW w:w="1507" w:type="dxa"/>
          </w:tcPr>
          <w:p w14:paraId="4A23AAF4"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7</w:t>
            </w:r>
          </w:p>
        </w:tc>
        <w:tc>
          <w:tcPr>
            <w:tcW w:w="3638" w:type="dxa"/>
            <w:tcMar>
              <w:top w:w="15" w:type="dxa"/>
              <w:left w:w="15" w:type="dxa"/>
              <w:right w:w="15" w:type="dxa"/>
            </w:tcMar>
            <w:vAlign w:val="center"/>
          </w:tcPr>
          <w:p w14:paraId="556235FF" w14:textId="77777777" w:rsidR="00A6099D" w:rsidRPr="006758DF" w:rsidRDefault="00A6099D" w:rsidP="009D7DF9">
            <w:pPr>
              <w:rPr>
                <w:rFonts w:ascii="Arial" w:hAnsi="Arial" w:cs="Arial"/>
              </w:rPr>
            </w:pPr>
            <w:r w:rsidRPr="006758DF">
              <w:rPr>
                <w:rFonts w:ascii="Arial" w:eastAsia="Arial" w:hAnsi="Arial" w:cs="Arial"/>
                <w:color w:val="000000" w:themeColor="text1"/>
              </w:rPr>
              <w:t>odolnost pro provozní teploty</w:t>
            </w:r>
          </w:p>
        </w:tc>
        <w:tc>
          <w:tcPr>
            <w:tcW w:w="3639" w:type="dxa"/>
            <w:tcMar>
              <w:top w:w="15" w:type="dxa"/>
              <w:left w:w="15" w:type="dxa"/>
              <w:right w:w="15" w:type="dxa"/>
            </w:tcMar>
            <w:vAlign w:val="center"/>
          </w:tcPr>
          <w:p w14:paraId="33BE4BEF" w14:textId="374383B3"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 </w:t>
            </w:r>
            <w:r w:rsidRPr="006758DF">
              <w:rPr>
                <w:rFonts w:ascii="Arial" w:eastAsia="Arial" w:hAnsi="Arial" w:cs="Arial"/>
              </w:rPr>
              <w:t>-35°C až +60°C</w:t>
            </w:r>
          </w:p>
        </w:tc>
      </w:tr>
      <w:tr w:rsidR="00A6099D" w:rsidRPr="006758DF" w14:paraId="566FEFFE" w14:textId="77777777" w:rsidTr="00D6521B">
        <w:trPr>
          <w:trHeight w:val="525"/>
        </w:trPr>
        <w:tc>
          <w:tcPr>
            <w:tcW w:w="1507" w:type="dxa"/>
          </w:tcPr>
          <w:p w14:paraId="740AF3FA"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8</w:t>
            </w:r>
          </w:p>
        </w:tc>
        <w:tc>
          <w:tcPr>
            <w:tcW w:w="3638" w:type="dxa"/>
            <w:tcMar>
              <w:top w:w="15" w:type="dxa"/>
              <w:left w:w="15" w:type="dxa"/>
              <w:right w:w="15" w:type="dxa"/>
            </w:tcMar>
            <w:vAlign w:val="center"/>
          </w:tcPr>
          <w:p w14:paraId="633EA7FE" w14:textId="77777777" w:rsidR="00A6099D" w:rsidRPr="006758DF" w:rsidRDefault="00A6099D" w:rsidP="009D7DF9">
            <w:pPr>
              <w:rPr>
                <w:rFonts w:ascii="Arial" w:hAnsi="Arial" w:cs="Arial"/>
              </w:rPr>
            </w:pPr>
            <w:r w:rsidRPr="006758DF">
              <w:rPr>
                <w:rFonts w:ascii="Arial" w:eastAsia="Arial" w:hAnsi="Arial" w:cs="Arial"/>
                <w:color w:val="000000" w:themeColor="text1"/>
              </w:rPr>
              <w:t>odolnost krytí</w:t>
            </w:r>
          </w:p>
        </w:tc>
        <w:tc>
          <w:tcPr>
            <w:tcW w:w="3639" w:type="dxa"/>
            <w:tcMar>
              <w:top w:w="15" w:type="dxa"/>
              <w:left w:w="15" w:type="dxa"/>
              <w:right w:w="15" w:type="dxa"/>
            </w:tcMar>
            <w:vAlign w:val="center"/>
          </w:tcPr>
          <w:p w14:paraId="75BFA3F2" w14:textId="29F01A50" w:rsidR="00A6099D" w:rsidRPr="006758DF" w:rsidRDefault="00A6099D" w:rsidP="00A6099D">
            <w:pPr>
              <w:jc w:val="center"/>
              <w:rPr>
                <w:rFonts w:ascii="Arial" w:hAnsi="Arial" w:cs="Arial"/>
              </w:rPr>
            </w:pPr>
            <w:r w:rsidRPr="006758DF">
              <w:rPr>
                <w:rFonts w:ascii="Arial" w:eastAsia="Arial" w:hAnsi="Arial" w:cs="Arial"/>
                <w:color w:val="000000" w:themeColor="text1"/>
              </w:rPr>
              <w:t xml:space="preserve"> min. IP 65 </w:t>
            </w:r>
          </w:p>
        </w:tc>
      </w:tr>
      <w:tr w:rsidR="00A6099D" w:rsidRPr="006758DF" w14:paraId="634B1A8F" w14:textId="77777777" w:rsidTr="00D6521B">
        <w:trPr>
          <w:trHeight w:val="780"/>
        </w:trPr>
        <w:tc>
          <w:tcPr>
            <w:tcW w:w="1507" w:type="dxa"/>
          </w:tcPr>
          <w:p w14:paraId="1F56D551"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9</w:t>
            </w:r>
          </w:p>
        </w:tc>
        <w:tc>
          <w:tcPr>
            <w:tcW w:w="3638" w:type="dxa"/>
            <w:tcMar>
              <w:top w:w="15" w:type="dxa"/>
              <w:left w:w="15" w:type="dxa"/>
              <w:right w:w="15" w:type="dxa"/>
            </w:tcMar>
            <w:vAlign w:val="center"/>
          </w:tcPr>
          <w:p w14:paraId="6142496F"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zařízení musí disponovat přepěťovou ochranou k ochraně vnitřních prvků zařízení </w:t>
            </w:r>
          </w:p>
        </w:tc>
        <w:tc>
          <w:tcPr>
            <w:tcW w:w="3639" w:type="dxa"/>
            <w:tcMar>
              <w:top w:w="15" w:type="dxa"/>
              <w:left w:w="15" w:type="dxa"/>
              <w:right w:w="15" w:type="dxa"/>
            </w:tcMar>
            <w:vAlign w:val="center"/>
          </w:tcPr>
          <w:p w14:paraId="47080C54"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2513E165" w14:textId="77777777" w:rsidTr="00D6521B">
        <w:trPr>
          <w:trHeight w:val="1035"/>
        </w:trPr>
        <w:tc>
          <w:tcPr>
            <w:tcW w:w="1507" w:type="dxa"/>
          </w:tcPr>
          <w:p w14:paraId="5346BFA2"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10</w:t>
            </w:r>
          </w:p>
        </w:tc>
        <w:tc>
          <w:tcPr>
            <w:tcW w:w="3638" w:type="dxa"/>
            <w:tcMar>
              <w:top w:w="15" w:type="dxa"/>
              <w:left w:w="15" w:type="dxa"/>
              <w:right w:w="15" w:type="dxa"/>
            </w:tcMar>
            <w:vAlign w:val="center"/>
          </w:tcPr>
          <w:p w14:paraId="5C3281F7" w14:textId="68648D5C" w:rsidR="00A6099D" w:rsidRPr="006758DF" w:rsidRDefault="00A6099D" w:rsidP="009D7DF9">
            <w:pPr>
              <w:rPr>
                <w:rFonts w:ascii="Arial" w:hAnsi="Arial" w:cs="Arial"/>
              </w:rPr>
            </w:pPr>
            <w:r w:rsidRPr="006758DF">
              <w:rPr>
                <w:rFonts w:ascii="Arial" w:eastAsia="Arial" w:hAnsi="Arial" w:cs="Arial"/>
                <w:color w:val="000000" w:themeColor="text1"/>
              </w:rPr>
              <w:t>zařízení musí obsahovat vlastní záložní napájecí zdroj</w:t>
            </w:r>
            <w:r w:rsidR="00D6521B" w:rsidRPr="006758DF">
              <w:rPr>
                <w:rFonts w:ascii="Arial" w:eastAsia="Arial" w:hAnsi="Arial" w:cs="Arial"/>
                <w:color w:val="000000" w:themeColor="text1"/>
              </w:rPr>
              <w:t xml:space="preserve"> (UPS)</w:t>
            </w:r>
            <w:r w:rsidRPr="006758DF">
              <w:rPr>
                <w:rFonts w:ascii="Arial" w:eastAsia="Arial" w:hAnsi="Arial" w:cs="Arial"/>
                <w:color w:val="000000" w:themeColor="text1"/>
              </w:rPr>
              <w:t>, který bude schopen při výpadku napájení plnohodnotně provozovat zařízení</w:t>
            </w:r>
          </w:p>
        </w:tc>
        <w:tc>
          <w:tcPr>
            <w:tcW w:w="3639" w:type="dxa"/>
            <w:tcMar>
              <w:top w:w="15" w:type="dxa"/>
              <w:left w:w="15" w:type="dxa"/>
              <w:right w:w="15" w:type="dxa"/>
            </w:tcMar>
            <w:vAlign w:val="center"/>
          </w:tcPr>
          <w:p w14:paraId="18B0D1F3" w14:textId="39E9B27D" w:rsidR="00A6099D" w:rsidRPr="006758DF" w:rsidRDefault="00A6099D" w:rsidP="00A6099D">
            <w:pPr>
              <w:jc w:val="center"/>
              <w:rPr>
                <w:rFonts w:ascii="Arial" w:hAnsi="Arial" w:cs="Arial"/>
              </w:rPr>
            </w:pPr>
            <w:r w:rsidRPr="006758DF">
              <w:rPr>
                <w:rFonts w:ascii="Arial" w:eastAsia="Arial" w:hAnsi="Arial" w:cs="Arial"/>
                <w:color w:val="000000" w:themeColor="text1"/>
              </w:rPr>
              <w:t>provoz min. po dobu 60 minut</w:t>
            </w:r>
            <w:r w:rsidR="00347A16" w:rsidRPr="006758DF">
              <w:rPr>
                <w:rFonts w:ascii="Arial" w:eastAsia="Arial" w:hAnsi="Arial" w:cs="Arial"/>
                <w:color w:val="000000" w:themeColor="text1"/>
              </w:rPr>
              <w:t xml:space="preserve"> v případě UPS uvnitř budovy</w:t>
            </w:r>
          </w:p>
        </w:tc>
      </w:tr>
      <w:tr w:rsidR="00A6099D" w:rsidRPr="006758DF" w14:paraId="101D4965" w14:textId="77777777" w:rsidTr="00D6521B">
        <w:trPr>
          <w:trHeight w:val="315"/>
        </w:trPr>
        <w:tc>
          <w:tcPr>
            <w:tcW w:w="1507" w:type="dxa"/>
          </w:tcPr>
          <w:p w14:paraId="06BAAFB8"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11</w:t>
            </w:r>
          </w:p>
        </w:tc>
        <w:tc>
          <w:tcPr>
            <w:tcW w:w="3638" w:type="dxa"/>
            <w:tcMar>
              <w:top w:w="15" w:type="dxa"/>
              <w:left w:w="15" w:type="dxa"/>
              <w:right w:w="15" w:type="dxa"/>
            </w:tcMar>
            <w:vAlign w:val="center"/>
          </w:tcPr>
          <w:p w14:paraId="42F3D905"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noční mód osvětlení </w:t>
            </w:r>
          </w:p>
        </w:tc>
        <w:tc>
          <w:tcPr>
            <w:tcW w:w="3639" w:type="dxa"/>
            <w:tcMar>
              <w:top w:w="15" w:type="dxa"/>
              <w:left w:w="15" w:type="dxa"/>
              <w:right w:w="15" w:type="dxa"/>
            </w:tcMar>
            <w:vAlign w:val="center"/>
          </w:tcPr>
          <w:p w14:paraId="1FD970FB"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62D209CD" w14:textId="77777777" w:rsidTr="00D6521B">
        <w:trPr>
          <w:trHeight w:val="1035"/>
        </w:trPr>
        <w:tc>
          <w:tcPr>
            <w:tcW w:w="1507" w:type="dxa"/>
          </w:tcPr>
          <w:p w14:paraId="4E955B2B"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12</w:t>
            </w:r>
          </w:p>
        </w:tc>
        <w:tc>
          <w:tcPr>
            <w:tcW w:w="3638" w:type="dxa"/>
            <w:tcMar>
              <w:top w:w="15" w:type="dxa"/>
              <w:left w:w="15" w:type="dxa"/>
              <w:right w:w="15" w:type="dxa"/>
            </w:tcMar>
            <w:vAlign w:val="center"/>
          </w:tcPr>
          <w:p w14:paraId="52D7524B" w14:textId="77777777" w:rsidR="00A6099D" w:rsidRPr="006758DF" w:rsidRDefault="00A6099D" w:rsidP="009D7DF9">
            <w:pPr>
              <w:rPr>
                <w:rFonts w:ascii="Arial" w:hAnsi="Arial" w:cs="Arial"/>
              </w:rPr>
            </w:pPr>
            <w:r w:rsidRPr="006758DF">
              <w:rPr>
                <w:rFonts w:ascii="Arial" w:eastAsia="Arial" w:hAnsi="Arial" w:cs="Arial"/>
                <w:color w:val="000000" w:themeColor="text1"/>
              </w:rPr>
              <w:t>ovládání přizpůsobeno seniorům a hendikepovaným osobám</w:t>
            </w:r>
            <w:r w:rsidRPr="006758DF">
              <w:rPr>
                <w:rFonts w:ascii="Arial" w:hAnsi="Arial" w:cs="Arial"/>
              </w:rPr>
              <w:br/>
            </w:r>
            <w:r w:rsidRPr="006758DF">
              <w:rPr>
                <w:rFonts w:ascii="Arial" w:eastAsia="Arial" w:hAnsi="Arial" w:cs="Arial"/>
                <w:color w:val="000000" w:themeColor="text1"/>
              </w:rPr>
              <w:t xml:space="preserve"> </w:t>
            </w:r>
            <w:r w:rsidRPr="006758DF">
              <w:rPr>
                <w:rFonts w:ascii="Arial" w:eastAsia="Arial" w:hAnsi="Arial" w:cs="Arial"/>
                <w:i/>
                <w:iCs/>
                <w:color w:val="000000" w:themeColor="text1"/>
              </w:rPr>
              <w:t>(ovládání musí splňovat všechny legislativní požadavky a normy)</w:t>
            </w:r>
          </w:p>
        </w:tc>
        <w:tc>
          <w:tcPr>
            <w:tcW w:w="3639" w:type="dxa"/>
            <w:tcMar>
              <w:top w:w="15" w:type="dxa"/>
              <w:left w:w="15" w:type="dxa"/>
              <w:right w:w="15" w:type="dxa"/>
            </w:tcMar>
            <w:vAlign w:val="center"/>
          </w:tcPr>
          <w:p w14:paraId="297CE0A3"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194660AD" w14:textId="77777777" w:rsidTr="00D6521B">
        <w:trPr>
          <w:trHeight w:val="525"/>
        </w:trPr>
        <w:tc>
          <w:tcPr>
            <w:tcW w:w="1507" w:type="dxa"/>
          </w:tcPr>
          <w:p w14:paraId="2ECEEFD1"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13</w:t>
            </w:r>
          </w:p>
        </w:tc>
        <w:tc>
          <w:tcPr>
            <w:tcW w:w="3638" w:type="dxa"/>
            <w:tcMar>
              <w:top w:w="15" w:type="dxa"/>
              <w:left w:w="15" w:type="dxa"/>
              <w:right w:w="15" w:type="dxa"/>
            </w:tcMar>
            <w:vAlign w:val="center"/>
          </w:tcPr>
          <w:p w14:paraId="53D2DF72"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vestavěné reproduktory </w:t>
            </w:r>
          </w:p>
        </w:tc>
        <w:tc>
          <w:tcPr>
            <w:tcW w:w="3639" w:type="dxa"/>
            <w:tcMar>
              <w:top w:w="15" w:type="dxa"/>
              <w:left w:w="15" w:type="dxa"/>
              <w:right w:w="15" w:type="dxa"/>
            </w:tcMar>
            <w:vAlign w:val="center"/>
          </w:tcPr>
          <w:p w14:paraId="5BD2ECEF" w14:textId="4B3D87DE" w:rsidR="00A6099D" w:rsidRPr="006758DF" w:rsidRDefault="00A6099D" w:rsidP="00A6099D">
            <w:pPr>
              <w:jc w:val="center"/>
              <w:rPr>
                <w:rFonts w:ascii="Arial" w:hAnsi="Arial" w:cs="Arial"/>
              </w:rPr>
            </w:pPr>
            <w:r w:rsidRPr="006758DF">
              <w:rPr>
                <w:rFonts w:ascii="Arial" w:eastAsia="Arial" w:hAnsi="Arial" w:cs="Arial"/>
                <w:color w:val="000000" w:themeColor="text1"/>
              </w:rPr>
              <w:t xml:space="preserve">2 ks o výkonu min. 2x 30 W </w:t>
            </w:r>
            <w:r w:rsidRPr="006758DF">
              <w:rPr>
                <w:rFonts w:ascii="Arial" w:hAnsi="Arial" w:cs="Arial"/>
              </w:rPr>
              <w:br/>
            </w:r>
          </w:p>
        </w:tc>
      </w:tr>
      <w:tr w:rsidR="00A6099D" w:rsidRPr="006758DF" w14:paraId="33272633" w14:textId="77777777" w:rsidTr="00D6521B">
        <w:trPr>
          <w:trHeight w:val="1035"/>
        </w:trPr>
        <w:tc>
          <w:tcPr>
            <w:tcW w:w="1507" w:type="dxa"/>
          </w:tcPr>
          <w:p w14:paraId="3BF78079"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14</w:t>
            </w:r>
          </w:p>
        </w:tc>
        <w:tc>
          <w:tcPr>
            <w:tcW w:w="3638" w:type="dxa"/>
            <w:tcMar>
              <w:top w:w="15" w:type="dxa"/>
              <w:left w:w="15" w:type="dxa"/>
              <w:right w:w="15" w:type="dxa"/>
            </w:tcMar>
            <w:vAlign w:val="center"/>
          </w:tcPr>
          <w:p w14:paraId="21088191" w14:textId="77777777" w:rsidR="00A6099D" w:rsidRPr="006758DF" w:rsidRDefault="00A6099D" w:rsidP="009D7DF9">
            <w:pPr>
              <w:rPr>
                <w:rFonts w:ascii="Arial" w:hAnsi="Arial" w:cs="Arial"/>
              </w:rPr>
            </w:pPr>
            <w:r w:rsidRPr="006758DF">
              <w:rPr>
                <w:rFonts w:ascii="Arial" w:eastAsia="Arial" w:hAnsi="Arial" w:cs="Arial"/>
                <w:color w:val="000000" w:themeColor="text1"/>
              </w:rPr>
              <w:t>obsah EÚD dostupný i offline</w:t>
            </w:r>
            <w:r w:rsidRPr="006758DF">
              <w:rPr>
                <w:rFonts w:ascii="Arial" w:hAnsi="Arial" w:cs="Arial"/>
              </w:rPr>
              <w:br/>
            </w:r>
            <w:r w:rsidRPr="006758DF">
              <w:rPr>
                <w:rFonts w:ascii="Arial" w:eastAsia="Arial" w:hAnsi="Arial" w:cs="Arial"/>
                <w:i/>
                <w:iCs/>
                <w:color w:val="000000" w:themeColor="text1"/>
              </w:rPr>
              <w:t xml:space="preserve">(v případě ztráty konektivity musí umět zařízení zobrazit obsah a dokumenty EÚD) </w:t>
            </w:r>
          </w:p>
        </w:tc>
        <w:tc>
          <w:tcPr>
            <w:tcW w:w="3639" w:type="dxa"/>
            <w:tcMar>
              <w:top w:w="15" w:type="dxa"/>
              <w:left w:w="15" w:type="dxa"/>
              <w:right w:w="15" w:type="dxa"/>
            </w:tcMar>
            <w:vAlign w:val="center"/>
          </w:tcPr>
          <w:p w14:paraId="5E5F68D2"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5CF8480B" w14:textId="77777777" w:rsidTr="00D6521B">
        <w:trPr>
          <w:trHeight w:val="780"/>
        </w:trPr>
        <w:tc>
          <w:tcPr>
            <w:tcW w:w="1507" w:type="dxa"/>
          </w:tcPr>
          <w:p w14:paraId="7FF13BA7"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15</w:t>
            </w:r>
          </w:p>
        </w:tc>
        <w:tc>
          <w:tcPr>
            <w:tcW w:w="3638" w:type="dxa"/>
            <w:tcMar>
              <w:top w:w="15" w:type="dxa"/>
              <w:left w:w="15" w:type="dxa"/>
              <w:right w:w="15" w:type="dxa"/>
            </w:tcMar>
            <w:vAlign w:val="center"/>
          </w:tcPr>
          <w:p w14:paraId="648A80A8" w14:textId="77777777" w:rsidR="00A6099D" w:rsidRPr="006758DF" w:rsidRDefault="00A6099D" w:rsidP="009D7DF9">
            <w:pPr>
              <w:rPr>
                <w:rFonts w:ascii="Arial" w:hAnsi="Arial" w:cs="Arial"/>
              </w:rPr>
            </w:pPr>
            <w:r w:rsidRPr="006758DF">
              <w:rPr>
                <w:rFonts w:ascii="Arial" w:eastAsia="Arial" w:hAnsi="Arial" w:cs="Arial"/>
                <w:color w:val="000000" w:themeColor="text1"/>
              </w:rPr>
              <w:t>obousměrná síťová komunikace se zařízením musí probíhat prostřednictvím LAN kabelu - Ethernet (RJ-45) připojený k internetu</w:t>
            </w:r>
          </w:p>
        </w:tc>
        <w:tc>
          <w:tcPr>
            <w:tcW w:w="3639" w:type="dxa"/>
            <w:tcMar>
              <w:top w:w="15" w:type="dxa"/>
              <w:left w:w="15" w:type="dxa"/>
              <w:right w:w="15" w:type="dxa"/>
            </w:tcMar>
            <w:vAlign w:val="center"/>
          </w:tcPr>
          <w:p w14:paraId="3076AB23" w14:textId="3D19B2B3" w:rsidR="00A6099D" w:rsidRPr="006758DF" w:rsidRDefault="00A6099D" w:rsidP="009D7DF9">
            <w:pPr>
              <w:jc w:val="center"/>
              <w:rPr>
                <w:rFonts w:ascii="Arial" w:hAnsi="Arial" w:cs="Arial"/>
              </w:rPr>
            </w:pPr>
            <w:r w:rsidRPr="006758DF">
              <w:rPr>
                <w:rFonts w:ascii="Arial" w:eastAsia="Arial" w:hAnsi="Arial" w:cs="Arial"/>
                <w:color w:val="000000" w:themeColor="text1"/>
              </w:rPr>
              <w:t>ano</w:t>
            </w:r>
            <w:r w:rsidRPr="006758DF">
              <w:rPr>
                <w:rFonts w:ascii="Arial" w:hAnsi="Arial" w:cs="Arial"/>
              </w:rPr>
              <w:br/>
            </w:r>
            <w:r w:rsidRPr="006758DF">
              <w:rPr>
                <w:rFonts w:ascii="Arial" w:eastAsia="Arial" w:hAnsi="Arial" w:cs="Arial"/>
                <w:color w:val="000000" w:themeColor="text1"/>
              </w:rPr>
              <w:t xml:space="preserve"> </w:t>
            </w:r>
            <w:r w:rsidRPr="006758DF">
              <w:rPr>
                <w:rFonts w:ascii="Arial" w:eastAsia="Arial" w:hAnsi="Arial" w:cs="Arial"/>
              </w:rPr>
              <w:t>(1x LAN)</w:t>
            </w:r>
          </w:p>
        </w:tc>
      </w:tr>
      <w:tr w:rsidR="00A6099D" w:rsidRPr="006758DF" w14:paraId="776AFD8D" w14:textId="77777777" w:rsidTr="00D6521B">
        <w:trPr>
          <w:trHeight w:val="780"/>
        </w:trPr>
        <w:tc>
          <w:tcPr>
            <w:tcW w:w="1507" w:type="dxa"/>
          </w:tcPr>
          <w:p w14:paraId="3BF0B818"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lastRenderedPageBreak/>
              <w:t>16</w:t>
            </w:r>
          </w:p>
        </w:tc>
        <w:tc>
          <w:tcPr>
            <w:tcW w:w="3638" w:type="dxa"/>
            <w:tcMar>
              <w:top w:w="15" w:type="dxa"/>
              <w:left w:w="15" w:type="dxa"/>
              <w:right w:w="15" w:type="dxa"/>
            </w:tcMar>
            <w:vAlign w:val="center"/>
          </w:tcPr>
          <w:p w14:paraId="1CD3525A" w14:textId="77777777" w:rsidR="00A6099D" w:rsidRPr="006758DF" w:rsidRDefault="00A6099D" w:rsidP="009D7DF9">
            <w:pPr>
              <w:rPr>
                <w:rFonts w:ascii="Arial" w:eastAsia="Arial" w:hAnsi="Arial" w:cs="Arial"/>
                <w:color w:val="000000" w:themeColor="text1"/>
              </w:rPr>
            </w:pPr>
            <w:r w:rsidRPr="006758DF">
              <w:rPr>
                <w:rFonts w:ascii="Arial" w:eastAsia="Arial" w:hAnsi="Arial" w:cs="Arial"/>
                <w:color w:val="000000" w:themeColor="text1"/>
              </w:rPr>
              <w:t>zařízení bude připojené jednofázovým napájením (1x 15 A) 230 V</w:t>
            </w:r>
          </w:p>
        </w:tc>
        <w:tc>
          <w:tcPr>
            <w:tcW w:w="3639" w:type="dxa"/>
            <w:tcMar>
              <w:top w:w="15" w:type="dxa"/>
              <w:left w:w="15" w:type="dxa"/>
              <w:right w:w="15" w:type="dxa"/>
            </w:tcMar>
            <w:vAlign w:val="center"/>
          </w:tcPr>
          <w:p w14:paraId="720B142B" w14:textId="169B227A" w:rsidR="00A6099D" w:rsidRPr="006758DF" w:rsidRDefault="00347A16" w:rsidP="009D7DF9">
            <w:pPr>
              <w:jc w:val="center"/>
              <w:rPr>
                <w:rFonts w:ascii="Arial" w:eastAsia="Arial" w:hAnsi="Arial" w:cs="Arial"/>
                <w:color w:val="000000" w:themeColor="text1"/>
              </w:rPr>
            </w:pPr>
            <w:r w:rsidRPr="006758DF">
              <w:rPr>
                <w:rFonts w:ascii="Arial" w:eastAsia="Arial" w:hAnsi="Arial" w:cs="Arial"/>
                <w:color w:val="000000" w:themeColor="text1"/>
              </w:rPr>
              <w:t>A</w:t>
            </w:r>
            <w:r w:rsidR="00A6099D" w:rsidRPr="006758DF">
              <w:rPr>
                <w:rFonts w:ascii="Arial" w:eastAsia="Arial" w:hAnsi="Arial" w:cs="Arial"/>
                <w:color w:val="000000" w:themeColor="text1"/>
              </w:rPr>
              <w:t>no</w:t>
            </w:r>
          </w:p>
        </w:tc>
      </w:tr>
      <w:tr w:rsidR="00A6099D" w:rsidRPr="006758DF" w14:paraId="40AFEE3D" w14:textId="77777777" w:rsidTr="00D6521B">
        <w:trPr>
          <w:trHeight w:val="525"/>
        </w:trPr>
        <w:tc>
          <w:tcPr>
            <w:tcW w:w="1507" w:type="dxa"/>
          </w:tcPr>
          <w:p w14:paraId="5E8E14B0"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17</w:t>
            </w:r>
          </w:p>
        </w:tc>
        <w:tc>
          <w:tcPr>
            <w:tcW w:w="3638" w:type="dxa"/>
            <w:tcMar>
              <w:top w:w="15" w:type="dxa"/>
              <w:left w:w="15" w:type="dxa"/>
              <w:right w:w="15" w:type="dxa"/>
            </w:tcMar>
            <w:vAlign w:val="center"/>
          </w:tcPr>
          <w:p w14:paraId="0BBC978E"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velikost LCD obrazovky s orientací na výšku </w:t>
            </w:r>
          </w:p>
        </w:tc>
        <w:tc>
          <w:tcPr>
            <w:tcW w:w="3639" w:type="dxa"/>
            <w:tcMar>
              <w:top w:w="15" w:type="dxa"/>
              <w:left w:w="15" w:type="dxa"/>
              <w:right w:w="15" w:type="dxa"/>
            </w:tcMar>
            <w:vAlign w:val="center"/>
          </w:tcPr>
          <w:p w14:paraId="5D0EE07A" w14:textId="6BD0181A" w:rsidR="00A6099D" w:rsidRPr="006758DF" w:rsidRDefault="00A6099D" w:rsidP="00A6099D">
            <w:pPr>
              <w:jc w:val="center"/>
              <w:rPr>
                <w:rFonts w:ascii="Arial" w:hAnsi="Arial" w:cs="Arial"/>
              </w:rPr>
            </w:pPr>
            <w:r w:rsidRPr="006758DF">
              <w:rPr>
                <w:rFonts w:ascii="Arial" w:eastAsia="Arial" w:hAnsi="Arial" w:cs="Arial"/>
                <w:color w:val="000000" w:themeColor="text1"/>
              </w:rPr>
              <w:t>43“ V</w:t>
            </w:r>
          </w:p>
        </w:tc>
      </w:tr>
      <w:tr w:rsidR="00A6099D" w:rsidRPr="006758DF" w14:paraId="69BC70E6" w14:textId="77777777" w:rsidTr="00D6521B">
        <w:trPr>
          <w:trHeight w:val="315"/>
        </w:trPr>
        <w:tc>
          <w:tcPr>
            <w:tcW w:w="1507" w:type="dxa"/>
          </w:tcPr>
          <w:p w14:paraId="38537619"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18</w:t>
            </w:r>
          </w:p>
        </w:tc>
        <w:tc>
          <w:tcPr>
            <w:tcW w:w="3638" w:type="dxa"/>
            <w:tcMar>
              <w:top w:w="15" w:type="dxa"/>
              <w:left w:w="15" w:type="dxa"/>
              <w:right w:w="15" w:type="dxa"/>
            </w:tcMar>
            <w:vAlign w:val="center"/>
          </w:tcPr>
          <w:p w14:paraId="74E6720C" w14:textId="77777777" w:rsidR="00A6099D" w:rsidRPr="006758DF" w:rsidRDefault="00A6099D" w:rsidP="009D7DF9">
            <w:pPr>
              <w:rPr>
                <w:rFonts w:ascii="Arial" w:hAnsi="Arial" w:cs="Arial"/>
              </w:rPr>
            </w:pPr>
            <w:r w:rsidRPr="006758DF">
              <w:rPr>
                <w:rFonts w:ascii="Arial" w:eastAsia="Arial" w:hAnsi="Arial" w:cs="Arial"/>
                <w:color w:val="000000" w:themeColor="text1"/>
              </w:rPr>
              <w:t>rozlišení displeje</w:t>
            </w:r>
          </w:p>
        </w:tc>
        <w:tc>
          <w:tcPr>
            <w:tcW w:w="3639" w:type="dxa"/>
            <w:tcMar>
              <w:top w:w="15" w:type="dxa"/>
              <w:left w:w="15" w:type="dxa"/>
              <w:right w:w="15" w:type="dxa"/>
            </w:tcMar>
            <w:vAlign w:val="center"/>
          </w:tcPr>
          <w:p w14:paraId="47B235D0"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 min. Full HD 1080 x 1920</w:t>
            </w:r>
          </w:p>
        </w:tc>
      </w:tr>
      <w:tr w:rsidR="00A6099D" w:rsidRPr="006758DF" w14:paraId="7B69EA12" w14:textId="77777777" w:rsidTr="00D6521B">
        <w:trPr>
          <w:trHeight w:val="315"/>
        </w:trPr>
        <w:tc>
          <w:tcPr>
            <w:tcW w:w="1507" w:type="dxa"/>
          </w:tcPr>
          <w:p w14:paraId="7D441446"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19</w:t>
            </w:r>
          </w:p>
        </w:tc>
        <w:tc>
          <w:tcPr>
            <w:tcW w:w="3638" w:type="dxa"/>
            <w:tcMar>
              <w:top w:w="15" w:type="dxa"/>
              <w:left w:w="15" w:type="dxa"/>
              <w:right w:w="15" w:type="dxa"/>
            </w:tcMar>
            <w:vAlign w:val="center"/>
          </w:tcPr>
          <w:p w14:paraId="37CAB0C6" w14:textId="77777777" w:rsidR="00A6099D" w:rsidRPr="006758DF" w:rsidRDefault="00A6099D" w:rsidP="009D7DF9">
            <w:pPr>
              <w:rPr>
                <w:rFonts w:ascii="Arial" w:hAnsi="Arial" w:cs="Arial"/>
              </w:rPr>
            </w:pPr>
            <w:r w:rsidRPr="006758DF">
              <w:rPr>
                <w:rFonts w:ascii="Arial" w:eastAsia="Arial" w:hAnsi="Arial" w:cs="Arial"/>
                <w:color w:val="000000" w:themeColor="text1"/>
              </w:rPr>
              <w:t>svítivost displeje</w:t>
            </w:r>
          </w:p>
        </w:tc>
        <w:tc>
          <w:tcPr>
            <w:tcW w:w="3639" w:type="dxa"/>
            <w:tcMar>
              <w:top w:w="15" w:type="dxa"/>
              <w:left w:w="15" w:type="dxa"/>
              <w:right w:w="15" w:type="dxa"/>
            </w:tcMar>
            <w:vAlign w:val="center"/>
          </w:tcPr>
          <w:p w14:paraId="75EC72C5"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 min. 2500 nits </w:t>
            </w:r>
          </w:p>
        </w:tc>
      </w:tr>
      <w:tr w:rsidR="00A6099D" w:rsidRPr="006758DF" w14:paraId="4B2582AD" w14:textId="77777777" w:rsidTr="00D6521B">
        <w:trPr>
          <w:trHeight w:val="315"/>
        </w:trPr>
        <w:tc>
          <w:tcPr>
            <w:tcW w:w="1507" w:type="dxa"/>
          </w:tcPr>
          <w:p w14:paraId="2945A815"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20</w:t>
            </w:r>
          </w:p>
        </w:tc>
        <w:tc>
          <w:tcPr>
            <w:tcW w:w="3638" w:type="dxa"/>
            <w:tcMar>
              <w:top w:w="15" w:type="dxa"/>
              <w:left w:w="15" w:type="dxa"/>
              <w:right w:w="15" w:type="dxa"/>
            </w:tcMar>
            <w:vAlign w:val="center"/>
          </w:tcPr>
          <w:p w14:paraId="704DE4B3" w14:textId="77777777" w:rsidR="00A6099D" w:rsidRPr="006758DF" w:rsidRDefault="00A6099D" w:rsidP="009D7DF9">
            <w:pPr>
              <w:rPr>
                <w:rFonts w:ascii="Arial" w:hAnsi="Arial" w:cs="Arial"/>
              </w:rPr>
            </w:pPr>
            <w:r w:rsidRPr="006758DF">
              <w:rPr>
                <w:rFonts w:ascii="Arial" w:eastAsia="Arial" w:hAnsi="Arial" w:cs="Arial"/>
                <w:color w:val="000000" w:themeColor="text1"/>
              </w:rPr>
              <w:t>poměr stran displeje</w:t>
            </w:r>
          </w:p>
        </w:tc>
        <w:tc>
          <w:tcPr>
            <w:tcW w:w="3639" w:type="dxa"/>
            <w:tcMar>
              <w:top w:w="15" w:type="dxa"/>
              <w:left w:w="15" w:type="dxa"/>
              <w:right w:w="15" w:type="dxa"/>
            </w:tcMar>
            <w:vAlign w:val="center"/>
          </w:tcPr>
          <w:p w14:paraId="774B9445" w14:textId="79AAC018" w:rsidR="00A6099D" w:rsidRPr="006758DF" w:rsidRDefault="00A6099D" w:rsidP="009D7DF9">
            <w:pPr>
              <w:jc w:val="center"/>
              <w:rPr>
                <w:rFonts w:ascii="Arial" w:hAnsi="Arial" w:cs="Arial"/>
              </w:rPr>
            </w:pPr>
            <w:r w:rsidRPr="006758DF">
              <w:rPr>
                <w:rFonts w:ascii="Arial" w:eastAsia="Arial" w:hAnsi="Arial" w:cs="Arial"/>
                <w:color w:val="000000" w:themeColor="text1"/>
              </w:rPr>
              <w:t>9:16 nebo 10:16</w:t>
            </w:r>
          </w:p>
        </w:tc>
      </w:tr>
      <w:tr w:rsidR="00A6099D" w:rsidRPr="006758DF" w14:paraId="0A9861CF" w14:textId="77777777" w:rsidTr="00D6521B">
        <w:trPr>
          <w:trHeight w:val="525"/>
        </w:trPr>
        <w:tc>
          <w:tcPr>
            <w:tcW w:w="1507" w:type="dxa"/>
          </w:tcPr>
          <w:p w14:paraId="7913081A" w14:textId="77777777" w:rsidR="00A6099D" w:rsidRPr="006758DF" w:rsidRDefault="00A6099D" w:rsidP="009D7DF9">
            <w:pPr>
              <w:jc w:val="center"/>
              <w:rPr>
                <w:rFonts w:ascii="Arial" w:eastAsia="Arial" w:hAnsi="Arial" w:cs="Arial"/>
              </w:rPr>
            </w:pPr>
            <w:r w:rsidRPr="006758DF">
              <w:rPr>
                <w:rFonts w:ascii="Arial" w:eastAsia="Arial" w:hAnsi="Arial" w:cs="Arial"/>
              </w:rPr>
              <w:t>21</w:t>
            </w:r>
          </w:p>
        </w:tc>
        <w:tc>
          <w:tcPr>
            <w:tcW w:w="3638" w:type="dxa"/>
            <w:tcMar>
              <w:top w:w="15" w:type="dxa"/>
              <w:left w:w="15" w:type="dxa"/>
              <w:right w:w="15" w:type="dxa"/>
            </w:tcMar>
            <w:vAlign w:val="center"/>
          </w:tcPr>
          <w:p w14:paraId="6A2AC4CE" w14:textId="77777777" w:rsidR="00A6099D" w:rsidRPr="006758DF" w:rsidRDefault="00A6099D" w:rsidP="009D7DF9">
            <w:pPr>
              <w:rPr>
                <w:rFonts w:ascii="Arial" w:hAnsi="Arial" w:cs="Arial"/>
              </w:rPr>
            </w:pPr>
            <w:r w:rsidRPr="006758DF">
              <w:rPr>
                <w:rFonts w:ascii="Arial" w:eastAsia="Arial" w:hAnsi="Arial" w:cs="Arial"/>
              </w:rPr>
              <w:t xml:space="preserve">světelný senzor upravující jas displeje vzhledem k počasí </w:t>
            </w:r>
          </w:p>
        </w:tc>
        <w:tc>
          <w:tcPr>
            <w:tcW w:w="3639" w:type="dxa"/>
            <w:tcMar>
              <w:top w:w="15" w:type="dxa"/>
              <w:left w:w="15" w:type="dxa"/>
              <w:right w:w="15" w:type="dxa"/>
            </w:tcMar>
            <w:vAlign w:val="center"/>
          </w:tcPr>
          <w:p w14:paraId="05CCFA51"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796DEAAC" w14:textId="77777777" w:rsidTr="00D6521B">
        <w:trPr>
          <w:trHeight w:val="525"/>
        </w:trPr>
        <w:tc>
          <w:tcPr>
            <w:tcW w:w="1507" w:type="dxa"/>
          </w:tcPr>
          <w:p w14:paraId="12ED07E3"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22</w:t>
            </w:r>
          </w:p>
        </w:tc>
        <w:tc>
          <w:tcPr>
            <w:tcW w:w="3638" w:type="dxa"/>
            <w:tcMar>
              <w:top w:w="15" w:type="dxa"/>
              <w:left w:w="15" w:type="dxa"/>
              <w:right w:w="15" w:type="dxa"/>
            </w:tcMar>
            <w:vAlign w:val="center"/>
          </w:tcPr>
          <w:p w14:paraId="2A544018"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dotyková technologie umožňující ovládání za každého počasí </w:t>
            </w:r>
          </w:p>
        </w:tc>
        <w:tc>
          <w:tcPr>
            <w:tcW w:w="3639" w:type="dxa"/>
            <w:tcMar>
              <w:top w:w="15" w:type="dxa"/>
              <w:left w:w="15" w:type="dxa"/>
              <w:right w:w="15" w:type="dxa"/>
            </w:tcMar>
            <w:vAlign w:val="center"/>
          </w:tcPr>
          <w:p w14:paraId="7D2BAE22"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4B81FCFC" w14:textId="77777777" w:rsidTr="00D6521B">
        <w:trPr>
          <w:trHeight w:val="315"/>
        </w:trPr>
        <w:tc>
          <w:tcPr>
            <w:tcW w:w="1507" w:type="dxa"/>
          </w:tcPr>
          <w:p w14:paraId="08D0D44E"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23</w:t>
            </w:r>
          </w:p>
        </w:tc>
        <w:tc>
          <w:tcPr>
            <w:tcW w:w="3638" w:type="dxa"/>
            <w:tcMar>
              <w:top w:w="15" w:type="dxa"/>
              <w:left w:w="15" w:type="dxa"/>
              <w:right w:w="15" w:type="dxa"/>
            </w:tcMar>
            <w:vAlign w:val="center"/>
          </w:tcPr>
          <w:p w14:paraId="4E6D65B7"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displej jednostranný s antiglare úpravou </w:t>
            </w:r>
          </w:p>
        </w:tc>
        <w:tc>
          <w:tcPr>
            <w:tcW w:w="3639" w:type="dxa"/>
            <w:tcMar>
              <w:top w:w="15" w:type="dxa"/>
              <w:left w:w="15" w:type="dxa"/>
              <w:right w:w="15" w:type="dxa"/>
            </w:tcMar>
            <w:vAlign w:val="center"/>
          </w:tcPr>
          <w:p w14:paraId="55E3EBDB"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2D976BE6" w14:textId="77777777" w:rsidTr="00D6521B">
        <w:trPr>
          <w:trHeight w:val="1035"/>
        </w:trPr>
        <w:tc>
          <w:tcPr>
            <w:tcW w:w="1507" w:type="dxa"/>
          </w:tcPr>
          <w:p w14:paraId="54D3312D"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24</w:t>
            </w:r>
          </w:p>
        </w:tc>
        <w:tc>
          <w:tcPr>
            <w:tcW w:w="3638" w:type="dxa"/>
            <w:tcMar>
              <w:top w:w="15" w:type="dxa"/>
              <w:left w:w="15" w:type="dxa"/>
              <w:right w:w="15" w:type="dxa"/>
            </w:tcMar>
            <w:vAlign w:val="center"/>
          </w:tcPr>
          <w:p w14:paraId="45127F30" w14:textId="77777777" w:rsidR="00A6099D" w:rsidRPr="006758DF" w:rsidRDefault="00A6099D" w:rsidP="009D7DF9">
            <w:pPr>
              <w:rPr>
                <w:rFonts w:ascii="Arial" w:hAnsi="Arial" w:cs="Arial"/>
              </w:rPr>
            </w:pPr>
            <w:r w:rsidRPr="006758DF">
              <w:rPr>
                <w:rFonts w:ascii="Arial" w:eastAsia="Arial" w:hAnsi="Arial" w:cs="Arial"/>
                <w:color w:val="000000" w:themeColor="text1"/>
              </w:rPr>
              <w:t xml:space="preserve">SW pro správu EÚD umožňující kromě zobrazení příslušných EÚD jednotlivých úřadů včetně příslušných záložek i napojení na webové stránky Objednatele a další vybrané webové stránky </w:t>
            </w:r>
          </w:p>
        </w:tc>
        <w:tc>
          <w:tcPr>
            <w:tcW w:w="3639" w:type="dxa"/>
            <w:tcMar>
              <w:top w:w="15" w:type="dxa"/>
              <w:left w:w="15" w:type="dxa"/>
              <w:right w:w="15" w:type="dxa"/>
            </w:tcMar>
            <w:vAlign w:val="center"/>
          </w:tcPr>
          <w:p w14:paraId="71A6273B"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67986375" w14:textId="77777777" w:rsidTr="00D6521B">
        <w:trPr>
          <w:trHeight w:val="1545"/>
        </w:trPr>
        <w:tc>
          <w:tcPr>
            <w:tcW w:w="1507" w:type="dxa"/>
          </w:tcPr>
          <w:p w14:paraId="251327EE"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25</w:t>
            </w:r>
          </w:p>
        </w:tc>
        <w:tc>
          <w:tcPr>
            <w:tcW w:w="3638" w:type="dxa"/>
            <w:tcMar>
              <w:top w:w="15" w:type="dxa"/>
              <w:left w:w="15" w:type="dxa"/>
              <w:right w:w="15" w:type="dxa"/>
            </w:tcMar>
            <w:vAlign w:val="center"/>
          </w:tcPr>
          <w:p w14:paraId="6AEF92FA" w14:textId="77777777" w:rsidR="00A6099D" w:rsidRPr="006758DF" w:rsidRDefault="00A6099D" w:rsidP="009D7DF9">
            <w:pPr>
              <w:rPr>
                <w:rFonts w:ascii="Arial" w:hAnsi="Arial" w:cs="Arial"/>
              </w:rPr>
            </w:pPr>
            <w:r w:rsidRPr="006758DF">
              <w:rPr>
                <w:rFonts w:ascii="Arial" w:eastAsia="Arial" w:hAnsi="Arial" w:cs="Arial"/>
                <w:color w:val="000000" w:themeColor="text1"/>
              </w:rPr>
              <w:t>prezentační SW musí volitelně umožnit ovládání pro osobu ZTP pohybující se pomocí invalidního vozíku - režim zobrazení v dolní části panelu</w:t>
            </w:r>
            <w:r w:rsidRPr="006758DF">
              <w:rPr>
                <w:rFonts w:ascii="Arial" w:hAnsi="Arial" w:cs="Arial"/>
              </w:rPr>
              <w:br/>
            </w:r>
            <w:r w:rsidRPr="006758DF">
              <w:rPr>
                <w:rFonts w:ascii="Arial" w:eastAsia="Arial" w:hAnsi="Arial" w:cs="Arial"/>
                <w:i/>
                <w:iCs/>
                <w:color w:val="000000" w:themeColor="text1"/>
              </w:rPr>
              <w:t xml:space="preserve">(ovládání musí splňovat všechny legislativní požadavky a normy) </w:t>
            </w:r>
          </w:p>
        </w:tc>
        <w:tc>
          <w:tcPr>
            <w:tcW w:w="3639" w:type="dxa"/>
            <w:tcMar>
              <w:top w:w="15" w:type="dxa"/>
              <w:left w:w="15" w:type="dxa"/>
              <w:right w:w="15" w:type="dxa"/>
            </w:tcMar>
            <w:vAlign w:val="center"/>
          </w:tcPr>
          <w:p w14:paraId="03E65F89" w14:textId="77777777" w:rsidR="00A6099D" w:rsidRPr="006758DF" w:rsidRDefault="00A6099D" w:rsidP="009D7DF9">
            <w:pPr>
              <w:jc w:val="center"/>
              <w:rPr>
                <w:rFonts w:ascii="Arial" w:hAnsi="Arial" w:cs="Arial"/>
              </w:rPr>
            </w:pPr>
            <w:r w:rsidRPr="006758DF">
              <w:rPr>
                <w:rFonts w:ascii="Arial" w:eastAsia="Arial" w:hAnsi="Arial" w:cs="Arial"/>
                <w:color w:val="000000" w:themeColor="text1"/>
              </w:rPr>
              <w:t xml:space="preserve">ano </w:t>
            </w:r>
          </w:p>
        </w:tc>
      </w:tr>
      <w:tr w:rsidR="00A6099D" w:rsidRPr="006758DF" w14:paraId="364AAC46" w14:textId="77777777" w:rsidTr="00D6521B">
        <w:trPr>
          <w:trHeight w:val="1545"/>
        </w:trPr>
        <w:tc>
          <w:tcPr>
            <w:tcW w:w="1507" w:type="dxa"/>
          </w:tcPr>
          <w:p w14:paraId="5C2C6614"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26</w:t>
            </w:r>
          </w:p>
        </w:tc>
        <w:tc>
          <w:tcPr>
            <w:tcW w:w="3638" w:type="dxa"/>
            <w:tcMar>
              <w:top w:w="15" w:type="dxa"/>
              <w:left w:w="15" w:type="dxa"/>
              <w:right w:w="15" w:type="dxa"/>
            </w:tcMar>
            <w:vAlign w:val="center"/>
          </w:tcPr>
          <w:p w14:paraId="2E5500A8" w14:textId="77777777" w:rsidR="00A6099D" w:rsidRPr="006758DF" w:rsidRDefault="00A6099D" w:rsidP="009D7DF9">
            <w:pPr>
              <w:rPr>
                <w:rFonts w:ascii="Arial" w:eastAsia="Arial" w:hAnsi="Arial" w:cs="Arial"/>
                <w:color w:val="000000" w:themeColor="text1"/>
              </w:rPr>
            </w:pPr>
            <w:r w:rsidRPr="006758DF">
              <w:rPr>
                <w:rFonts w:ascii="Arial" w:eastAsia="Arial" w:hAnsi="Arial" w:cs="Arial"/>
                <w:color w:val="000000" w:themeColor="text1"/>
              </w:rPr>
              <w:t>veškeré SW prvky EÚD musí být po dobu záruky (alespoň 60 měsíců) pravidelně aktualizovány pomocí SW záplat k zajištění dostatečné úrovně bezpečnosti</w:t>
            </w:r>
          </w:p>
        </w:tc>
        <w:tc>
          <w:tcPr>
            <w:tcW w:w="3639" w:type="dxa"/>
            <w:tcMar>
              <w:top w:w="15" w:type="dxa"/>
              <w:left w:w="15" w:type="dxa"/>
              <w:right w:w="15" w:type="dxa"/>
            </w:tcMar>
            <w:vAlign w:val="center"/>
          </w:tcPr>
          <w:p w14:paraId="0E06FC62" w14:textId="675E8349" w:rsidR="00A6099D" w:rsidRPr="006758DF" w:rsidRDefault="00347A16" w:rsidP="009D7DF9">
            <w:pPr>
              <w:jc w:val="center"/>
              <w:rPr>
                <w:rFonts w:ascii="Arial" w:eastAsia="Arial" w:hAnsi="Arial" w:cs="Arial"/>
                <w:color w:val="000000" w:themeColor="text1"/>
              </w:rPr>
            </w:pPr>
            <w:r w:rsidRPr="006758DF">
              <w:rPr>
                <w:rFonts w:ascii="Arial" w:eastAsia="Arial" w:hAnsi="Arial" w:cs="Arial"/>
                <w:color w:val="000000" w:themeColor="text1"/>
              </w:rPr>
              <w:t>A</w:t>
            </w:r>
            <w:r w:rsidR="00A6099D" w:rsidRPr="006758DF">
              <w:rPr>
                <w:rFonts w:ascii="Arial" w:eastAsia="Arial" w:hAnsi="Arial" w:cs="Arial"/>
                <w:color w:val="000000" w:themeColor="text1"/>
              </w:rPr>
              <w:t>no</w:t>
            </w:r>
          </w:p>
        </w:tc>
      </w:tr>
      <w:tr w:rsidR="00A6099D" w:rsidRPr="006758DF" w14:paraId="4595BD35" w14:textId="77777777" w:rsidTr="00D6521B">
        <w:trPr>
          <w:trHeight w:val="1702"/>
        </w:trPr>
        <w:tc>
          <w:tcPr>
            <w:tcW w:w="1507" w:type="dxa"/>
          </w:tcPr>
          <w:p w14:paraId="69BFB991" w14:textId="77777777" w:rsidR="00A6099D" w:rsidRPr="006758DF" w:rsidRDefault="00A6099D" w:rsidP="009D7DF9">
            <w:pPr>
              <w:jc w:val="center"/>
              <w:rPr>
                <w:rFonts w:ascii="Arial" w:eastAsia="Arial" w:hAnsi="Arial" w:cs="Arial"/>
                <w:color w:val="000000" w:themeColor="text1"/>
              </w:rPr>
            </w:pPr>
            <w:r w:rsidRPr="006758DF">
              <w:rPr>
                <w:rFonts w:ascii="Arial" w:eastAsia="Arial" w:hAnsi="Arial" w:cs="Arial"/>
                <w:color w:val="000000" w:themeColor="text1"/>
              </w:rPr>
              <w:t>27</w:t>
            </w:r>
          </w:p>
        </w:tc>
        <w:tc>
          <w:tcPr>
            <w:tcW w:w="3638" w:type="dxa"/>
            <w:shd w:val="clear" w:color="auto" w:fill="auto"/>
            <w:tcMar>
              <w:top w:w="15" w:type="dxa"/>
              <w:left w:w="15" w:type="dxa"/>
              <w:right w:w="15" w:type="dxa"/>
            </w:tcMar>
            <w:vAlign w:val="center"/>
          </w:tcPr>
          <w:p w14:paraId="7B3EDC18" w14:textId="77777777" w:rsidR="00A6099D" w:rsidRPr="006758DF" w:rsidRDefault="00A6099D" w:rsidP="009D7DF9">
            <w:pPr>
              <w:rPr>
                <w:rFonts w:ascii="Arial" w:eastAsia="Arial" w:hAnsi="Arial" w:cs="Arial"/>
                <w:color w:val="000000" w:themeColor="text1"/>
              </w:rPr>
            </w:pPr>
            <w:r w:rsidRPr="006758DF">
              <w:rPr>
                <w:rFonts w:ascii="Arial" w:eastAsia="Arial" w:hAnsi="Arial" w:cs="Arial"/>
                <w:color w:val="000000" w:themeColor="text1"/>
              </w:rPr>
              <w:t>SW pro správu EÚD umožňující na vyžádání výpis metadat (informace o vyvěšení a svěšení dokumentů na EÚD, informace o funkčnosti/nefunkčnosti EÚD)</w:t>
            </w:r>
          </w:p>
        </w:tc>
        <w:tc>
          <w:tcPr>
            <w:tcW w:w="3639" w:type="dxa"/>
            <w:tcMar>
              <w:top w:w="15" w:type="dxa"/>
              <w:left w:w="15" w:type="dxa"/>
              <w:right w:w="15" w:type="dxa"/>
            </w:tcMar>
            <w:vAlign w:val="center"/>
          </w:tcPr>
          <w:p w14:paraId="358E7E8E" w14:textId="5BE405B2" w:rsidR="00A6099D" w:rsidRPr="006758DF" w:rsidRDefault="00347A16" w:rsidP="009D7DF9">
            <w:pPr>
              <w:jc w:val="center"/>
              <w:rPr>
                <w:rFonts w:ascii="Arial" w:eastAsia="Arial" w:hAnsi="Arial" w:cs="Arial"/>
                <w:color w:val="000000" w:themeColor="text1"/>
              </w:rPr>
            </w:pPr>
            <w:r w:rsidRPr="006758DF">
              <w:rPr>
                <w:rFonts w:ascii="Arial" w:eastAsia="Arial" w:hAnsi="Arial" w:cs="Arial"/>
                <w:color w:val="000000" w:themeColor="text1"/>
              </w:rPr>
              <w:t>A</w:t>
            </w:r>
            <w:r w:rsidR="00A6099D" w:rsidRPr="006758DF">
              <w:rPr>
                <w:rFonts w:ascii="Arial" w:eastAsia="Arial" w:hAnsi="Arial" w:cs="Arial"/>
                <w:color w:val="000000" w:themeColor="text1"/>
              </w:rPr>
              <w:t>no</w:t>
            </w:r>
          </w:p>
        </w:tc>
      </w:tr>
    </w:tbl>
    <w:p w14:paraId="1C8866C2" w14:textId="77777777" w:rsidR="002A2929" w:rsidRPr="006758DF" w:rsidRDefault="002A2929" w:rsidP="002A2929">
      <w:pPr>
        <w:spacing w:line="360" w:lineRule="auto"/>
        <w:rPr>
          <w:rFonts w:ascii="Arial" w:hAnsi="Arial" w:cs="Arial"/>
          <w:b/>
        </w:rPr>
      </w:pPr>
    </w:p>
    <w:p w14:paraId="37DAE569" w14:textId="5B47407F" w:rsidR="002A2929" w:rsidRPr="006758DF" w:rsidRDefault="002A2929" w:rsidP="002A2929">
      <w:pPr>
        <w:spacing w:line="360" w:lineRule="auto"/>
        <w:rPr>
          <w:rFonts w:ascii="Arial" w:hAnsi="Arial" w:cs="Arial"/>
          <w:b/>
        </w:rPr>
      </w:pPr>
      <w:r w:rsidRPr="006758DF">
        <w:rPr>
          <w:rFonts w:ascii="Arial" w:hAnsi="Arial" w:cs="Arial"/>
          <w:b/>
        </w:rPr>
        <w:t>Požadavky na kompatibilitu s infrastrukturou Objednatele v případě jejího využití k</w:t>
      </w:r>
      <w:r w:rsidR="00D6521B" w:rsidRPr="006758DF">
        <w:rPr>
          <w:rFonts w:ascii="Arial" w:hAnsi="Arial" w:cs="Arial"/>
          <w:b/>
        </w:rPr>
        <w:t> </w:t>
      </w:r>
      <w:r w:rsidRPr="006758DF">
        <w:rPr>
          <w:rFonts w:ascii="Arial" w:hAnsi="Arial" w:cs="Arial"/>
          <w:b/>
        </w:rPr>
        <w:t>funkčnímu provozování EÚD:</w:t>
      </w:r>
    </w:p>
    <w:p w14:paraId="639FCB2D" w14:textId="77777777" w:rsidR="002A2929" w:rsidRPr="006758DF" w:rsidRDefault="002A2929" w:rsidP="00396DB2">
      <w:pPr>
        <w:pStyle w:val="Default"/>
        <w:spacing w:line="360" w:lineRule="auto"/>
        <w:jc w:val="both"/>
        <w:rPr>
          <w:rFonts w:asciiTheme="minorHAnsi" w:hAnsiTheme="minorHAnsi" w:cstheme="minorHAnsi"/>
          <w:color w:val="auto"/>
          <w:sz w:val="22"/>
          <w:szCs w:val="22"/>
        </w:rPr>
      </w:pPr>
      <w:r w:rsidRPr="006758DF">
        <w:rPr>
          <w:rFonts w:asciiTheme="minorHAnsi" w:hAnsiTheme="minorHAnsi" w:cstheme="minorHAnsi"/>
          <w:color w:val="auto"/>
          <w:sz w:val="22"/>
          <w:szCs w:val="22"/>
        </w:rPr>
        <w:t xml:space="preserve">Objednatel preferuje webovou SW obsluhu EÚD, která bude po celou dobu Smlouvy provozovatelná na aktuálních a aktualizovaných internetových prohlížečích MS Edge </w:t>
      </w:r>
      <w:r w:rsidRPr="006758DF">
        <w:rPr>
          <w:rFonts w:asciiTheme="minorHAnsi" w:hAnsiTheme="minorHAnsi" w:cstheme="minorHAnsi"/>
          <w:color w:val="auto"/>
          <w:sz w:val="22"/>
          <w:szCs w:val="22"/>
        </w:rPr>
        <w:lastRenderedPageBreak/>
        <w:t>(chromium) - 130 (Oficiální build) (64bitová verze) a vyšší a případně Mozilla Firefox 132 (64bitová verze) a vyšší.</w:t>
      </w:r>
    </w:p>
    <w:p w14:paraId="059AFE9D" w14:textId="44399772" w:rsidR="002A2929" w:rsidRPr="006758DF" w:rsidRDefault="002A2929" w:rsidP="00D6521B">
      <w:pPr>
        <w:pStyle w:val="Default"/>
        <w:spacing w:line="360" w:lineRule="auto"/>
        <w:jc w:val="both"/>
        <w:rPr>
          <w:rFonts w:asciiTheme="minorHAnsi" w:hAnsiTheme="minorHAnsi" w:cstheme="minorHAnsi"/>
          <w:color w:val="auto"/>
          <w:sz w:val="22"/>
          <w:szCs w:val="22"/>
        </w:rPr>
      </w:pPr>
      <w:r w:rsidRPr="006758DF">
        <w:rPr>
          <w:rFonts w:asciiTheme="minorHAnsi" w:hAnsiTheme="minorHAnsi" w:cstheme="minorHAnsi"/>
          <w:color w:val="auto"/>
          <w:sz w:val="22"/>
          <w:szCs w:val="22"/>
        </w:rPr>
        <w:t>Pokud aplikace pro obsluhu SW EÚD vyžaduje ze strany Objednatele instalaci na koncové zařízení uživatele, musí být aplikace kompatibilní s operačním systémem Windows 11 Pro, 64bitová CZ edice, verze 22H2 a novější. V případě, že v období provozování EÚD dojde k vydání novější verze operačního systému Windows (např. Windows 12), musí Dodavatel zajistit, případnou úpravou klientské části aplikace, kompatibilitu i s tímto operačním systémem.</w:t>
      </w:r>
    </w:p>
    <w:p w14:paraId="7073D4BE" w14:textId="77777777" w:rsidR="00D6521B" w:rsidRPr="006758DF" w:rsidRDefault="00D6521B" w:rsidP="00D6521B">
      <w:pPr>
        <w:pStyle w:val="Default"/>
        <w:spacing w:line="360" w:lineRule="auto"/>
        <w:jc w:val="both"/>
        <w:rPr>
          <w:rFonts w:asciiTheme="minorHAnsi" w:hAnsiTheme="minorHAnsi" w:cstheme="minorHAnsi"/>
          <w:color w:val="auto"/>
          <w:sz w:val="22"/>
          <w:szCs w:val="22"/>
        </w:rPr>
      </w:pPr>
    </w:p>
    <w:p w14:paraId="262689E1" w14:textId="59ACBA69" w:rsidR="002A2929" w:rsidRPr="006758DF" w:rsidRDefault="00F03802" w:rsidP="002A2929">
      <w:pPr>
        <w:spacing w:line="360" w:lineRule="auto"/>
        <w:rPr>
          <w:rFonts w:ascii="Arial" w:hAnsi="Arial" w:cs="Arial"/>
        </w:rPr>
      </w:pPr>
      <w:r w:rsidRPr="006758DF">
        <w:rPr>
          <w:rFonts w:ascii="Arial" w:hAnsi="Arial" w:cs="Arial"/>
        </w:rPr>
        <w:t>Požadavky na EÚD vztahující se k bezpečnosti</w:t>
      </w:r>
      <w:r w:rsidR="002A2929" w:rsidRPr="006758DF">
        <w:rPr>
          <w:rFonts w:ascii="Arial" w:hAnsi="Arial" w:cs="Arial"/>
        </w:rPr>
        <w:t xml:space="preserve">: </w:t>
      </w:r>
    </w:p>
    <w:p w14:paraId="2F844319" w14:textId="77777777" w:rsidR="002A2929" w:rsidRPr="006758DF" w:rsidRDefault="002A2929" w:rsidP="002A2929">
      <w:pPr>
        <w:pStyle w:val="Odstavecseseznamem"/>
        <w:numPr>
          <w:ilvl w:val="0"/>
          <w:numId w:val="23"/>
        </w:numPr>
        <w:suppressAutoHyphens/>
        <w:spacing w:after="0"/>
        <w:rPr>
          <w:rFonts w:ascii="Arial" w:hAnsi="Arial" w:cs="Arial"/>
        </w:rPr>
      </w:pPr>
      <w:r w:rsidRPr="006758DF">
        <w:rPr>
          <w:rFonts w:ascii="Arial" w:hAnsi="Arial" w:cs="Arial"/>
        </w:rPr>
        <w:t>Veškerá komunikace s EÚD, především pak vzdálená správa, musí probíhat pomocí zabezpečených protokolů, např. SSH, HTTPS apod.</w:t>
      </w:r>
    </w:p>
    <w:p w14:paraId="000EDF11" w14:textId="77777777" w:rsidR="002A2929" w:rsidRPr="006758DF" w:rsidRDefault="002A2929" w:rsidP="002A2929">
      <w:pPr>
        <w:pStyle w:val="Odstavecseseznamem"/>
        <w:numPr>
          <w:ilvl w:val="0"/>
          <w:numId w:val="23"/>
        </w:numPr>
        <w:suppressAutoHyphens/>
        <w:spacing w:after="0"/>
        <w:rPr>
          <w:rFonts w:ascii="Arial" w:hAnsi="Arial" w:cs="Arial"/>
        </w:rPr>
      </w:pPr>
      <w:r w:rsidRPr="006758DF">
        <w:rPr>
          <w:rFonts w:ascii="Arial" w:hAnsi="Arial" w:cs="Arial"/>
        </w:rPr>
        <w:t>Disponuje-li EÚD porty pro připojení vyměnitelných zařízení, např. flashdisk, externí USB disk, musí být tyto porty hardwarově zakázány. Je-li použití některého z portů nutné pro fungování EÚD, musí být u takového portu softwarově zamezeno jeho využití pro připojení vyměnitelného média v době, kdy není prováděna případná údržba s využitím takových portů. Při jejich povoleném využívání pak musí vždy dojít ke kontrole škodlivého kódu v momentě připojení takového vyměnitelná média z EÚD.</w:t>
      </w:r>
    </w:p>
    <w:p w14:paraId="55903F81" w14:textId="77777777" w:rsidR="002A2929" w:rsidRPr="006758DF" w:rsidRDefault="002A2929" w:rsidP="002A2929">
      <w:pPr>
        <w:pStyle w:val="Odstavecseseznamem"/>
        <w:numPr>
          <w:ilvl w:val="0"/>
          <w:numId w:val="23"/>
        </w:numPr>
        <w:suppressAutoHyphens/>
        <w:spacing w:after="0"/>
        <w:rPr>
          <w:rFonts w:ascii="Arial" w:hAnsi="Arial" w:cs="Arial"/>
        </w:rPr>
      </w:pPr>
      <w:r w:rsidRPr="006758DF">
        <w:rPr>
          <w:rFonts w:ascii="Arial" w:hAnsi="Arial" w:cs="Arial"/>
        </w:rPr>
        <w:t>Na zařízení musí být softwarově blokováno spouštění veškerého software, s výjimkou software nutného pro provoz EÚD.</w:t>
      </w:r>
    </w:p>
    <w:p w14:paraId="19E117C7" w14:textId="77777777" w:rsidR="002A2929" w:rsidRPr="006758DF" w:rsidRDefault="002A2929" w:rsidP="002A2929">
      <w:pPr>
        <w:pStyle w:val="Odstavecseseznamem"/>
        <w:numPr>
          <w:ilvl w:val="0"/>
          <w:numId w:val="23"/>
        </w:numPr>
        <w:suppressAutoHyphens/>
        <w:spacing w:after="0"/>
        <w:rPr>
          <w:rFonts w:ascii="Arial" w:hAnsi="Arial" w:cs="Arial"/>
        </w:rPr>
      </w:pPr>
      <w:r w:rsidRPr="006758DF">
        <w:rPr>
          <w:rFonts w:ascii="Arial" w:hAnsi="Arial" w:cs="Arial"/>
        </w:rPr>
        <w:t>EÚD musí zaznamenávat veškeré provozní a bezpečnostní události.</w:t>
      </w:r>
    </w:p>
    <w:p w14:paraId="588D0E86" w14:textId="77777777" w:rsidR="00F868F3" w:rsidRDefault="00F868F3"/>
    <w:sectPr w:rsidR="00F868F3" w:rsidSect="00970DF4">
      <w:headerReference w:type="default" r:id="rId9"/>
      <w:footerReference w:type="default" r:id="rId10"/>
      <w:pgSz w:w="11906" w:h="16838"/>
      <w:pgMar w:top="11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7403C" w14:textId="77777777" w:rsidR="00460377" w:rsidRDefault="00460377">
      <w:pPr>
        <w:spacing w:after="0"/>
      </w:pPr>
      <w:r>
        <w:separator/>
      </w:r>
    </w:p>
  </w:endnote>
  <w:endnote w:type="continuationSeparator" w:id="0">
    <w:p w14:paraId="17F9E48D" w14:textId="77777777" w:rsidR="00460377" w:rsidRDefault="004603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1835909"/>
      <w:docPartObj>
        <w:docPartGallery w:val="Page Numbers (Bottom of Page)"/>
        <w:docPartUnique/>
      </w:docPartObj>
    </w:sdtPr>
    <w:sdtEndPr>
      <w:rPr>
        <w:noProof/>
      </w:rPr>
    </w:sdtEndPr>
    <w:sdtContent>
      <w:p w14:paraId="13C8E981" w14:textId="05846698" w:rsidR="00BF4598" w:rsidRPr="00CD582F" w:rsidRDefault="00BF4598" w:rsidP="00BF4598">
        <w:pPr>
          <w:pStyle w:val="Zpat"/>
          <w:jc w:val="right"/>
          <w:rPr>
            <w:rFonts w:ascii="Arial" w:hAnsi="Arial" w:cs="Arial"/>
          </w:rPr>
        </w:pPr>
        <w:r w:rsidRPr="00CD582F">
          <w:rPr>
            <w:rFonts w:ascii="Arial" w:hAnsi="Arial" w:cs="Arial"/>
            <w:noProof/>
            <w:lang w:eastAsia="cs-CZ"/>
          </w:rPr>
          <mc:AlternateContent>
            <mc:Choice Requires="wps">
              <w:drawing>
                <wp:anchor distT="4294967295" distB="4294967295" distL="114300" distR="114300" simplePos="0" relativeHeight="251659264" behindDoc="0" locked="0" layoutInCell="1" allowOverlap="1" wp14:anchorId="17E1C414" wp14:editId="4B2BF3A1">
                  <wp:simplePos x="0" y="0"/>
                  <wp:positionH relativeFrom="column">
                    <wp:posOffset>0</wp:posOffset>
                  </wp:positionH>
                  <wp:positionV relativeFrom="paragraph">
                    <wp:posOffset>-636</wp:posOffset>
                  </wp:positionV>
                  <wp:extent cx="5778500" cy="0"/>
                  <wp:effectExtent l="0" t="0" r="12700" b="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85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7D0DF0" id="Přímá spojnic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" strokecolor="black [3200]" strokeweight=".25pt">
                  <v:stroke joinstyle="miter"/>
                  <o:lock v:ext="edit" shapetype="f"/>
                </v:line>
              </w:pict>
            </mc:Fallback>
          </mc:AlternateContent>
        </w:r>
        <w:r w:rsidRPr="00CD582F">
          <w:rPr>
            <w:rFonts w:ascii="Arial" w:hAnsi="Arial" w:cs="Arial"/>
          </w:rPr>
          <w:t xml:space="preserve">Strana </w:t>
        </w:r>
        <w:r w:rsidRPr="00CD582F">
          <w:rPr>
            <w:rStyle w:val="slostrnky"/>
            <w:rFonts w:ascii="Arial" w:hAnsi="Arial" w:cs="Arial"/>
          </w:rPr>
          <w:fldChar w:fldCharType="begin"/>
        </w:r>
        <w:r w:rsidRPr="00CD582F">
          <w:rPr>
            <w:rStyle w:val="slostrnky"/>
            <w:rFonts w:ascii="Arial" w:hAnsi="Arial" w:cs="Arial"/>
          </w:rPr>
          <w:instrText xml:space="preserve"> PAGE </w:instrText>
        </w:r>
        <w:r w:rsidRPr="00CD582F">
          <w:rPr>
            <w:rStyle w:val="slostrnky"/>
            <w:rFonts w:ascii="Arial" w:hAnsi="Arial" w:cs="Arial"/>
          </w:rPr>
          <w:fldChar w:fldCharType="separate"/>
        </w:r>
        <w:r w:rsidR="009537CB">
          <w:rPr>
            <w:rStyle w:val="slostrnky"/>
            <w:rFonts w:ascii="Arial" w:hAnsi="Arial" w:cs="Arial"/>
            <w:noProof/>
          </w:rPr>
          <w:t>11</w:t>
        </w:r>
        <w:r w:rsidRPr="00CD582F">
          <w:rPr>
            <w:rStyle w:val="slostrnky"/>
            <w:rFonts w:ascii="Arial" w:hAnsi="Arial" w:cs="Arial"/>
          </w:rPr>
          <w:fldChar w:fldCharType="end"/>
        </w:r>
        <w:r w:rsidRPr="00CD582F">
          <w:rPr>
            <w:rStyle w:val="slostrnky"/>
            <w:rFonts w:ascii="Arial" w:hAnsi="Arial" w:cs="Arial"/>
          </w:rPr>
          <w:t>/</w:t>
        </w:r>
        <w:r w:rsidRPr="00CD582F">
          <w:rPr>
            <w:rStyle w:val="slostrnky"/>
            <w:rFonts w:ascii="Arial" w:hAnsi="Arial" w:cs="Arial"/>
          </w:rPr>
          <w:fldChar w:fldCharType="begin"/>
        </w:r>
        <w:r w:rsidRPr="00CD582F">
          <w:rPr>
            <w:rStyle w:val="slostrnky"/>
            <w:rFonts w:ascii="Arial" w:hAnsi="Arial" w:cs="Arial"/>
          </w:rPr>
          <w:instrText xml:space="preserve"> NUMPAGES </w:instrText>
        </w:r>
        <w:r w:rsidRPr="00CD582F">
          <w:rPr>
            <w:rStyle w:val="slostrnky"/>
            <w:rFonts w:ascii="Arial" w:hAnsi="Arial" w:cs="Arial"/>
          </w:rPr>
          <w:fldChar w:fldCharType="separate"/>
        </w:r>
        <w:r w:rsidR="009537CB">
          <w:rPr>
            <w:rStyle w:val="slostrnky"/>
            <w:rFonts w:ascii="Arial" w:hAnsi="Arial" w:cs="Arial"/>
            <w:noProof/>
          </w:rPr>
          <w:t>11</w:t>
        </w:r>
        <w:r w:rsidRPr="00CD582F">
          <w:rPr>
            <w:rStyle w:val="slostrnky"/>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76939" w14:textId="77777777" w:rsidR="00460377" w:rsidRDefault="00460377">
      <w:pPr>
        <w:spacing w:after="0"/>
      </w:pPr>
      <w:r>
        <w:separator/>
      </w:r>
    </w:p>
  </w:footnote>
  <w:footnote w:type="continuationSeparator" w:id="0">
    <w:p w14:paraId="5AFC7BB1" w14:textId="77777777" w:rsidR="00460377" w:rsidRDefault="004603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1A42" w14:textId="3D1C0ABC" w:rsidR="000A3A62" w:rsidRDefault="000A3A62">
    <w:pPr>
      <w:pStyle w:val="Zhlav"/>
    </w:pPr>
    <w:r w:rsidRPr="00275F0D">
      <w:rPr>
        <w:sz w:val="18"/>
        <w:szCs w:val="18"/>
      </w:rPr>
      <w:tab/>
    </w:r>
    <w:r w:rsidRPr="00275F0D">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489"/>
    <w:multiLevelType w:val="hybridMultilevel"/>
    <w:tmpl w:val="7070F424"/>
    <w:lvl w:ilvl="0" w:tplc="B27E3D42">
      <w:start w:val="1"/>
      <w:numFmt w:val="lowerLetter"/>
      <w:pStyle w:val="selnsezna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43705"/>
    <w:multiLevelType w:val="hybridMultilevel"/>
    <w:tmpl w:val="7F78950A"/>
    <w:lvl w:ilvl="0" w:tplc="24BA5E4A">
      <w:start w:val="1"/>
      <w:numFmt w:val="lowerLetter"/>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C2196"/>
    <w:multiLevelType w:val="hybridMultilevel"/>
    <w:tmpl w:val="BF76A976"/>
    <w:lvl w:ilvl="0" w:tplc="C8921AC2">
      <w:start w:val="1"/>
      <w:numFmt w:val="lowerLetter"/>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06FA6"/>
    <w:multiLevelType w:val="hybridMultilevel"/>
    <w:tmpl w:val="1F9265D4"/>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C851D6"/>
    <w:multiLevelType w:val="hybridMultilevel"/>
    <w:tmpl w:val="C8061082"/>
    <w:lvl w:ilvl="0" w:tplc="AC26D9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831171"/>
    <w:multiLevelType w:val="hybridMultilevel"/>
    <w:tmpl w:val="B0D0CB8C"/>
    <w:lvl w:ilvl="0" w:tplc="53BE3546">
      <w:start w:val="1"/>
      <w:numFmt w:val="bullet"/>
      <w:pStyle w:val="bodovseznam"/>
      <w:lvlText w:val=""/>
      <w:lvlJc w:val="left"/>
      <w:pPr>
        <w:ind w:left="1080" w:hanging="360"/>
      </w:pPr>
      <w:rPr>
        <w:rFonts w:ascii="Wingdings" w:hAnsi="Wingdings" w:hint="default"/>
        <w:color w:val="2E74B5" w:themeColor="accent1" w:themeShade="BF"/>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414E8B"/>
    <w:multiLevelType w:val="hybridMultilevel"/>
    <w:tmpl w:val="D0C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A135B"/>
    <w:multiLevelType w:val="hybridMultilevel"/>
    <w:tmpl w:val="6BEA5EC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1FEF5C22"/>
    <w:multiLevelType w:val="hybridMultilevel"/>
    <w:tmpl w:val="9278A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404C42"/>
    <w:multiLevelType w:val="hybridMultilevel"/>
    <w:tmpl w:val="6CBCFACC"/>
    <w:lvl w:ilvl="0" w:tplc="067E62EA">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5D0F2C"/>
    <w:multiLevelType w:val="hybridMultilevel"/>
    <w:tmpl w:val="6028333A"/>
    <w:lvl w:ilvl="0" w:tplc="A8183B7C">
      <w:start w:val="1"/>
      <w:numFmt w:val="decimal"/>
      <w:pStyle w:val="123liststy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080F12"/>
    <w:multiLevelType w:val="hybridMultilevel"/>
    <w:tmpl w:val="A2F28C7C"/>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B82EC7"/>
    <w:multiLevelType w:val="hybridMultilevel"/>
    <w:tmpl w:val="6AF8325A"/>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C176E5D"/>
    <w:multiLevelType w:val="hybridMultilevel"/>
    <w:tmpl w:val="D5A8049E"/>
    <w:lvl w:ilvl="0" w:tplc="0DE69A22">
      <w:start w:val="1"/>
      <w:numFmt w:val="lowerLetter"/>
      <w:lvlText w:val="%1)"/>
      <w:lvlJc w:val="left"/>
      <w:pPr>
        <w:ind w:left="1080" w:hanging="360"/>
      </w:pPr>
      <w:rPr>
        <w:rFonts w:hint="default"/>
        <w:b/>
        <w:i w:val="0"/>
      </w:rPr>
    </w:lvl>
    <w:lvl w:ilvl="1" w:tplc="90EAD216">
      <w:start w:val="1"/>
      <w:numFmt w:val="decimal"/>
      <w:lvlText w:val="%2."/>
      <w:lvlJc w:val="left"/>
      <w:pPr>
        <w:ind w:left="2145" w:hanging="70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00A011F"/>
    <w:multiLevelType w:val="hybridMultilevel"/>
    <w:tmpl w:val="46266DAA"/>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1FF09BC"/>
    <w:multiLevelType w:val="hybridMultilevel"/>
    <w:tmpl w:val="631C90EC"/>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ED473EB"/>
    <w:multiLevelType w:val="multilevel"/>
    <w:tmpl w:val="AC98B9B2"/>
    <w:lvl w:ilvl="0">
      <w:start w:val="1"/>
      <w:numFmt w:val="upperRoman"/>
      <w:lvlText w:val="%1."/>
      <w:lvlJc w:val="right"/>
      <w:pPr>
        <w:ind w:left="360" w:hanging="360"/>
      </w:pPr>
      <w:rPr>
        <w:rFonts w:hint="default"/>
        <w:b/>
        <w:bCs w:val="0"/>
        <w:i w:val="0"/>
        <w:iCs w:val="0"/>
        <w:caps w:val="0"/>
        <w:smallCaps w:val="0"/>
        <w:strike w:val="0"/>
        <w:dstrike w:val="0"/>
        <w:noProof w:val="0"/>
        <w:vanish w:val="0"/>
        <w:color w:val="2E74B5" w:themeColor="accent1" w:themeShade="BF"/>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b w:val="0"/>
        <w:bCs w:val="0"/>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720" w:hanging="720"/>
      </w:pPr>
      <w:rPr>
        <w:rFonts w:hint="default"/>
        <w:b/>
        <w:bCs/>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cs="Times New Roman" w:hint="default"/>
        <w:b w:val="0"/>
        <w:bCs w:val="0"/>
        <w:i w:val="0"/>
        <w:iCs w:val="0"/>
        <w:caps w:val="0"/>
        <w:smallCaps w:val="0"/>
        <w:strike w:val="0"/>
        <w:dstrike w:val="0"/>
        <w:noProof w:val="0"/>
        <w:vanish w:val="0"/>
        <w:color w:val="2E74B5" w:themeColor="accent1" w:themeShade="BF"/>
        <w:spacing w:val="0"/>
        <w:kern w:val="0"/>
        <w:position w:val="0"/>
        <w:sz w:val="24"/>
        <w:szCs w:val="24"/>
        <w:u w:val="none"/>
        <w:effect w:val="none"/>
        <w:vertAlign w:val="baseline"/>
        <w:em w:val="none"/>
        <w:specVanish w:val="0"/>
      </w:rPr>
    </w:lvl>
    <w:lvl w:ilvl="4">
      <w:start w:val="1"/>
      <w:numFmt w:val="decimal"/>
      <w:lvlText w:val="%1.%2.%3.%4.%5"/>
      <w:lvlJc w:val="left"/>
      <w:pPr>
        <w:ind w:left="1434"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3E42854"/>
    <w:multiLevelType w:val="hybridMultilevel"/>
    <w:tmpl w:val="B3EA8FEA"/>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A194169"/>
    <w:multiLevelType w:val="hybridMultilevel"/>
    <w:tmpl w:val="54361B8A"/>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D585579"/>
    <w:multiLevelType w:val="hybridMultilevel"/>
    <w:tmpl w:val="7B36297A"/>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3C414B4"/>
    <w:multiLevelType w:val="hybridMultilevel"/>
    <w:tmpl w:val="FE4A2010"/>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C747FBE"/>
    <w:multiLevelType w:val="hybridMultilevel"/>
    <w:tmpl w:val="D6D41D60"/>
    <w:lvl w:ilvl="0" w:tplc="067E62EA">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28474E4"/>
    <w:multiLevelType w:val="hybridMultilevel"/>
    <w:tmpl w:val="AC92C706"/>
    <w:lvl w:ilvl="0" w:tplc="83E212AC">
      <w:start w:val="1"/>
      <w:numFmt w:val="lowerLetter"/>
      <w:pStyle w:val="abcliststyl"/>
      <w:lvlText w:val="%1)"/>
      <w:lvlJc w:val="left"/>
      <w:pPr>
        <w:ind w:left="-336" w:hanging="360"/>
      </w:pPr>
      <w:rPr>
        <w:rFonts w:hint="default"/>
        <w:b/>
        <w:i w:val="0"/>
      </w:rPr>
    </w:lvl>
    <w:lvl w:ilvl="1" w:tplc="04050019" w:tentative="1">
      <w:start w:val="1"/>
      <w:numFmt w:val="lowerLetter"/>
      <w:lvlText w:val="%2."/>
      <w:lvlJc w:val="left"/>
      <w:pPr>
        <w:ind w:left="387" w:hanging="360"/>
      </w:pPr>
    </w:lvl>
    <w:lvl w:ilvl="2" w:tplc="0405001B" w:tentative="1">
      <w:start w:val="1"/>
      <w:numFmt w:val="lowerRoman"/>
      <w:lvlText w:val="%3."/>
      <w:lvlJc w:val="right"/>
      <w:pPr>
        <w:ind w:left="1107" w:hanging="180"/>
      </w:pPr>
    </w:lvl>
    <w:lvl w:ilvl="3" w:tplc="0405000F" w:tentative="1">
      <w:start w:val="1"/>
      <w:numFmt w:val="decimal"/>
      <w:lvlText w:val="%4."/>
      <w:lvlJc w:val="left"/>
      <w:pPr>
        <w:ind w:left="1827" w:hanging="360"/>
      </w:pPr>
    </w:lvl>
    <w:lvl w:ilvl="4" w:tplc="04050019" w:tentative="1">
      <w:start w:val="1"/>
      <w:numFmt w:val="lowerLetter"/>
      <w:lvlText w:val="%5."/>
      <w:lvlJc w:val="left"/>
      <w:pPr>
        <w:ind w:left="2547" w:hanging="360"/>
      </w:pPr>
    </w:lvl>
    <w:lvl w:ilvl="5" w:tplc="0405001B" w:tentative="1">
      <w:start w:val="1"/>
      <w:numFmt w:val="lowerRoman"/>
      <w:lvlText w:val="%6."/>
      <w:lvlJc w:val="right"/>
      <w:pPr>
        <w:ind w:left="3267" w:hanging="180"/>
      </w:pPr>
    </w:lvl>
    <w:lvl w:ilvl="6" w:tplc="0405000F" w:tentative="1">
      <w:start w:val="1"/>
      <w:numFmt w:val="decimal"/>
      <w:lvlText w:val="%7."/>
      <w:lvlJc w:val="left"/>
      <w:pPr>
        <w:ind w:left="3987" w:hanging="360"/>
      </w:pPr>
    </w:lvl>
    <w:lvl w:ilvl="7" w:tplc="04050019" w:tentative="1">
      <w:start w:val="1"/>
      <w:numFmt w:val="lowerLetter"/>
      <w:lvlText w:val="%8."/>
      <w:lvlJc w:val="left"/>
      <w:pPr>
        <w:ind w:left="4707" w:hanging="360"/>
      </w:pPr>
    </w:lvl>
    <w:lvl w:ilvl="8" w:tplc="0405001B" w:tentative="1">
      <w:start w:val="1"/>
      <w:numFmt w:val="lowerRoman"/>
      <w:lvlText w:val="%9."/>
      <w:lvlJc w:val="right"/>
      <w:pPr>
        <w:ind w:left="5427" w:hanging="180"/>
      </w:pPr>
    </w:lvl>
  </w:abstractNum>
  <w:abstractNum w:abstractNumId="23" w15:restartNumberingAfterBreak="0">
    <w:nsid w:val="781758F8"/>
    <w:multiLevelType w:val="multilevel"/>
    <w:tmpl w:val="35BCDB84"/>
    <w:lvl w:ilvl="0">
      <w:start w:val="1"/>
      <w:numFmt w:val="upperRoman"/>
      <w:pStyle w:val="Nadpis1"/>
      <w:lvlText w:val="%1."/>
      <w:lvlJc w:val="right"/>
      <w:pPr>
        <w:ind w:left="5464" w:hanging="360"/>
      </w:pPr>
      <w:rPr>
        <w:rFonts w:hint="default"/>
        <w:b/>
        <w:bCs w:val="0"/>
        <w:i w:val="0"/>
        <w:iCs w:val="0"/>
        <w:caps w:val="0"/>
        <w:smallCaps w:val="0"/>
        <w:strike w:val="0"/>
        <w:dstrike w:val="0"/>
        <w:noProof w:val="0"/>
        <w:vanish w:val="0"/>
        <w:color w:val="2E74B5" w:themeColor="accent1" w:themeShade="BF"/>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5680" w:hanging="576"/>
      </w:pPr>
      <w:rPr>
        <w:b w:val="0"/>
        <w:bCs w:val="0"/>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5824" w:hanging="720"/>
      </w:pPr>
      <w:rPr>
        <w:rFonts w:hint="default"/>
        <w:b/>
        <w:bCs/>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ind w:left="5968" w:hanging="864"/>
      </w:pPr>
      <w:rPr>
        <w:rFonts w:cs="Times New Roman" w:hint="default"/>
        <w:b w:val="0"/>
        <w:bCs w:val="0"/>
        <w:i w:val="0"/>
        <w:iCs w:val="0"/>
        <w:caps w:val="0"/>
        <w:smallCaps w:val="0"/>
        <w:strike w:val="0"/>
        <w:dstrike w:val="0"/>
        <w:noProof w:val="0"/>
        <w:vanish w:val="0"/>
        <w:color w:val="2E74B5" w:themeColor="accent1" w:themeShade="BF"/>
        <w:spacing w:val="0"/>
        <w:kern w:val="0"/>
        <w:position w:val="0"/>
        <w:sz w:val="24"/>
        <w:szCs w:val="24"/>
        <w:u w:val="none"/>
        <w:effect w:val="none"/>
        <w:vertAlign w:val="baseline"/>
        <w:em w:val="none"/>
        <w:specVanish w:val="0"/>
      </w:rPr>
    </w:lvl>
    <w:lvl w:ilvl="4">
      <w:start w:val="1"/>
      <w:numFmt w:val="decimal"/>
      <w:pStyle w:val="Nadpis5"/>
      <w:lvlText w:val="%1.%2.%3.%4.%5"/>
      <w:lvlJc w:val="left"/>
      <w:pPr>
        <w:ind w:left="6538" w:hanging="1008"/>
      </w:pPr>
      <w:rPr>
        <w:rFonts w:hint="default"/>
      </w:rPr>
    </w:lvl>
    <w:lvl w:ilvl="5">
      <w:start w:val="1"/>
      <w:numFmt w:val="decimal"/>
      <w:pStyle w:val="Nadpis6"/>
      <w:lvlText w:val="%1.%2.%3.%4.%5.%6"/>
      <w:lvlJc w:val="left"/>
      <w:pPr>
        <w:ind w:left="6256" w:hanging="1152"/>
      </w:pPr>
      <w:rPr>
        <w:rFonts w:hint="default"/>
      </w:rPr>
    </w:lvl>
    <w:lvl w:ilvl="6">
      <w:start w:val="1"/>
      <w:numFmt w:val="decimal"/>
      <w:pStyle w:val="Nadpis7"/>
      <w:lvlText w:val="%1.%2.%3.%4.%5.%6.%7"/>
      <w:lvlJc w:val="left"/>
      <w:pPr>
        <w:ind w:left="6400" w:hanging="1296"/>
      </w:pPr>
      <w:rPr>
        <w:rFonts w:hint="default"/>
      </w:rPr>
    </w:lvl>
    <w:lvl w:ilvl="7">
      <w:start w:val="1"/>
      <w:numFmt w:val="decimal"/>
      <w:pStyle w:val="Nadpis8"/>
      <w:lvlText w:val="%1.%2.%3.%4.%5.%6.%7.%8"/>
      <w:lvlJc w:val="left"/>
      <w:pPr>
        <w:ind w:left="6544" w:hanging="1440"/>
      </w:pPr>
      <w:rPr>
        <w:rFonts w:hint="default"/>
      </w:rPr>
    </w:lvl>
    <w:lvl w:ilvl="8">
      <w:start w:val="1"/>
      <w:numFmt w:val="decimal"/>
      <w:pStyle w:val="Nadpis9"/>
      <w:lvlText w:val="%1.%2.%3.%4.%5.%6.%7.%8.%9"/>
      <w:lvlJc w:val="left"/>
      <w:pPr>
        <w:ind w:left="6688" w:hanging="1584"/>
      </w:pPr>
      <w:rPr>
        <w:rFonts w:hint="default"/>
      </w:rPr>
    </w:lvl>
  </w:abstractNum>
  <w:abstractNum w:abstractNumId="24" w15:restartNumberingAfterBreak="0">
    <w:nsid w:val="79296E26"/>
    <w:multiLevelType w:val="hybridMultilevel"/>
    <w:tmpl w:val="ED58E34A"/>
    <w:lvl w:ilvl="0" w:tplc="8EB0846E">
      <w:start w:val="1"/>
      <w:numFmt w:val="lowerLetter"/>
      <w:lvlText w:val="%1)"/>
      <w:lvlJc w:val="left"/>
      <w:pPr>
        <w:ind w:left="1068" w:hanging="360"/>
      </w:pPr>
      <w:rPr>
        <w:rFonts w:ascii="Arial" w:hAnsi="Arial" w:hint="default"/>
        <w:b/>
        <w:i w:val="0"/>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num w:numId="1">
    <w:abstractNumId w:val="23"/>
  </w:num>
  <w:num w:numId="2">
    <w:abstractNumId w:val="0"/>
  </w:num>
  <w:num w:numId="3">
    <w:abstractNumId w:val="5"/>
  </w:num>
  <w:num w:numId="4">
    <w:abstractNumId w:val="22"/>
  </w:num>
  <w:num w:numId="5">
    <w:abstractNumId w:val="10"/>
  </w:num>
  <w:num w:numId="6">
    <w:abstractNumId w:val="24"/>
  </w:num>
  <w:num w:numId="7">
    <w:abstractNumId w:val="13"/>
  </w:num>
  <w:num w:numId="8">
    <w:abstractNumId w:val="14"/>
  </w:num>
  <w:num w:numId="9">
    <w:abstractNumId w:val="12"/>
  </w:num>
  <w:num w:numId="10">
    <w:abstractNumId w:val="18"/>
  </w:num>
  <w:num w:numId="11">
    <w:abstractNumId w:val="19"/>
  </w:num>
  <w:num w:numId="12">
    <w:abstractNumId w:val="17"/>
  </w:num>
  <w:num w:numId="13">
    <w:abstractNumId w:val="20"/>
  </w:num>
  <w:num w:numId="14">
    <w:abstractNumId w:val="3"/>
  </w:num>
  <w:num w:numId="15">
    <w:abstractNumId w:val="15"/>
  </w:num>
  <w:num w:numId="16">
    <w:abstractNumId w:val="11"/>
  </w:num>
  <w:num w:numId="17">
    <w:abstractNumId w:val="21"/>
  </w:num>
  <w:num w:numId="18">
    <w:abstractNumId w:val="9"/>
  </w:num>
  <w:num w:numId="19">
    <w:abstractNumId w:val="2"/>
  </w:num>
  <w:num w:numId="20">
    <w:abstractNumId w:val="1"/>
  </w:num>
  <w:num w:numId="21">
    <w:abstractNumId w:val="16"/>
  </w:num>
  <w:num w:numId="22">
    <w:abstractNumId w:val="4"/>
  </w:num>
  <w:num w:numId="23">
    <w:abstractNumId w:val="6"/>
  </w:num>
  <w:num w:numId="24">
    <w:abstractNumId w:val="7"/>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08"/>
    <w:rsid w:val="000004CC"/>
    <w:rsid w:val="000023E8"/>
    <w:rsid w:val="00012F50"/>
    <w:rsid w:val="000216BF"/>
    <w:rsid w:val="00022607"/>
    <w:rsid w:val="00023DD4"/>
    <w:rsid w:val="0003784E"/>
    <w:rsid w:val="000564E9"/>
    <w:rsid w:val="00062D96"/>
    <w:rsid w:val="000646E1"/>
    <w:rsid w:val="00065B89"/>
    <w:rsid w:val="00076F2D"/>
    <w:rsid w:val="0008094D"/>
    <w:rsid w:val="00087B44"/>
    <w:rsid w:val="000943DA"/>
    <w:rsid w:val="0009509E"/>
    <w:rsid w:val="000962E1"/>
    <w:rsid w:val="000A0498"/>
    <w:rsid w:val="000A3A62"/>
    <w:rsid w:val="000A58CD"/>
    <w:rsid w:val="000B042A"/>
    <w:rsid w:val="000B7D1D"/>
    <w:rsid w:val="000C065F"/>
    <w:rsid w:val="000C3336"/>
    <w:rsid w:val="000C3806"/>
    <w:rsid w:val="000C71E2"/>
    <w:rsid w:val="000C7C22"/>
    <w:rsid w:val="000D62D1"/>
    <w:rsid w:val="000E03DC"/>
    <w:rsid w:val="000F36AF"/>
    <w:rsid w:val="00100DC6"/>
    <w:rsid w:val="001158E3"/>
    <w:rsid w:val="00130B38"/>
    <w:rsid w:val="0013230B"/>
    <w:rsid w:val="00142905"/>
    <w:rsid w:val="00153228"/>
    <w:rsid w:val="0016038B"/>
    <w:rsid w:val="00162D43"/>
    <w:rsid w:val="001674F4"/>
    <w:rsid w:val="001733CE"/>
    <w:rsid w:val="0017585D"/>
    <w:rsid w:val="00175C2A"/>
    <w:rsid w:val="001821D6"/>
    <w:rsid w:val="001859E4"/>
    <w:rsid w:val="00186AE3"/>
    <w:rsid w:val="00191A67"/>
    <w:rsid w:val="00195824"/>
    <w:rsid w:val="0019601A"/>
    <w:rsid w:val="001A227C"/>
    <w:rsid w:val="001A730B"/>
    <w:rsid w:val="001B1BDA"/>
    <w:rsid w:val="001B5373"/>
    <w:rsid w:val="001B64AA"/>
    <w:rsid w:val="001B6FE0"/>
    <w:rsid w:val="001C1855"/>
    <w:rsid w:val="001C5FB8"/>
    <w:rsid w:val="001D0049"/>
    <w:rsid w:val="001D22A3"/>
    <w:rsid w:val="001D468F"/>
    <w:rsid w:val="00211A6E"/>
    <w:rsid w:val="00212FD1"/>
    <w:rsid w:val="00215D98"/>
    <w:rsid w:val="002173FB"/>
    <w:rsid w:val="0022159A"/>
    <w:rsid w:val="00223784"/>
    <w:rsid w:val="002313E7"/>
    <w:rsid w:val="00231EA9"/>
    <w:rsid w:val="00241108"/>
    <w:rsid w:val="002439C8"/>
    <w:rsid w:val="00244A36"/>
    <w:rsid w:val="002470F4"/>
    <w:rsid w:val="00247783"/>
    <w:rsid w:val="00250418"/>
    <w:rsid w:val="002649EA"/>
    <w:rsid w:val="00267C0A"/>
    <w:rsid w:val="0027110B"/>
    <w:rsid w:val="00280764"/>
    <w:rsid w:val="002858FD"/>
    <w:rsid w:val="00294969"/>
    <w:rsid w:val="00294FE2"/>
    <w:rsid w:val="00297BAA"/>
    <w:rsid w:val="002A1A2C"/>
    <w:rsid w:val="002A2929"/>
    <w:rsid w:val="002A6970"/>
    <w:rsid w:val="002C2A20"/>
    <w:rsid w:val="002E0891"/>
    <w:rsid w:val="002E2A88"/>
    <w:rsid w:val="002E5F3B"/>
    <w:rsid w:val="002F1E23"/>
    <w:rsid w:val="002F2016"/>
    <w:rsid w:val="002F259A"/>
    <w:rsid w:val="00310B13"/>
    <w:rsid w:val="00327C23"/>
    <w:rsid w:val="00331AEE"/>
    <w:rsid w:val="003325E7"/>
    <w:rsid w:val="003361AC"/>
    <w:rsid w:val="00336949"/>
    <w:rsid w:val="0033771F"/>
    <w:rsid w:val="00347A16"/>
    <w:rsid w:val="00352296"/>
    <w:rsid w:val="00360A1B"/>
    <w:rsid w:val="00360BC8"/>
    <w:rsid w:val="00366961"/>
    <w:rsid w:val="00373C4B"/>
    <w:rsid w:val="00374CCD"/>
    <w:rsid w:val="00374E9D"/>
    <w:rsid w:val="00390818"/>
    <w:rsid w:val="0039207F"/>
    <w:rsid w:val="00396A4F"/>
    <w:rsid w:val="00396DB2"/>
    <w:rsid w:val="003A2633"/>
    <w:rsid w:val="003A3698"/>
    <w:rsid w:val="003B08EC"/>
    <w:rsid w:val="003B1605"/>
    <w:rsid w:val="003B5B37"/>
    <w:rsid w:val="003C593F"/>
    <w:rsid w:val="003C5F29"/>
    <w:rsid w:val="003C7D8B"/>
    <w:rsid w:val="003F0C9D"/>
    <w:rsid w:val="003F1820"/>
    <w:rsid w:val="003F4924"/>
    <w:rsid w:val="003F5907"/>
    <w:rsid w:val="00400502"/>
    <w:rsid w:val="00400827"/>
    <w:rsid w:val="00406B88"/>
    <w:rsid w:val="00412744"/>
    <w:rsid w:val="00414A17"/>
    <w:rsid w:val="004211C0"/>
    <w:rsid w:val="004228A4"/>
    <w:rsid w:val="00437FD4"/>
    <w:rsid w:val="0044164F"/>
    <w:rsid w:val="004418D8"/>
    <w:rsid w:val="00442B25"/>
    <w:rsid w:val="00442BEE"/>
    <w:rsid w:val="0044320C"/>
    <w:rsid w:val="00446246"/>
    <w:rsid w:val="00450A77"/>
    <w:rsid w:val="00454F10"/>
    <w:rsid w:val="00455F7B"/>
    <w:rsid w:val="00460377"/>
    <w:rsid w:val="00470146"/>
    <w:rsid w:val="00472480"/>
    <w:rsid w:val="00494AD7"/>
    <w:rsid w:val="004A70F3"/>
    <w:rsid w:val="004B4E0B"/>
    <w:rsid w:val="004B6215"/>
    <w:rsid w:val="004C22C9"/>
    <w:rsid w:val="004E483D"/>
    <w:rsid w:val="004F2AAA"/>
    <w:rsid w:val="005203CB"/>
    <w:rsid w:val="00523A68"/>
    <w:rsid w:val="005305FD"/>
    <w:rsid w:val="00542653"/>
    <w:rsid w:val="00543A38"/>
    <w:rsid w:val="005443E0"/>
    <w:rsid w:val="0056292A"/>
    <w:rsid w:val="00562AE1"/>
    <w:rsid w:val="00564CB5"/>
    <w:rsid w:val="00565EFF"/>
    <w:rsid w:val="00567472"/>
    <w:rsid w:val="005711A6"/>
    <w:rsid w:val="00572B78"/>
    <w:rsid w:val="00573F5A"/>
    <w:rsid w:val="00580F08"/>
    <w:rsid w:val="00582A1B"/>
    <w:rsid w:val="0058347F"/>
    <w:rsid w:val="00585741"/>
    <w:rsid w:val="00585786"/>
    <w:rsid w:val="00596289"/>
    <w:rsid w:val="005C0930"/>
    <w:rsid w:val="005C3009"/>
    <w:rsid w:val="005D3441"/>
    <w:rsid w:val="005E02FA"/>
    <w:rsid w:val="005E4D01"/>
    <w:rsid w:val="005E4FFC"/>
    <w:rsid w:val="005F1806"/>
    <w:rsid w:val="005F6881"/>
    <w:rsid w:val="006045ED"/>
    <w:rsid w:val="00610CFF"/>
    <w:rsid w:val="00611484"/>
    <w:rsid w:val="00613ED4"/>
    <w:rsid w:val="006158CE"/>
    <w:rsid w:val="00616F53"/>
    <w:rsid w:val="00624C15"/>
    <w:rsid w:val="00630014"/>
    <w:rsid w:val="00630D1D"/>
    <w:rsid w:val="0063540E"/>
    <w:rsid w:val="006371CB"/>
    <w:rsid w:val="00644DDF"/>
    <w:rsid w:val="00646ECE"/>
    <w:rsid w:val="00647816"/>
    <w:rsid w:val="00650973"/>
    <w:rsid w:val="00650DF9"/>
    <w:rsid w:val="0065500D"/>
    <w:rsid w:val="006758DF"/>
    <w:rsid w:val="00676F6D"/>
    <w:rsid w:val="00677AE5"/>
    <w:rsid w:val="00682DEF"/>
    <w:rsid w:val="0068711B"/>
    <w:rsid w:val="006876AB"/>
    <w:rsid w:val="00690E9B"/>
    <w:rsid w:val="00696EEC"/>
    <w:rsid w:val="006A2E34"/>
    <w:rsid w:val="006B2084"/>
    <w:rsid w:val="006B3994"/>
    <w:rsid w:val="006B52D6"/>
    <w:rsid w:val="006C7816"/>
    <w:rsid w:val="006D1102"/>
    <w:rsid w:val="006D73D8"/>
    <w:rsid w:val="006E47CC"/>
    <w:rsid w:val="006E66EA"/>
    <w:rsid w:val="006F4CD8"/>
    <w:rsid w:val="0070058F"/>
    <w:rsid w:val="00706938"/>
    <w:rsid w:val="00713D1E"/>
    <w:rsid w:val="00714F2E"/>
    <w:rsid w:val="00723C7F"/>
    <w:rsid w:val="00724022"/>
    <w:rsid w:val="00727ECE"/>
    <w:rsid w:val="0073744F"/>
    <w:rsid w:val="00737722"/>
    <w:rsid w:val="007378F7"/>
    <w:rsid w:val="00740DAF"/>
    <w:rsid w:val="00754268"/>
    <w:rsid w:val="00754717"/>
    <w:rsid w:val="00762A02"/>
    <w:rsid w:val="00765801"/>
    <w:rsid w:val="007678FD"/>
    <w:rsid w:val="00770261"/>
    <w:rsid w:val="00772B65"/>
    <w:rsid w:val="00772D60"/>
    <w:rsid w:val="00790A0F"/>
    <w:rsid w:val="00794D0E"/>
    <w:rsid w:val="00795D52"/>
    <w:rsid w:val="007B1464"/>
    <w:rsid w:val="007B244E"/>
    <w:rsid w:val="007B7227"/>
    <w:rsid w:val="007C00B6"/>
    <w:rsid w:val="007D6A2C"/>
    <w:rsid w:val="007D78E5"/>
    <w:rsid w:val="007F3008"/>
    <w:rsid w:val="0080656C"/>
    <w:rsid w:val="00807948"/>
    <w:rsid w:val="0081082E"/>
    <w:rsid w:val="00814EB1"/>
    <w:rsid w:val="00816FC5"/>
    <w:rsid w:val="00817B5D"/>
    <w:rsid w:val="008244F8"/>
    <w:rsid w:val="00832092"/>
    <w:rsid w:val="00834348"/>
    <w:rsid w:val="0084046F"/>
    <w:rsid w:val="00841966"/>
    <w:rsid w:val="00844A3E"/>
    <w:rsid w:val="00850D7E"/>
    <w:rsid w:val="00856598"/>
    <w:rsid w:val="0086169E"/>
    <w:rsid w:val="0086635F"/>
    <w:rsid w:val="00872CF3"/>
    <w:rsid w:val="00874283"/>
    <w:rsid w:val="00881AFB"/>
    <w:rsid w:val="00886CCE"/>
    <w:rsid w:val="00890B41"/>
    <w:rsid w:val="00894D2D"/>
    <w:rsid w:val="008D34AF"/>
    <w:rsid w:val="008D3D5E"/>
    <w:rsid w:val="008D5DCE"/>
    <w:rsid w:val="008D6615"/>
    <w:rsid w:val="008E17F8"/>
    <w:rsid w:val="008E382E"/>
    <w:rsid w:val="008F018F"/>
    <w:rsid w:val="008F17DE"/>
    <w:rsid w:val="008F31CC"/>
    <w:rsid w:val="0090029B"/>
    <w:rsid w:val="00903C18"/>
    <w:rsid w:val="0090496F"/>
    <w:rsid w:val="009236A1"/>
    <w:rsid w:val="00926C06"/>
    <w:rsid w:val="009326DF"/>
    <w:rsid w:val="0095059F"/>
    <w:rsid w:val="009537CB"/>
    <w:rsid w:val="009542EE"/>
    <w:rsid w:val="00970DF4"/>
    <w:rsid w:val="00971401"/>
    <w:rsid w:val="00973D73"/>
    <w:rsid w:val="00982A37"/>
    <w:rsid w:val="00983D46"/>
    <w:rsid w:val="0098602B"/>
    <w:rsid w:val="009874A1"/>
    <w:rsid w:val="00987CEE"/>
    <w:rsid w:val="009A00E4"/>
    <w:rsid w:val="009A5DC3"/>
    <w:rsid w:val="009C0B44"/>
    <w:rsid w:val="009C1ABF"/>
    <w:rsid w:val="009C1CF6"/>
    <w:rsid w:val="009C3B5D"/>
    <w:rsid w:val="009C442B"/>
    <w:rsid w:val="009D0151"/>
    <w:rsid w:val="009D1EC1"/>
    <w:rsid w:val="009D5B59"/>
    <w:rsid w:val="009E17E2"/>
    <w:rsid w:val="009E276F"/>
    <w:rsid w:val="009E65CE"/>
    <w:rsid w:val="009E7D05"/>
    <w:rsid w:val="009F15D8"/>
    <w:rsid w:val="009F2145"/>
    <w:rsid w:val="009F3022"/>
    <w:rsid w:val="009F5677"/>
    <w:rsid w:val="00A05C11"/>
    <w:rsid w:val="00A07352"/>
    <w:rsid w:val="00A0783E"/>
    <w:rsid w:val="00A07BC7"/>
    <w:rsid w:val="00A125E2"/>
    <w:rsid w:val="00A15F5E"/>
    <w:rsid w:val="00A2226A"/>
    <w:rsid w:val="00A23BB1"/>
    <w:rsid w:val="00A23F47"/>
    <w:rsid w:val="00A268FB"/>
    <w:rsid w:val="00A33580"/>
    <w:rsid w:val="00A36115"/>
    <w:rsid w:val="00A36446"/>
    <w:rsid w:val="00A44F06"/>
    <w:rsid w:val="00A466EC"/>
    <w:rsid w:val="00A46DC0"/>
    <w:rsid w:val="00A5130C"/>
    <w:rsid w:val="00A513FC"/>
    <w:rsid w:val="00A55F98"/>
    <w:rsid w:val="00A6099D"/>
    <w:rsid w:val="00A62E46"/>
    <w:rsid w:val="00A704C3"/>
    <w:rsid w:val="00A71F4D"/>
    <w:rsid w:val="00A74887"/>
    <w:rsid w:val="00A77016"/>
    <w:rsid w:val="00A832CA"/>
    <w:rsid w:val="00A852F9"/>
    <w:rsid w:val="00A94AC7"/>
    <w:rsid w:val="00A94EEC"/>
    <w:rsid w:val="00AA04E8"/>
    <w:rsid w:val="00AB20AB"/>
    <w:rsid w:val="00AB4F00"/>
    <w:rsid w:val="00AB6E25"/>
    <w:rsid w:val="00AC3689"/>
    <w:rsid w:val="00AC6D0F"/>
    <w:rsid w:val="00B05D51"/>
    <w:rsid w:val="00B06746"/>
    <w:rsid w:val="00B06DFB"/>
    <w:rsid w:val="00B07BB9"/>
    <w:rsid w:val="00B25E4B"/>
    <w:rsid w:val="00B41F54"/>
    <w:rsid w:val="00B46AA0"/>
    <w:rsid w:val="00B50DF6"/>
    <w:rsid w:val="00B51584"/>
    <w:rsid w:val="00B52BB0"/>
    <w:rsid w:val="00B53943"/>
    <w:rsid w:val="00B6598C"/>
    <w:rsid w:val="00B7343A"/>
    <w:rsid w:val="00B73672"/>
    <w:rsid w:val="00B7383D"/>
    <w:rsid w:val="00B7464C"/>
    <w:rsid w:val="00B74E29"/>
    <w:rsid w:val="00B84185"/>
    <w:rsid w:val="00B85359"/>
    <w:rsid w:val="00B856C9"/>
    <w:rsid w:val="00B865B5"/>
    <w:rsid w:val="00B93935"/>
    <w:rsid w:val="00BB1F8E"/>
    <w:rsid w:val="00BB3EB2"/>
    <w:rsid w:val="00BB5169"/>
    <w:rsid w:val="00BB5585"/>
    <w:rsid w:val="00BB5D55"/>
    <w:rsid w:val="00BC1075"/>
    <w:rsid w:val="00BC2404"/>
    <w:rsid w:val="00BD6609"/>
    <w:rsid w:val="00BD7BE0"/>
    <w:rsid w:val="00BD7E3B"/>
    <w:rsid w:val="00BE044C"/>
    <w:rsid w:val="00BE160C"/>
    <w:rsid w:val="00BE5AAD"/>
    <w:rsid w:val="00BE5D18"/>
    <w:rsid w:val="00BF4598"/>
    <w:rsid w:val="00BF5BC1"/>
    <w:rsid w:val="00BF6E05"/>
    <w:rsid w:val="00C0483D"/>
    <w:rsid w:val="00C1070B"/>
    <w:rsid w:val="00C152B9"/>
    <w:rsid w:val="00C226EA"/>
    <w:rsid w:val="00C256FF"/>
    <w:rsid w:val="00C37F15"/>
    <w:rsid w:val="00C46FCF"/>
    <w:rsid w:val="00C568AB"/>
    <w:rsid w:val="00C629A9"/>
    <w:rsid w:val="00C629BF"/>
    <w:rsid w:val="00C66C64"/>
    <w:rsid w:val="00C74658"/>
    <w:rsid w:val="00C76656"/>
    <w:rsid w:val="00C87048"/>
    <w:rsid w:val="00C94B0D"/>
    <w:rsid w:val="00CA25DD"/>
    <w:rsid w:val="00CA3186"/>
    <w:rsid w:val="00CA4756"/>
    <w:rsid w:val="00CA6E45"/>
    <w:rsid w:val="00CA7B3F"/>
    <w:rsid w:val="00CA7D84"/>
    <w:rsid w:val="00CB0993"/>
    <w:rsid w:val="00CB1D1A"/>
    <w:rsid w:val="00CB7AFC"/>
    <w:rsid w:val="00CC3257"/>
    <w:rsid w:val="00CD3DB6"/>
    <w:rsid w:val="00CF1D16"/>
    <w:rsid w:val="00CF44F3"/>
    <w:rsid w:val="00CF537C"/>
    <w:rsid w:val="00CF5989"/>
    <w:rsid w:val="00CF7F8B"/>
    <w:rsid w:val="00D067CC"/>
    <w:rsid w:val="00D12F7F"/>
    <w:rsid w:val="00D14B6C"/>
    <w:rsid w:val="00D24773"/>
    <w:rsid w:val="00D27835"/>
    <w:rsid w:val="00D33786"/>
    <w:rsid w:val="00D343F2"/>
    <w:rsid w:val="00D41DD1"/>
    <w:rsid w:val="00D52F5E"/>
    <w:rsid w:val="00D6521B"/>
    <w:rsid w:val="00D676C8"/>
    <w:rsid w:val="00D71072"/>
    <w:rsid w:val="00D72C3B"/>
    <w:rsid w:val="00D82FD3"/>
    <w:rsid w:val="00D859B6"/>
    <w:rsid w:val="00D8685F"/>
    <w:rsid w:val="00D87AFA"/>
    <w:rsid w:val="00D90505"/>
    <w:rsid w:val="00DA2CD8"/>
    <w:rsid w:val="00DA48FF"/>
    <w:rsid w:val="00DA7018"/>
    <w:rsid w:val="00DC0F14"/>
    <w:rsid w:val="00DC2CE4"/>
    <w:rsid w:val="00DC4B90"/>
    <w:rsid w:val="00DC4D16"/>
    <w:rsid w:val="00DC57F0"/>
    <w:rsid w:val="00DC67C5"/>
    <w:rsid w:val="00DE569A"/>
    <w:rsid w:val="00DE620A"/>
    <w:rsid w:val="00E0065A"/>
    <w:rsid w:val="00E01ED3"/>
    <w:rsid w:val="00E03885"/>
    <w:rsid w:val="00E03FAC"/>
    <w:rsid w:val="00E10C64"/>
    <w:rsid w:val="00E15CC7"/>
    <w:rsid w:val="00E21CD0"/>
    <w:rsid w:val="00E31CBA"/>
    <w:rsid w:val="00E33E5D"/>
    <w:rsid w:val="00E3724F"/>
    <w:rsid w:val="00E40B9D"/>
    <w:rsid w:val="00E41F51"/>
    <w:rsid w:val="00E47F51"/>
    <w:rsid w:val="00E558C1"/>
    <w:rsid w:val="00E60346"/>
    <w:rsid w:val="00E722A6"/>
    <w:rsid w:val="00E7650B"/>
    <w:rsid w:val="00E81061"/>
    <w:rsid w:val="00E863C5"/>
    <w:rsid w:val="00E91E0F"/>
    <w:rsid w:val="00E96273"/>
    <w:rsid w:val="00EA6181"/>
    <w:rsid w:val="00EB274A"/>
    <w:rsid w:val="00EB38B9"/>
    <w:rsid w:val="00EB798B"/>
    <w:rsid w:val="00EC23F7"/>
    <w:rsid w:val="00EC394A"/>
    <w:rsid w:val="00EC7B2C"/>
    <w:rsid w:val="00F03802"/>
    <w:rsid w:val="00F03B9A"/>
    <w:rsid w:val="00F05F6E"/>
    <w:rsid w:val="00F10BB3"/>
    <w:rsid w:val="00F12A4D"/>
    <w:rsid w:val="00F14523"/>
    <w:rsid w:val="00F21370"/>
    <w:rsid w:val="00F2216D"/>
    <w:rsid w:val="00F2306A"/>
    <w:rsid w:val="00F267EF"/>
    <w:rsid w:val="00F27E48"/>
    <w:rsid w:val="00F300E2"/>
    <w:rsid w:val="00F30CE1"/>
    <w:rsid w:val="00F31563"/>
    <w:rsid w:val="00F418BB"/>
    <w:rsid w:val="00F50BC9"/>
    <w:rsid w:val="00F5144C"/>
    <w:rsid w:val="00F54E90"/>
    <w:rsid w:val="00F57907"/>
    <w:rsid w:val="00F57970"/>
    <w:rsid w:val="00F60852"/>
    <w:rsid w:val="00F64CC1"/>
    <w:rsid w:val="00F76467"/>
    <w:rsid w:val="00F81BCC"/>
    <w:rsid w:val="00F83CF7"/>
    <w:rsid w:val="00F868F3"/>
    <w:rsid w:val="00F93644"/>
    <w:rsid w:val="00F94C23"/>
    <w:rsid w:val="00FA4862"/>
    <w:rsid w:val="00FC0179"/>
    <w:rsid w:val="00FC01B9"/>
    <w:rsid w:val="00FC4F3F"/>
    <w:rsid w:val="00FD3987"/>
    <w:rsid w:val="00FD3D6E"/>
    <w:rsid w:val="00FE4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7770E"/>
  <w15:chartTrackingRefBased/>
  <w15:docId w15:val="{EEB94DA7-C0A2-4285-8E29-5B84A85B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6FE0"/>
    <w:pPr>
      <w:spacing w:after="120" w:line="240" w:lineRule="auto"/>
      <w:jc w:val="both"/>
    </w:pPr>
  </w:style>
  <w:style w:type="paragraph" w:styleId="Nadpis1">
    <w:name w:val="heading 1"/>
    <w:basedOn w:val="Normln"/>
    <w:next w:val="Normln"/>
    <w:link w:val="Nadpis1Char"/>
    <w:qFormat/>
    <w:rsid w:val="009D1EC1"/>
    <w:pPr>
      <w:keepNext/>
      <w:keepLines/>
      <w:numPr>
        <w:numId w:val="1"/>
      </w:numPr>
      <w:spacing w:before="240" w:line="276" w:lineRule="auto"/>
      <w:ind w:left="170" w:hanging="170"/>
      <w:jc w:val="center"/>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84046F"/>
    <w:pPr>
      <w:keepNext/>
      <w:keepLines/>
      <w:numPr>
        <w:ilvl w:val="1"/>
        <w:numId w:val="1"/>
      </w:numPr>
      <w:spacing w:before="240" w:line="276" w:lineRule="auto"/>
      <w:outlineLvl w:val="1"/>
    </w:pPr>
    <w:rPr>
      <w:rFonts w:asciiTheme="majorHAnsi" w:eastAsiaTheme="majorEastAsia" w:hAnsiTheme="majorHAnsi" w:cs="Calibri"/>
      <w:b/>
      <w:color w:val="2E74B5" w:themeColor="accent1" w:themeShade="BF"/>
      <w:sz w:val="26"/>
      <w:szCs w:val="26"/>
    </w:rPr>
  </w:style>
  <w:style w:type="paragraph" w:styleId="Nadpis3">
    <w:name w:val="heading 3"/>
    <w:basedOn w:val="Normln"/>
    <w:next w:val="Normln"/>
    <w:link w:val="Nadpis3Char"/>
    <w:unhideWhenUsed/>
    <w:qFormat/>
    <w:rsid w:val="00565EFF"/>
    <w:pPr>
      <w:keepNext/>
      <w:keepLines/>
      <w:numPr>
        <w:ilvl w:val="2"/>
        <w:numId w:val="1"/>
      </w:numPr>
      <w:spacing w:before="240" w:after="40" w:line="276" w:lineRule="auto"/>
      <w:outlineLvl w:val="2"/>
    </w:pPr>
    <w:rPr>
      <w:rFonts w:asciiTheme="majorHAnsi" w:eastAsiaTheme="majorEastAsia" w:hAnsiTheme="majorHAnsi" w:cstheme="majorBidi"/>
      <w:b/>
      <w:color w:val="2E74B5" w:themeColor="accent1" w:themeShade="BF"/>
      <w:sz w:val="24"/>
      <w:szCs w:val="24"/>
    </w:rPr>
  </w:style>
  <w:style w:type="paragraph" w:styleId="Nadpis4">
    <w:name w:val="heading 4"/>
    <w:basedOn w:val="Normln"/>
    <w:next w:val="Normln"/>
    <w:link w:val="Nadpis4Char"/>
    <w:unhideWhenUsed/>
    <w:rsid w:val="00565EFF"/>
    <w:pPr>
      <w:keepNext/>
      <w:keepLines/>
      <w:numPr>
        <w:ilvl w:val="3"/>
        <w:numId w:val="1"/>
      </w:numPr>
      <w:spacing w:before="120" w:after="0" w:line="276" w:lineRule="auto"/>
      <w:outlineLvl w:val="3"/>
    </w:pPr>
    <w:rPr>
      <w:rFonts w:asciiTheme="majorHAnsi" w:eastAsiaTheme="majorEastAsia" w:hAnsiTheme="majorHAnsi" w:cstheme="majorBidi"/>
      <w:b/>
      <w:iCs/>
      <w:color w:val="2E74B5" w:themeColor="accent1" w:themeShade="BF"/>
    </w:rPr>
  </w:style>
  <w:style w:type="paragraph" w:styleId="Nadpis5">
    <w:name w:val="heading 5"/>
    <w:basedOn w:val="Normln"/>
    <w:next w:val="Normln"/>
    <w:link w:val="Nadpis5Char"/>
    <w:unhideWhenUsed/>
    <w:rsid w:val="00565EFF"/>
    <w:pPr>
      <w:keepNext/>
      <w:keepLines/>
      <w:numPr>
        <w:ilvl w:val="4"/>
        <w:numId w:val="1"/>
      </w:numPr>
      <w:spacing w:before="80" w:after="0" w:line="276" w:lineRule="auto"/>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rsid w:val="00565EF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rsid w:val="00565EF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rsid w:val="00565EF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rsid w:val="00565EF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1EC1"/>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84046F"/>
    <w:rPr>
      <w:rFonts w:asciiTheme="majorHAnsi" w:eastAsiaTheme="majorEastAsia" w:hAnsiTheme="majorHAnsi" w:cs="Calibri"/>
      <w:b/>
      <w:color w:val="2E74B5" w:themeColor="accent1" w:themeShade="BF"/>
      <w:sz w:val="26"/>
      <w:szCs w:val="26"/>
    </w:rPr>
  </w:style>
  <w:style w:type="character" w:customStyle="1" w:styleId="Nadpis3Char">
    <w:name w:val="Nadpis 3 Char"/>
    <w:basedOn w:val="Standardnpsmoodstavce"/>
    <w:link w:val="Nadpis3"/>
    <w:rsid w:val="00565EFF"/>
    <w:rPr>
      <w:rFonts w:asciiTheme="majorHAnsi" w:eastAsiaTheme="majorEastAsia" w:hAnsiTheme="majorHAnsi" w:cstheme="majorBidi"/>
      <w:b/>
      <w:color w:val="2E74B5" w:themeColor="accent1" w:themeShade="BF"/>
      <w:sz w:val="24"/>
      <w:szCs w:val="24"/>
    </w:rPr>
  </w:style>
  <w:style w:type="character" w:customStyle="1" w:styleId="Nadpis4Char">
    <w:name w:val="Nadpis 4 Char"/>
    <w:basedOn w:val="Standardnpsmoodstavce"/>
    <w:link w:val="Nadpis4"/>
    <w:rsid w:val="00565EFF"/>
    <w:rPr>
      <w:rFonts w:asciiTheme="majorHAnsi" w:eastAsiaTheme="majorEastAsia" w:hAnsiTheme="majorHAnsi" w:cstheme="majorBidi"/>
      <w:b/>
      <w:iCs/>
      <w:color w:val="2E74B5" w:themeColor="accent1" w:themeShade="BF"/>
    </w:rPr>
  </w:style>
  <w:style w:type="character" w:customStyle="1" w:styleId="Nadpis5Char">
    <w:name w:val="Nadpis 5 Char"/>
    <w:basedOn w:val="Standardnpsmoodstavce"/>
    <w:link w:val="Nadpis5"/>
    <w:rsid w:val="00565EF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rsid w:val="00565EF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rsid w:val="00565EF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rsid w:val="00565E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565EFF"/>
    <w:rPr>
      <w:rFonts w:asciiTheme="majorHAnsi" w:eastAsiaTheme="majorEastAsia" w:hAnsiTheme="majorHAnsi" w:cstheme="majorBidi"/>
      <w:i/>
      <w:iCs/>
      <w:color w:val="272727" w:themeColor="text1" w:themeTint="D8"/>
      <w:sz w:val="21"/>
      <w:szCs w:val="21"/>
    </w:rPr>
  </w:style>
  <w:style w:type="paragraph" w:styleId="Obsah1">
    <w:name w:val="toc 1"/>
    <w:basedOn w:val="Normln"/>
    <w:next w:val="Normln"/>
    <w:autoRedefine/>
    <w:uiPriority w:val="39"/>
    <w:unhideWhenUsed/>
    <w:rsid w:val="00565EFF"/>
    <w:pPr>
      <w:spacing w:after="100" w:line="276" w:lineRule="auto"/>
    </w:pPr>
  </w:style>
  <w:style w:type="character" w:styleId="Hypertextovodkaz">
    <w:name w:val="Hyperlink"/>
    <w:basedOn w:val="Standardnpsmoodstavce"/>
    <w:uiPriority w:val="99"/>
    <w:unhideWhenUsed/>
    <w:rsid w:val="00565EFF"/>
    <w:rPr>
      <w:color w:val="0563C1" w:themeColor="hyperlink"/>
      <w:u w:val="single"/>
    </w:rPr>
  </w:style>
  <w:style w:type="paragraph" w:styleId="Zpat">
    <w:name w:val="footer"/>
    <w:basedOn w:val="Normln"/>
    <w:link w:val="ZpatChar"/>
    <w:unhideWhenUsed/>
    <w:rsid w:val="00565EFF"/>
    <w:pPr>
      <w:tabs>
        <w:tab w:val="center" w:pos="4536"/>
        <w:tab w:val="right" w:pos="9072"/>
      </w:tabs>
      <w:spacing w:after="0" w:line="276" w:lineRule="auto"/>
    </w:pPr>
  </w:style>
  <w:style w:type="character" w:customStyle="1" w:styleId="ZpatChar">
    <w:name w:val="Zápatí Char"/>
    <w:basedOn w:val="Standardnpsmoodstavce"/>
    <w:link w:val="Zpat"/>
    <w:rsid w:val="00565EFF"/>
  </w:style>
  <w:style w:type="character" w:styleId="slostrnky">
    <w:name w:val="page number"/>
    <w:basedOn w:val="Standardnpsmoodstavce"/>
    <w:rsid w:val="00565EFF"/>
  </w:style>
  <w:style w:type="paragraph" w:styleId="Odstavecseseznamem">
    <w:name w:val="List Paragraph"/>
    <w:aliases w:val="List Paragraph (Czech Tourism),Odstavec_muj,Nad,List Paragraph,Odstavec cíl se seznamem,Odstavec se seznamem5,Odrážky,NAKIT List Paragraph,Odstavec se seznamem a odrážkou,1 úroveň Odstavec se seznamem,_Odstavec se seznamem,Tučné,lp1"/>
    <w:basedOn w:val="Normln"/>
    <w:link w:val="OdstavecseseznamemChar"/>
    <w:uiPriority w:val="34"/>
    <w:qFormat/>
    <w:rsid w:val="00565EFF"/>
    <w:pPr>
      <w:spacing w:line="276" w:lineRule="auto"/>
      <w:ind w:left="720"/>
      <w:contextualSpacing/>
    </w:pPr>
  </w:style>
  <w:style w:type="character" w:customStyle="1" w:styleId="OdstavecseseznamemChar">
    <w:name w:val="Odstavec se seznamem Char"/>
    <w:aliases w:val="List Paragraph (Czech Tourism) Char,Odstavec_muj Char,Nad Char,List Paragraph Char,Odstavec cíl se seznamem Char,Odstavec se seznamem5 Char,Odrážky Char,NAKIT List Paragraph Char,Odstavec se seznamem a odrážkou Char,Tučné Char"/>
    <w:basedOn w:val="Standardnpsmoodstavce"/>
    <w:link w:val="Odstavecseseznamem"/>
    <w:uiPriority w:val="34"/>
    <w:qFormat/>
    <w:rsid w:val="00565EFF"/>
  </w:style>
  <w:style w:type="paragraph" w:styleId="Obsah2">
    <w:name w:val="toc 2"/>
    <w:basedOn w:val="Normln"/>
    <w:next w:val="Normln"/>
    <w:autoRedefine/>
    <w:uiPriority w:val="39"/>
    <w:unhideWhenUsed/>
    <w:rsid w:val="00565EFF"/>
    <w:pPr>
      <w:tabs>
        <w:tab w:val="left" w:pos="800"/>
        <w:tab w:val="right" w:leader="dot" w:pos="9062"/>
      </w:tabs>
      <w:spacing w:after="100" w:line="276" w:lineRule="auto"/>
      <w:ind w:left="220"/>
    </w:pPr>
  </w:style>
  <w:style w:type="paragraph" w:customStyle="1" w:styleId="Default">
    <w:name w:val="Default"/>
    <w:rsid w:val="00565EFF"/>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semiHidden/>
    <w:rsid w:val="00565EFF"/>
    <w:pPr>
      <w:spacing w:after="40"/>
    </w:pPr>
    <w:rPr>
      <w:rFonts w:ascii="Calibri" w:eastAsia="Times New Roman" w:hAnsi="Calibri" w:cs="Times New Roman"/>
      <w:b/>
      <w:bCs/>
      <w:sz w:val="48"/>
      <w:szCs w:val="24"/>
      <w:lang w:eastAsia="cs-CZ"/>
    </w:rPr>
  </w:style>
  <w:style w:type="character" w:customStyle="1" w:styleId="ZkladntextChar">
    <w:name w:val="Základní text Char"/>
    <w:basedOn w:val="Standardnpsmoodstavce"/>
    <w:link w:val="Zkladntext"/>
    <w:semiHidden/>
    <w:rsid w:val="00565EFF"/>
    <w:rPr>
      <w:rFonts w:ascii="Calibri" w:eastAsia="Times New Roman" w:hAnsi="Calibri" w:cs="Times New Roman"/>
      <w:b/>
      <w:bCs/>
      <w:sz w:val="48"/>
      <w:szCs w:val="24"/>
      <w:lang w:eastAsia="cs-CZ"/>
    </w:rPr>
  </w:style>
  <w:style w:type="paragraph" w:styleId="Zkladntext3">
    <w:name w:val="Body Text 3"/>
    <w:basedOn w:val="Normln"/>
    <w:link w:val="Zkladntext3Char"/>
    <w:semiHidden/>
    <w:rsid w:val="00565EFF"/>
    <w:pPr>
      <w:spacing w:after="40"/>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semiHidden/>
    <w:rsid w:val="00565EFF"/>
    <w:rPr>
      <w:rFonts w:ascii="Calibri" w:eastAsia="Times New Roman" w:hAnsi="Calibri" w:cs="Times New Roman"/>
      <w:sz w:val="16"/>
      <w:szCs w:val="16"/>
      <w:lang w:eastAsia="cs-CZ"/>
    </w:rPr>
  </w:style>
  <w:style w:type="paragraph" w:styleId="Titulek">
    <w:name w:val="caption"/>
    <w:basedOn w:val="Normln"/>
    <w:next w:val="Normln"/>
    <w:rsid w:val="00F5144C"/>
    <w:pPr>
      <w:spacing w:before="120" w:after="40"/>
      <w:ind w:left="360" w:hanging="360"/>
      <w:jc w:val="center"/>
    </w:pPr>
    <w:rPr>
      <w:rFonts w:asciiTheme="majorHAnsi" w:eastAsia="Times New Roman" w:hAnsiTheme="majorHAnsi" w:cs="Arial"/>
      <w:sz w:val="18"/>
      <w:lang w:eastAsia="cs-CZ"/>
    </w:rPr>
  </w:style>
  <w:style w:type="paragraph" w:customStyle="1" w:styleId="NeslovanNadpis1">
    <w:name w:val="Nečíslovaný Nadpis 1"/>
    <w:basedOn w:val="Normln"/>
    <w:link w:val="NeslovanNadpis1Char"/>
    <w:qFormat/>
    <w:rsid w:val="00BB5169"/>
    <w:pPr>
      <w:spacing w:before="240" w:after="40"/>
      <w:jc w:val="center"/>
    </w:pPr>
    <w:rPr>
      <w:rFonts w:asciiTheme="majorHAnsi" w:eastAsia="Times New Roman" w:hAnsiTheme="majorHAnsi" w:cs="Times New Roman"/>
      <w:b/>
      <w:kern w:val="28"/>
      <w:sz w:val="48"/>
      <w:szCs w:val="24"/>
      <w:lang w:eastAsia="cs-CZ"/>
    </w:rPr>
  </w:style>
  <w:style w:type="character" w:customStyle="1" w:styleId="NeslovanNadpis1Char">
    <w:name w:val="Nečíslovaný Nadpis 1 Char"/>
    <w:basedOn w:val="Standardnpsmoodstavce"/>
    <w:link w:val="NeslovanNadpis1"/>
    <w:rsid w:val="00BB5169"/>
    <w:rPr>
      <w:rFonts w:asciiTheme="majorHAnsi" w:eastAsia="Times New Roman" w:hAnsiTheme="majorHAnsi" w:cs="Times New Roman"/>
      <w:b/>
      <w:kern w:val="28"/>
      <w:sz w:val="48"/>
      <w:szCs w:val="24"/>
      <w:lang w:eastAsia="cs-CZ"/>
    </w:rPr>
  </w:style>
  <w:style w:type="character" w:styleId="Zdraznnjemn">
    <w:name w:val="Subtle Emphasis"/>
    <w:basedOn w:val="Standardnpsmoodstavce"/>
    <w:uiPriority w:val="19"/>
    <w:rsid w:val="00F5144C"/>
    <w:rPr>
      <w:rFonts w:asciiTheme="minorHAnsi" w:hAnsiTheme="minorHAnsi"/>
      <w:i/>
      <w:iCs/>
      <w:color w:val="404040" w:themeColor="text1" w:themeTint="BF"/>
    </w:rPr>
  </w:style>
  <w:style w:type="character" w:styleId="Zdraznn">
    <w:name w:val="Emphasis"/>
    <w:basedOn w:val="Standardnpsmoodstavce"/>
    <w:uiPriority w:val="20"/>
    <w:rsid w:val="00F5144C"/>
    <w:rPr>
      <w:rFonts w:asciiTheme="minorHAnsi" w:hAnsiTheme="minorHAnsi"/>
      <w:i/>
      <w:iCs/>
    </w:rPr>
  </w:style>
  <w:style w:type="character" w:styleId="Zdraznnintenzivn">
    <w:name w:val="Intense Emphasis"/>
    <w:basedOn w:val="Standardnpsmoodstavce"/>
    <w:uiPriority w:val="21"/>
    <w:rsid w:val="00F5144C"/>
    <w:rPr>
      <w:rFonts w:asciiTheme="minorHAnsi" w:hAnsiTheme="minorHAnsi"/>
      <w:i/>
      <w:iCs/>
      <w:color w:val="5B9BD5" w:themeColor="accent1"/>
    </w:rPr>
  </w:style>
  <w:style w:type="character" w:styleId="Siln">
    <w:name w:val="Strong"/>
    <w:basedOn w:val="Standardnpsmoodstavce"/>
    <w:uiPriority w:val="22"/>
    <w:qFormat/>
    <w:rsid w:val="00F5144C"/>
    <w:rPr>
      <w:rFonts w:asciiTheme="minorHAnsi" w:hAnsiTheme="minorHAnsi"/>
      <w:b/>
      <w:bCs/>
    </w:rPr>
  </w:style>
  <w:style w:type="paragraph" w:styleId="Citt">
    <w:name w:val="Quote"/>
    <w:basedOn w:val="Normln"/>
    <w:next w:val="Normln"/>
    <w:link w:val="CittChar"/>
    <w:uiPriority w:val="29"/>
    <w:rsid w:val="00F5144C"/>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5144C"/>
    <w:rPr>
      <w:i/>
      <w:iCs/>
      <w:color w:val="404040" w:themeColor="text1" w:themeTint="BF"/>
    </w:rPr>
  </w:style>
  <w:style w:type="character" w:styleId="Odkazjemn">
    <w:name w:val="Subtle Reference"/>
    <w:basedOn w:val="Standardnpsmoodstavce"/>
    <w:uiPriority w:val="31"/>
    <w:rsid w:val="00F5144C"/>
    <w:rPr>
      <w:rFonts w:asciiTheme="minorHAnsi" w:hAnsiTheme="minorHAnsi"/>
      <w:smallCaps/>
      <w:color w:val="5A5A5A" w:themeColor="text1" w:themeTint="A5"/>
    </w:rPr>
  </w:style>
  <w:style w:type="character" w:styleId="Odkazintenzivn">
    <w:name w:val="Intense Reference"/>
    <w:basedOn w:val="Standardnpsmoodstavce"/>
    <w:uiPriority w:val="32"/>
    <w:rsid w:val="00F5144C"/>
    <w:rPr>
      <w:rFonts w:asciiTheme="minorHAnsi" w:hAnsiTheme="minorHAnsi"/>
      <w:b/>
      <w:bCs/>
      <w:smallCaps/>
      <w:color w:val="5B9BD5" w:themeColor="accent1"/>
      <w:spacing w:val="5"/>
    </w:rPr>
  </w:style>
  <w:style w:type="character" w:styleId="Nzevknihy">
    <w:name w:val="Book Title"/>
    <w:basedOn w:val="Standardnpsmoodstavce"/>
    <w:uiPriority w:val="33"/>
    <w:rsid w:val="00F5144C"/>
    <w:rPr>
      <w:rFonts w:asciiTheme="minorHAnsi" w:hAnsiTheme="minorHAnsi"/>
      <w:b/>
      <w:bCs/>
      <w:i/>
      <w:iCs/>
      <w:spacing w:val="5"/>
    </w:rPr>
  </w:style>
  <w:style w:type="paragraph" w:styleId="Nadpisobsahu">
    <w:name w:val="TOC Heading"/>
    <w:basedOn w:val="Nadpis1"/>
    <w:next w:val="Normln"/>
    <w:uiPriority w:val="39"/>
    <w:unhideWhenUsed/>
    <w:rsid w:val="00CF5989"/>
    <w:pPr>
      <w:numPr>
        <w:numId w:val="0"/>
      </w:numPr>
      <w:spacing w:line="259" w:lineRule="auto"/>
      <w:jc w:val="left"/>
      <w:outlineLvl w:val="9"/>
    </w:pPr>
    <w:rPr>
      <w:b w:val="0"/>
      <w:lang w:eastAsia="cs-CZ"/>
    </w:rPr>
  </w:style>
  <w:style w:type="paragraph" w:customStyle="1" w:styleId="selnseznam">
    <w:name w:val="číselný seznam"/>
    <w:basedOn w:val="Odstavecseseznamem"/>
    <w:link w:val="selnseznamChar"/>
    <w:qFormat/>
    <w:rsid w:val="00795D52"/>
    <w:pPr>
      <w:numPr>
        <w:numId w:val="2"/>
      </w:numPr>
      <w:spacing w:line="240" w:lineRule="auto"/>
    </w:pPr>
    <w:rPr>
      <w:rFonts w:ascii="Arial" w:hAnsi="Arial" w:cs="Arial"/>
      <w:u w:val="single"/>
    </w:rPr>
  </w:style>
  <w:style w:type="character" w:customStyle="1" w:styleId="selnseznamChar">
    <w:name w:val="číselný seznam Char"/>
    <w:basedOn w:val="OdstavecseseznamemChar"/>
    <w:link w:val="selnseznam"/>
    <w:rsid w:val="00795D52"/>
    <w:rPr>
      <w:rFonts w:ascii="Arial" w:hAnsi="Arial" w:cs="Arial"/>
      <w:u w:val="single"/>
    </w:rPr>
  </w:style>
  <w:style w:type="paragraph" w:customStyle="1" w:styleId="bodovseznam">
    <w:name w:val="bodový seznam"/>
    <w:basedOn w:val="Odstavecseseznamem"/>
    <w:link w:val="bodovseznamChar"/>
    <w:qFormat/>
    <w:rsid w:val="002313E7"/>
    <w:pPr>
      <w:numPr>
        <w:numId w:val="3"/>
      </w:numPr>
      <w:spacing w:line="240" w:lineRule="auto"/>
      <w:ind w:left="1077" w:hanging="357"/>
      <w:contextualSpacing w:val="0"/>
    </w:pPr>
    <w:rPr>
      <w:rFonts w:cs="Arial"/>
    </w:rPr>
  </w:style>
  <w:style w:type="character" w:customStyle="1" w:styleId="bodovseznamChar">
    <w:name w:val="bodový seznam Char"/>
    <w:basedOn w:val="OdstavecseseznamemChar"/>
    <w:link w:val="bodovseznam"/>
    <w:rsid w:val="002313E7"/>
    <w:rPr>
      <w:rFonts w:cs="Arial"/>
    </w:rPr>
  </w:style>
  <w:style w:type="character" w:styleId="Odkaznakoment">
    <w:name w:val="annotation reference"/>
    <w:basedOn w:val="Standardnpsmoodstavce"/>
    <w:unhideWhenUsed/>
    <w:rsid w:val="00DE569A"/>
    <w:rPr>
      <w:sz w:val="16"/>
      <w:szCs w:val="16"/>
    </w:rPr>
  </w:style>
  <w:style w:type="paragraph" w:styleId="Textkomente">
    <w:name w:val="annotation text"/>
    <w:basedOn w:val="Normln"/>
    <w:link w:val="TextkomenteChar"/>
    <w:unhideWhenUsed/>
    <w:rsid w:val="00DE569A"/>
    <w:pPr>
      <w:spacing w:line="276" w:lineRule="auto"/>
    </w:pPr>
    <w:rPr>
      <w:sz w:val="20"/>
      <w:szCs w:val="20"/>
    </w:rPr>
  </w:style>
  <w:style w:type="character" w:customStyle="1" w:styleId="TextkomenteChar">
    <w:name w:val="Text komentáře Char"/>
    <w:basedOn w:val="Standardnpsmoodstavce"/>
    <w:link w:val="Textkomente"/>
    <w:rsid w:val="00DE569A"/>
    <w:rPr>
      <w:sz w:val="20"/>
      <w:szCs w:val="20"/>
    </w:rPr>
  </w:style>
  <w:style w:type="paragraph" w:styleId="Textbubliny">
    <w:name w:val="Balloon Text"/>
    <w:basedOn w:val="Normln"/>
    <w:link w:val="TextbublinyChar"/>
    <w:uiPriority w:val="99"/>
    <w:semiHidden/>
    <w:unhideWhenUsed/>
    <w:rsid w:val="00DE569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569A"/>
    <w:rPr>
      <w:rFonts w:ascii="Segoe UI" w:hAnsi="Segoe UI" w:cs="Segoe UI"/>
      <w:sz w:val="18"/>
      <w:szCs w:val="18"/>
    </w:rPr>
  </w:style>
  <w:style w:type="paragraph" w:customStyle="1" w:styleId="abcliststyl">
    <w:name w:val="abc list styl"/>
    <w:basedOn w:val="Odstavecseseznamem"/>
    <w:link w:val="abcliststylChar"/>
    <w:qFormat/>
    <w:rsid w:val="00CC3257"/>
    <w:pPr>
      <w:numPr>
        <w:numId w:val="4"/>
      </w:numPr>
      <w:spacing w:line="240" w:lineRule="auto"/>
      <w:ind w:left="1068"/>
      <w:contextualSpacing w:val="0"/>
    </w:pPr>
  </w:style>
  <w:style w:type="paragraph" w:customStyle="1" w:styleId="123liststyl">
    <w:name w:val="123 list styl"/>
    <w:basedOn w:val="Odstavecseseznamem"/>
    <w:link w:val="123liststylChar"/>
    <w:qFormat/>
    <w:rsid w:val="00F64CC1"/>
    <w:pPr>
      <w:numPr>
        <w:numId w:val="5"/>
      </w:numPr>
      <w:spacing w:line="240" w:lineRule="auto"/>
      <w:contextualSpacing w:val="0"/>
    </w:pPr>
  </w:style>
  <w:style w:type="character" w:customStyle="1" w:styleId="abcliststylChar">
    <w:name w:val="abc list styl Char"/>
    <w:basedOn w:val="OdstavecseseznamemChar"/>
    <w:link w:val="abcliststyl"/>
    <w:rsid w:val="00CC3257"/>
  </w:style>
  <w:style w:type="paragraph" w:styleId="Pedmtkomente">
    <w:name w:val="annotation subject"/>
    <w:basedOn w:val="Textkomente"/>
    <w:next w:val="Textkomente"/>
    <w:link w:val="PedmtkomenteChar"/>
    <w:uiPriority w:val="99"/>
    <w:semiHidden/>
    <w:unhideWhenUsed/>
    <w:rsid w:val="00CB7AFC"/>
    <w:pPr>
      <w:spacing w:line="240" w:lineRule="auto"/>
    </w:pPr>
    <w:rPr>
      <w:b/>
      <w:bCs/>
    </w:rPr>
  </w:style>
  <w:style w:type="character" w:customStyle="1" w:styleId="123liststylChar">
    <w:name w:val="123 list styl Char"/>
    <w:basedOn w:val="OdstavecseseznamemChar"/>
    <w:link w:val="123liststyl"/>
    <w:rsid w:val="00F64CC1"/>
  </w:style>
  <w:style w:type="character" w:customStyle="1" w:styleId="PedmtkomenteChar">
    <w:name w:val="Předmět komentáře Char"/>
    <w:basedOn w:val="TextkomenteChar"/>
    <w:link w:val="Pedmtkomente"/>
    <w:uiPriority w:val="99"/>
    <w:semiHidden/>
    <w:rsid w:val="00CB7AFC"/>
    <w:rPr>
      <w:b/>
      <w:bCs/>
      <w:sz w:val="20"/>
      <w:szCs w:val="20"/>
    </w:rPr>
  </w:style>
  <w:style w:type="paragraph" w:styleId="Zhlav">
    <w:name w:val="header"/>
    <w:basedOn w:val="Normln"/>
    <w:link w:val="ZhlavChar"/>
    <w:uiPriority w:val="99"/>
    <w:unhideWhenUsed/>
    <w:rsid w:val="000A3A62"/>
    <w:pPr>
      <w:tabs>
        <w:tab w:val="center" w:pos="4536"/>
        <w:tab w:val="right" w:pos="9072"/>
      </w:tabs>
      <w:spacing w:after="0"/>
    </w:pPr>
  </w:style>
  <w:style w:type="character" w:customStyle="1" w:styleId="ZhlavChar">
    <w:name w:val="Záhlaví Char"/>
    <w:basedOn w:val="Standardnpsmoodstavce"/>
    <w:link w:val="Zhlav"/>
    <w:uiPriority w:val="99"/>
    <w:rsid w:val="000A3A62"/>
  </w:style>
  <w:style w:type="table" w:styleId="Mkatabulky">
    <w:name w:val="Table Grid"/>
    <w:basedOn w:val="Normlntabulka"/>
    <w:uiPriority w:val="59"/>
    <w:rsid w:val="002A29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poznpodarou">
    <w:name w:val="footnote text"/>
    <w:basedOn w:val="Normln"/>
    <w:link w:val="TextpoznpodarouChar"/>
    <w:uiPriority w:val="99"/>
    <w:semiHidden/>
    <w:unhideWhenUsed/>
    <w:rsid w:val="002A2929"/>
    <w:pPr>
      <w:spacing w:after="0"/>
      <w:jc w:val="left"/>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A292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A2929"/>
    <w:rPr>
      <w:vertAlign w:val="superscript"/>
    </w:rPr>
  </w:style>
  <w:style w:type="character" w:customStyle="1" w:styleId="UnresolvedMention">
    <w:name w:val="Unresolved Mention"/>
    <w:basedOn w:val="Standardnpsmoodstavce"/>
    <w:uiPriority w:val="99"/>
    <w:semiHidden/>
    <w:unhideWhenUsed/>
    <w:rsid w:val="00675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rozlinskraj@cuzk.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zlj\Desktop\V&#253;zva%20k%20pod&#225;n&#237;%20nab&#237;dek_otevrena_template.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1A81-0F9B-4719-9991-BF64A8AD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Výzva k podání nabídek_otevrena_template.dotx</Template>
  <TotalTime>6</TotalTime>
  <Pages>11</Pages>
  <Words>3672</Words>
  <Characters>21665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CUZK</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Hanžl Jiří</dc:creator>
  <cp:keywords/>
  <dc:description/>
  <cp:lastModifiedBy>Suchánková Hana</cp:lastModifiedBy>
  <cp:revision>6</cp:revision>
  <cp:lastPrinted>2025-10-30T14:43:00Z</cp:lastPrinted>
  <dcterms:created xsi:type="dcterms:W3CDTF">2025-10-30T14:42:00Z</dcterms:created>
  <dcterms:modified xsi:type="dcterms:W3CDTF">2025-11-05T09:00:00Z</dcterms:modified>
</cp:coreProperties>
</file>