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4854A04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DB71AA">
        <w:rPr>
          <w:rFonts w:ascii="Arial" w:hAnsi="Arial" w:cs="Arial"/>
          <w:sz w:val="18"/>
          <w:szCs w:val="18"/>
        </w:rPr>
        <w:t>CHARMONT</w:t>
      </w:r>
      <w:r w:rsidR="002E0016">
        <w:rPr>
          <w:rFonts w:ascii="Arial" w:hAnsi="Arial" w:cs="Arial"/>
          <w:sz w:val="18"/>
          <w:szCs w:val="18"/>
        </w:rPr>
        <w:t xml:space="preserve"> s.r.o.,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DB71AA">
        <w:rPr>
          <w:rFonts w:ascii="Arial" w:hAnsi="Arial" w:cs="Arial"/>
          <w:sz w:val="18"/>
          <w:szCs w:val="18"/>
        </w:rPr>
        <w:t>276 53 277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DB71AA">
        <w:rPr>
          <w:rFonts w:ascii="Arial" w:hAnsi="Arial" w:cs="Arial"/>
          <w:sz w:val="18"/>
          <w:szCs w:val="18"/>
        </w:rPr>
        <w:t>Pod Parukářkou 39/4, Praha 3 Žižkov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C, vložka </w:t>
      </w:r>
      <w:r w:rsidR="00DB71AA">
        <w:rPr>
          <w:rFonts w:ascii="Arial" w:hAnsi="Arial" w:cs="Arial"/>
          <w:sz w:val="18"/>
          <w:szCs w:val="18"/>
        </w:rPr>
        <w:t>121784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>včetně patentů a průmysl</w:t>
      </w:r>
      <w:bookmarkStart w:id="0" w:name="_GoBack"/>
      <w:bookmarkEnd w:id="0"/>
      <w:r w:rsidR="00D2628B" w:rsidRPr="00D42E16">
        <w:rPr>
          <w:rFonts w:ascii="Arial" w:hAnsi="Arial" w:cs="Arial"/>
          <w:sz w:val="18"/>
          <w:szCs w:val="18"/>
        </w:rPr>
        <w:t xml:space="preserve">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370C5A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DB71AA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402F3845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6359F6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036A83C7" w:rsidR="003148E7" w:rsidRPr="00D42E16" w:rsidRDefault="00DB71A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CHARMONT</w:t>
            </w:r>
            <w:r w:rsidR="00884AB8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3815" w14:textId="77777777" w:rsidR="007B000C" w:rsidRDefault="007B000C" w:rsidP="005D546F">
      <w:pPr>
        <w:spacing w:after="0" w:line="240" w:lineRule="auto"/>
      </w:pPr>
      <w:r>
        <w:separator/>
      </w:r>
    </w:p>
  </w:endnote>
  <w:endnote w:type="continuationSeparator" w:id="0">
    <w:p w14:paraId="2DD8E057" w14:textId="77777777" w:rsidR="007B000C" w:rsidRDefault="007B000C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4E5A1A79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2745C9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4FA80" w14:textId="77777777" w:rsidR="007B000C" w:rsidRDefault="007B000C" w:rsidP="005D546F">
      <w:pPr>
        <w:spacing w:after="0" w:line="240" w:lineRule="auto"/>
      </w:pPr>
      <w:r>
        <w:separator/>
      </w:r>
    </w:p>
  </w:footnote>
  <w:footnote w:type="continuationSeparator" w:id="0">
    <w:p w14:paraId="738C3D3E" w14:textId="77777777" w:rsidR="007B000C" w:rsidRDefault="007B000C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0569AEEB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DB71AA">
      <w:rPr>
        <w:rFonts w:ascii="Arial" w:hAnsi="Arial" w:cs="Arial"/>
        <w:b/>
        <w:sz w:val="24"/>
        <w:szCs w:val="24"/>
      </w:rPr>
      <w:t>0</w:t>
    </w:r>
    <w:r w:rsidR="000358C3">
      <w:rPr>
        <w:rFonts w:ascii="Arial" w:hAnsi="Arial" w:cs="Arial"/>
        <w:b/>
        <w:sz w:val="24"/>
        <w:szCs w:val="24"/>
      </w:rPr>
      <w:t>4</w:t>
    </w:r>
    <w:r w:rsidR="000905C4">
      <w:rPr>
        <w:rFonts w:ascii="Arial" w:hAnsi="Arial" w:cs="Arial"/>
        <w:b/>
        <w:sz w:val="24"/>
        <w:szCs w:val="24"/>
      </w:rPr>
      <w:t>/</w:t>
    </w:r>
    <w:r w:rsidR="000358C3">
      <w:rPr>
        <w:rFonts w:ascii="Arial" w:hAnsi="Arial" w:cs="Arial"/>
        <w:b/>
        <w:sz w:val="24"/>
        <w:szCs w:val="24"/>
      </w:rPr>
      <w:t>11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359F6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358C3"/>
    <w:rsid w:val="000743ED"/>
    <w:rsid w:val="000905C4"/>
    <w:rsid w:val="0009419E"/>
    <w:rsid w:val="000C3329"/>
    <w:rsid w:val="000E377C"/>
    <w:rsid w:val="000F4E66"/>
    <w:rsid w:val="0010158E"/>
    <w:rsid w:val="00114930"/>
    <w:rsid w:val="00140D16"/>
    <w:rsid w:val="00154F51"/>
    <w:rsid w:val="0016516D"/>
    <w:rsid w:val="001B1A0F"/>
    <w:rsid w:val="001D7B5C"/>
    <w:rsid w:val="001E620E"/>
    <w:rsid w:val="002533C9"/>
    <w:rsid w:val="00262B73"/>
    <w:rsid w:val="002745C9"/>
    <w:rsid w:val="002A21DC"/>
    <w:rsid w:val="002A3784"/>
    <w:rsid w:val="002D4031"/>
    <w:rsid w:val="002E0016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359F6"/>
    <w:rsid w:val="006376EE"/>
    <w:rsid w:val="006518BB"/>
    <w:rsid w:val="006616CF"/>
    <w:rsid w:val="006753FF"/>
    <w:rsid w:val="006B66ED"/>
    <w:rsid w:val="006B7039"/>
    <w:rsid w:val="00713562"/>
    <w:rsid w:val="00752F60"/>
    <w:rsid w:val="00770B62"/>
    <w:rsid w:val="007B000C"/>
    <w:rsid w:val="007C4946"/>
    <w:rsid w:val="007E6524"/>
    <w:rsid w:val="00800C13"/>
    <w:rsid w:val="0080157A"/>
    <w:rsid w:val="008212D1"/>
    <w:rsid w:val="0082548F"/>
    <w:rsid w:val="00830F5C"/>
    <w:rsid w:val="008463B0"/>
    <w:rsid w:val="00846A32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A4CBB"/>
    <w:rsid w:val="009B70D0"/>
    <w:rsid w:val="009D2C0E"/>
    <w:rsid w:val="009E6E6E"/>
    <w:rsid w:val="009F456B"/>
    <w:rsid w:val="00AB04B7"/>
    <w:rsid w:val="00AE6B85"/>
    <w:rsid w:val="00B2026F"/>
    <w:rsid w:val="00B20793"/>
    <w:rsid w:val="00B55476"/>
    <w:rsid w:val="00B624D5"/>
    <w:rsid w:val="00B6425F"/>
    <w:rsid w:val="00B81B67"/>
    <w:rsid w:val="00B87D24"/>
    <w:rsid w:val="00BC25F3"/>
    <w:rsid w:val="00BE78AA"/>
    <w:rsid w:val="00C25505"/>
    <w:rsid w:val="00C371D7"/>
    <w:rsid w:val="00C45231"/>
    <w:rsid w:val="00C70BF1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B71AA"/>
    <w:rsid w:val="00DC7190"/>
    <w:rsid w:val="00DD2419"/>
    <w:rsid w:val="00DD681D"/>
    <w:rsid w:val="00E20494"/>
    <w:rsid w:val="00E34D16"/>
    <w:rsid w:val="00E54B06"/>
    <w:rsid w:val="00E80985"/>
    <w:rsid w:val="00EE522D"/>
    <w:rsid w:val="00F21EB7"/>
    <w:rsid w:val="00F2417B"/>
    <w:rsid w:val="00F320CB"/>
    <w:rsid w:val="00F97ED4"/>
    <w:rsid w:val="00FA1BCA"/>
    <w:rsid w:val="00FD7AC8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73C0A46B-0296-4871-8D5D-D2B97CED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1645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2023-11-22T08:42:00Z</cp:lastPrinted>
  <dcterms:created xsi:type="dcterms:W3CDTF">2025-11-05T08:58:00Z</dcterms:created>
  <dcterms:modified xsi:type="dcterms:W3CDTF">2025-11-05T08:58:00Z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