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28D7" w14:textId="5483693C" w:rsidR="002F1DBE" w:rsidRPr="00C413E7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b/>
          <w:sz w:val="24"/>
          <w:szCs w:val="24"/>
          <w:lang w:eastAsia="cs-CZ"/>
        </w:rPr>
      </w:pPr>
      <w:r w:rsidRPr="00C413E7">
        <w:rPr>
          <w:rFonts w:ascii="Century Gothic" w:eastAsia="Times New Roman" w:hAnsi="Century Gothic" w:cs="Calibri Light"/>
          <w:b/>
          <w:sz w:val="24"/>
          <w:szCs w:val="24"/>
          <w:lang w:eastAsia="cs-CZ"/>
        </w:rPr>
        <w:t>SMLOUVA O DÍLO</w:t>
      </w:r>
    </w:p>
    <w:p w14:paraId="4C60F8D1" w14:textId="77777777" w:rsidR="002F1DBE" w:rsidRPr="00C413E7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uzavřená dle § 2586 a násl. zákona č. 89/2012 Sb., občanský zákoník, </w:t>
      </w:r>
    </w:p>
    <w:p w14:paraId="3B0D3571" w14:textId="69430D45" w:rsidR="002F1DBE" w:rsidRPr="00C413E7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ve znění pozdějších předpisů</w:t>
      </w:r>
    </w:p>
    <w:p w14:paraId="07A67339" w14:textId="77777777" w:rsidR="002F1DBE" w:rsidRPr="00C413E7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2C4158D7" w14:textId="02F781BF" w:rsidR="00F64E62" w:rsidRPr="00C413E7" w:rsidRDefault="00EB0F22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sectPr w:rsidR="00F64E62" w:rsidRPr="00C413E7" w:rsidSect="009D0E72">
          <w:headerReference w:type="default" r:id="rId8"/>
          <w:footerReference w:type="default" r:id="rId9"/>
          <w:pgSz w:w="11906" w:h="16838"/>
          <w:pgMar w:top="1417" w:right="1417" w:bottom="568" w:left="851" w:header="708" w:footer="708" w:gutter="0"/>
          <w:cols w:space="708"/>
          <w:docGrid w:linePitch="360"/>
        </w:sectPr>
      </w:pPr>
      <w:r w:rsidRPr="00C413E7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Smluvní strany</w:t>
      </w:r>
    </w:p>
    <w:p w14:paraId="77E1B96F" w14:textId="38263162" w:rsidR="00F64E62" w:rsidRPr="00C413E7" w:rsidRDefault="00F64E62" w:rsidP="00C413E7">
      <w:pPr>
        <w:spacing w:after="0" w:line="240" w:lineRule="auto"/>
        <w:ind w:left="567"/>
        <w:rPr>
          <w:rFonts w:ascii="Century Gothic" w:hAnsi="Century Gothic" w:cs="Calibri Light"/>
          <w:b/>
          <w:sz w:val="18"/>
          <w:szCs w:val="18"/>
        </w:rPr>
      </w:pPr>
      <w:r w:rsidRPr="00C413E7">
        <w:rPr>
          <w:rFonts w:ascii="Century Gothic" w:hAnsi="Century Gothic" w:cs="Calibri Light"/>
          <w:b/>
          <w:sz w:val="18"/>
          <w:szCs w:val="18"/>
        </w:rPr>
        <w:lastRenderedPageBreak/>
        <w:t>Objednatel</w:t>
      </w:r>
      <w:r w:rsidRPr="00C413E7">
        <w:rPr>
          <w:rFonts w:ascii="Century Gothic" w:hAnsi="Century Gothic" w:cs="Calibri Light"/>
          <w:b/>
          <w:sz w:val="18"/>
          <w:szCs w:val="18"/>
        </w:rPr>
        <w:tab/>
      </w:r>
      <w:r w:rsidRPr="00C413E7">
        <w:rPr>
          <w:rFonts w:ascii="Century Gothic" w:hAnsi="Century Gothic" w:cs="Calibri Light"/>
          <w:b/>
          <w:sz w:val="18"/>
          <w:szCs w:val="18"/>
        </w:rPr>
        <w:tab/>
        <w:t xml:space="preserve">   </w:t>
      </w:r>
    </w:p>
    <w:p w14:paraId="2993D1D5" w14:textId="4F53737C" w:rsidR="00F64E62" w:rsidRPr="00C413E7" w:rsidRDefault="00F64E62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Název: </w:t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041C31"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>Oblastní muzeum a galerie v Mostě, příspěvková organizace</w:t>
      </w:r>
    </w:p>
    <w:p w14:paraId="553A92B3" w14:textId="4F823044" w:rsidR="00041C31" w:rsidRPr="00C413E7" w:rsidRDefault="00041C31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Zastoupen:</w:t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>Mgr. Michal Vavroch, ředitel</w:t>
      </w:r>
    </w:p>
    <w:p w14:paraId="26E5B19F" w14:textId="508280D6" w:rsidR="00F64E62" w:rsidRPr="00C413E7" w:rsidRDefault="00F64E62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Sídlo: </w:t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 xml:space="preserve">Čsl. </w:t>
      </w:r>
      <w:proofErr w:type="gramStart"/>
      <w:r w:rsidRPr="00C413E7">
        <w:rPr>
          <w:rFonts w:ascii="Century Gothic" w:hAnsi="Century Gothic" w:cs="Calibri Light"/>
          <w:sz w:val="18"/>
          <w:szCs w:val="18"/>
        </w:rPr>
        <w:t>armády</w:t>
      </w:r>
      <w:proofErr w:type="gramEnd"/>
      <w:r w:rsidRPr="00C413E7">
        <w:rPr>
          <w:rFonts w:ascii="Century Gothic" w:hAnsi="Century Gothic" w:cs="Calibri Light"/>
          <w:sz w:val="18"/>
          <w:szCs w:val="18"/>
        </w:rPr>
        <w:t xml:space="preserve"> 1360/35, 434 01 Most</w:t>
      </w:r>
    </w:p>
    <w:p w14:paraId="54DBE10D" w14:textId="39956D4E" w:rsidR="00F64E62" w:rsidRPr="00C413E7" w:rsidRDefault="00F64E62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IČO: </w:t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>00080730</w:t>
      </w:r>
    </w:p>
    <w:p w14:paraId="125583B8" w14:textId="25CEF22D" w:rsidR="00F64E62" w:rsidRPr="00C413E7" w:rsidRDefault="002E121F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Obchodní rejstřík:</w:t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="00F64E62" w:rsidRPr="00C413E7">
        <w:rPr>
          <w:rFonts w:ascii="Century Gothic" w:hAnsi="Century Gothic" w:cs="Calibri Light"/>
          <w:sz w:val="18"/>
          <w:szCs w:val="18"/>
        </w:rPr>
        <w:t>Spisová značka</w:t>
      </w:r>
      <w:r w:rsidRPr="00C413E7">
        <w:rPr>
          <w:rFonts w:ascii="Century Gothic" w:hAnsi="Century Gothic" w:cs="Calibri Light"/>
          <w:sz w:val="18"/>
          <w:szCs w:val="18"/>
        </w:rPr>
        <w:t xml:space="preserve"> </w:t>
      </w:r>
      <w:proofErr w:type="spellStart"/>
      <w:r w:rsidR="00F64E62" w:rsidRPr="00C413E7">
        <w:rPr>
          <w:rFonts w:ascii="Century Gothic" w:hAnsi="Century Gothic" w:cs="Calibri Light"/>
          <w:sz w:val="18"/>
          <w:szCs w:val="18"/>
        </w:rPr>
        <w:t>Pr</w:t>
      </w:r>
      <w:proofErr w:type="spellEnd"/>
      <w:r w:rsidR="00F64E62" w:rsidRPr="00C413E7">
        <w:rPr>
          <w:rFonts w:ascii="Century Gothic" w:hAnsi="Century Gothic" w:cs="Calibri Light"/>
          <w:sz w:val="18"/>
          <w:szCs w:val="18"/>
        </w:rPr>
        <w:t xml:space="preserve"> 472 vedená u Krajského soudu v Ústí nad Labem</w:t>
      </w:r>
    </w:p>
    <w:p w14:paraId="75AAF512" w14:textId="0F2D6FE8" w:rsidR="00F64E62" w:rsidRPr="00C413E7" w:rsidRDefault="00F64E62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Bankovní spojení: </w:t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>3938491/0100</w:t>
      </w:r>
    </w:p>
    <w:p w14:paraId="3A889B77" w14:textId="1531C1CD" w:rsidR="00F64E62" w:rsidRPr="00C413E7" w:rsidRDefault="00EB0F22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N</w:t>
      </w:r>
      <w:r w:rsidR="00041C31" w:rsidRPr="00C413E7">
        <w:rPr>
          <w:rFonts w:ascii="Century Gothic" w:hAnsi="Century Gothic" w:cs="Calibri Light"/>
          <w:sz w:val="18"/>
          <w:szCs w:val="18"/>
        </w:rPr>
        <w:t xml:space="preserve">ení plátce </w:t>
      </w:r>
      <w:r w:rsidR="00F64E62" w:rsidRPr="00C413E7">
        <w:rPr>
          <w:rFonts w:ascii="Century Gothic" w:hAnsi="Century Gothic" w:cs="Calibri Light"/>
          <w:sz w:val="18"/>
          <w:szCs w:val="18"/>
        </w:rPr>
        <w:t>DPH</w:t>
      </w:r>
    </w:p>
    <w:p w14:paraId="03C77F59" w14:textId="5D2ADCAA" w:rsidR="00041C31" w:rsidRPr="00C413E7" w:rsidRDefault="00041C31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Zástupce pro fakturaci</w:t>
      </w:r>
      <w:r w:rsidR="00F64E62" w:rsidRPr="00C413E7">
        <w:rPr>
          <w:rFonts w:ascii="Century Gothic" w:hAnsi="Century Gothic" w:cs="Calibri Light"/>
          <w:sz w:val="18"/>
          <w:szCs w:val="18"/>
        </w:rPr>
        <w:t xml:space="preserve">: </w:t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="004165E4" w:rsidRPr="00C413E7">
        <w:rPr>
          <w:rFonts w:ascii="Century Gothic" w:hAnsi="Century Gothic" w:cs="Calibri Light"/>
          <w:sz w:val="18"/>
          <w:szCs w:val="18"/>
        </w:rPr>
        <w:tab/>
      </w:r>
      <w:r w:rsidR="00F64E62" w:rsidRPr="00C413E7">
        <w:rPr>
          <w:rFonts w:ascii="Century Gothic" w:hAnsi="Century Gothic" w:cs="Calibri Light"/>
          <w:sz w:val="18"/>
          <w:szCs w:val="18"/>
        </w:rPr>
        <w:t>Ing. Miluše Spurná</w:t>
      </w:r>
    </w:p>
    <w:p w14:paraId="23B9F6B7" w14:textId="4C4CA748" w:rsidR="00041C31" w:rsidRPr="00C413E7" w:rsidRDefault="00353664" w:rsidP="00C413E7">
      <w:pPr>
        <w:spacing w:after="0" w:line="240" w:lineRule="auto"/>
        <w:ind w:left="3399" w:firstLine="141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tel. č. +</w:t>
      </w:r>
    </w:p>
    <w:p w14:paraId="6BBD4E5F" w14:textId="704049DE" w:rsidR="00F64E62" w:rsidRPr="00C413E7" w:rsidRDefault="00C413E7" w:rsidP="00C413E7">
      <w:pPr>
        <w:spacing w:after="0" w:line="240" w:lineRule="auto"/>
        <w:ind w:left="3117" w:firstLine="282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  </w:t>
      </w:r>
      <w:r w:rsidR="00F64E62" w:rsidRPr="00C413E7">
        <w:rPr>
          <w:rFonts w:ascii="Century Gothic" w:hAnsi="Century Gothic" w:cs="Calibri Light"/>
          <w:sz w:val="18"/>
          <w:szCs w:val="18"/>
        </w:rPr>
        <w:t xml:space="preserve">e-mail: </w:t>
      </w:r>
    </w:p>
    <w:p w14:paraId="28873EFD" w14:textId="608FA1D9" w:rsidR="00041C31" w:rsidRPr="00C413E7" w:rsidRDefault="00073E94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Zástupce pro věci odborné</w:t>
      </w:r>
      <w:r w:rsidR="00041C31" w:rsidRPr="00C413E7">
        <w:rPr>
          <w:rFonts w:ascii="Century Gothic" w:hAnsi="Century Gothic" w:cs="Calibri Light"/>
          <w:sz w:val="18"/>
          <w:szCs w:val="18"/>
        </w:rPr>
        <w:t>:</w:t>
      </w:r>
      <w:r w:rsidR="00C413E7" w:rsidRPr="00C413E7">
        <w:rPr>
          <w:rFonts w:ascii="Century Gothic" w:hAnsi="Century Gothic" w:cs="Calibri Light"/>
          <w:sz w:val="18"/>
          <w:szCs w:val="18"/>
        </w:rPr>
        <w:tab/>
      </w:r>
      <w:r w:rsidR="002E121F" w:rsidRPr="00C413E7">
        <w:rPr>
          <w:rFonts w:ascii="Century Gothic" w:hAnsi="Century Gothic" w:cs="Calibri Light"/>
          <w:sz w:val="18"/>
          <w:szCs w:val="18"/>
        </w:rPr>
        <w:t>Pavel Kindl</w:t>
      </w:r>
    </w:p>
    <w:p w14:paraId="42E857BC" w14:textId="41BD07F8" w:rsidR="00041C31" w:rsidRPr="00C413E7" w:rsidRDefault="00041C31" w:rsidP="00C413E7">
      <w:pPr>
        <w:pStyle w:val="Odstavecseseznamem"/>
        <w:spacing w:after="0" w:line="240" w:lineRule="auto"/>
        <w:ind w:left="2977" w:firstLine="563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tel. č.: +</w:t>
      </w:r>
    </w:p>
    <w:p w14:paraId="011266C6" w14:textId="65CF5531" w:rsidR="004165E4" w:rsidRPr="00C413E7" w:rsidRDefault="002E121F" w:rsidP="00C413E7">
      <w:pPr>
        <w:pStyle w:val="Odstavecseseznamem"/>
        <w:spacing w:after="0" w:line="240" w:lineRule="auto"/>
        <w:ind w:left="2836" w:firstLine="704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e-mail: </w:t>
      </w:r>
    </w:p>
    <w:p w14:paraId="57B1687D" w14:textId="459103A2" w:rsidR="008865FC" w:rsidRPr="00C413E7" w:rsidRDefault="008865FC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(dále též „objednatel“)</w:t>
      </w:r>
    </w:p>
    <w:p w14:paraId="6641E1BD" w14:textId="77777777" w:rsidR="00EB0F22" w:rsidRPr="00C413E7" w:rsidRDefault="00EB0F22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</w:p>
    <w:p w14:paraId="02E1F6E5" w14:textId="0E74F681" w:rsidR="00F64E62" w:rsidRPr="00C413E7" w:rsidRDefault="00F64E62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Zhotovitel</w:t>
      </w:r>
    </w:p>
    <w:p w14:paraId="31C95E66" w14:textId="47B3047D" w:rsidR="00F64E62" w:rsidRPr="00C413E7" w:rsidRDefault="00F64E62" w:rsidP="00E47C5C">
      <w:pPr>
        <w:widowControl w:val="0"/>
        <w:tabs>
          <w:tab w:val="left" w:pos="212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Název: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>Střední odborná škola, Litvínov - Hamr</w:t>
      </w:r>
    </w:p>
    <w:p w14:paraId="465AC889" w14:textId="51C41A38" w:rsidR="00041C31" w:rsidRPr="00C413E7" w:rsidRDefault="00041C31" w:rsidP="00C413E7">
      <w:pPr>
        <w:widowControl w:val="0"/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Zastoupen:</w:t>
      </w: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Ing. Jitka </w:t>
      </w:r>
      <w:proofErr w:type="spellStart"/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>Francírková</w:t>
      </w:r>
      <w:proofErr w:type="spellEnd"/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>, ředitelka</w:t>
      </w:r>
    </w:p>
    <w:p w14:paraId="5B0FE450" w14:textId="7FC4D222" w:rsidR="00CD7617" w:rsidRPr="00C413E7" w:rsidRDefault="00F64E62" w:rsidP="00C413E7">
      <w:pPr>
        <w:widowControl w:val="0"/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Sídlo: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255A0F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>Mládežnická 236, 435 42 Litvínov, Hamr</w:t>
      </w:r>
    </w:p>
    <w:p w14:paraId="01B2C760" w14:textId="054C0F62" w:rsidR="00F64E62" w:rsidRPr="00C413E7" w:rsidRDefault="00F64E62" w:rsidP="00C413E7">
      <w:pPr>
        <w:widowControl w:val="0"/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IČO: 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E47C5C">
        <w:rPr>
          <w:rFonts w:ascii="Century Gothic" w:eastAsia="Times New Roman" w:hAnsi="Century Gothic" w:cs="Calibri Light"/>
          <w:sz w:val="18"/>
          <w:szCs w:val="18"/>
          <w:lang w:eastAsia="cs-CZ"/>
        </w:rPr>
        <w:t>00 55 55 84</w:t>
      </w: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                         </w:t>
      </w:r>
    </w:p>
    <w:p w14:paraId="42975DAE" w14:textId="7764C311" w:rsidR="00F64E62" w:rsidRPr="00C413E7" w:rsidRDefault="006F4565" w:rsidP="00C413E7">
      <w:pPr>
        <w:widowControl w:val="0"/>
        <w:tabs>
          <w:tab w:val="left" w:pos="851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Není plátce DPH</w:t>
      </w:r>
      <w:r w:rsidR="00F64E62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</w:p>
    <w:p w14:paraId="43F1B1B5" w14:textId="0146DA8E" w:rsidR="00F64E62" w:rsidRPr="00C413E7" w:rsidRDefault="00E47C5C" w:rsidP="00C413E7">
      <w:pPr>
        <w:widowControl w:val="0"/>
        <w:tabs>
          <w:tab w:val="left" w:pos="993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Živnostenský re</w:t>
      </w:r>
      <w:r w:rsidR="002E121F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jstřík</w:t>
      </w:r>
      <w:r w:rsidR="00F64E62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:</w:t>
      </w:r>
      <w:r w:rsidR="00565E90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6F4565">
        <w:rPr>
          <w:rFonts w:ascii="Century Gothic" w:eastAsia="Times New Roman" w:hAnsi="Century Gothic" w:cs="Calibri Light"/>
          <w:sz w:val="18"/>
          <w:szCs w:val="18"/>
          <w:lang w:eastAsia="cs-CZ"/>
        </w:rPr>
        <w:t>Městský úřad Litvínov</w:t>
      </w:r>
      <w:r w:rsidR="00F64E62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2A3B40E6" w14:textId="55D722E4" w:rsidR="00F64E62" w:rsidRPr="00C413E7" w:rsidRDefault="00F64E62" w:rsidP="00C413E7">
      <w:pPr>
        <w:widowControl w:val="0"/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Bankovní spojení: </w:t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</w:p>
    <w:p w14:paraId="4D1C8D28" w14:textId="7E0635AC" w:rsidR="00F64E62" w:rsidRPr="00C413E7" w:rsidRDefault="00F64E62" w:rsidP="00C413E7">
      <w:pPr>
        <w:widowControl w:val="0"/>
        <w:tabs>
          <w:tab w:val="left" w:pos="1418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Kontaktní osoba: </w:t>
      </w:r>
      <w:r w:rsidR="00041C31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6F4565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6F4565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  <w:t>Bc. Miroslav Findeis</w:t>
      </w:r>
    </w:p>
    <w:p w14:paraId="5B6028BF" w14:textId="32C0ED09" w:rsidR="00F64E62" w:rsidRPr="00C413E7" w:rsidRDefault="00041C31" w:rsidP="00C413E7">
      <w:pPr>
        <w:widowControl w:val="0"/>
        <w:tabs>
          <w:tab w:val="left" w:pos="1985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tel.: </w:t>
      </w:r>
    </w:p>
    <w:p w14:paraId="24A65615" w14:textId="53F1F2E8" w:rsidR="00CD7617" w:rsidRPr="00C413E7" w:rsidRDefault="00041C31" w:rsidP="00C413E7">
      <w:pPr>
        <w:widowControl w:val="0"/>
        <w:tabs>
          <w:tab w:val="left" w:pos="1985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413E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e-mail:</w:t>
      </w:r>
      <w:r w:rsidR="00CD7617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bookmarkStart w:id="0" w:name="_GoBack"/>
      <w:bookmarkEnd w:id="0"/>
    </w:p>
    <w:p w14:paraId="78E891E8" w14:textId="1C4120FF" w:rsidR="008865FC" w:rsidRPr="00C413E7" w:rsidRDefault="008865FC" w:rsidP="00C413E7">
      <w:pPr>
        <w:widowControl w:val="0"/>
        <w:tabs>
          <w:tab w:val="left" w:pos="1985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(dále též „zhotovitel“)</w:t>
      </w:r>
    </w:p>
    <w:p w14:paraId="37C7615A" w14:textId="6302072E" w:rsidR="00F64E62" w:rsidRDefault="00F64E62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5FDA645F" w14:textId="75E818AF" w:rsidR="009F0590" w:rsidRDefault="009F0590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407F3F3" w14:textId="247267AC" w:rsidR="009F0590" w:rsidRDefault="009F0590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Smlouva je uzavírána na základě vertikální spolupráce ve smyslu ustanovení § 11 zákona č. 134/2016 Sb., o zadávání veřejných zakázek, ve znění pozdějších předpisů, bez předchozího provedení zadávacího / výběrové</w:t>
      </w:r>
      <w:r w:rsidR="000B70AB">
        <w:rPr>
          <w:rFonts w:ascii="Century Gothic" w:eastAsia="Times New Roman" w:hAnsi="Century Gothic" w:cs="Calibri Light"/>
          <w:sz w:val="18"/>
          <w:szCs w:val="18"/>
          <w:lang w:eastAsia="cs-CZ"/>
        </w:rPr>
        <w:t>h</w:t>
      </w: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o řízení. Smluvní strany prohlašují, že jsou příspěvkovými organizace Ústeckého kraje</w:t>
      </w:r>
      <w:r w:rsidR="000B70AB">
        <w:rPr>
          <w:rFonts w:ascii="Century Gothic" w:eastAsia="Times New Roman" w:hAnsi="Century Gothic" w:cs="Calibri Light"/>
          <w:sz w:val="18"/>
          <w:szCs w:val="18"/>
          <w:lang w:eastAsia="cs-CZ"/>
        </w:rPr>
        <w:t>, který je jejich ovládajícím zadavatelem, nemá v nich majetkovou účast žádná jiná osoba než Ústecký kraj a vykonávají více než 80 % své činnosti při plnění úkolů svěřených Ústeckých krajem.</w:t>
      </w:r>
    </w:p>
    <w:p w14:paraId="54000135" w14:textId="3A67B324" w:rsidR="000B70AB" w:rsidRDefault="000B70AB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375047CB" w14:textId="77777777" w:rsidR="000B70AB" w:rsidRPr="00C413E7" w:rsidRDefault="000B70AB" w:rsidP="00C413E7">
      <w:pPr>
        <w:widowControl w:val="0"/>
        <w:tabs>
          <w:tab w:val="left" w:pos="6237"/>
        </w:tabs>
        <w:spacing w:after="0" w:line="240" w:lineRule="auto"/>
        <w:ind w:left="567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1098DE9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I.</w:t>
      </w:r>
    </w:p>
    <w:p w14:paraId="4696098C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Předmět Smlouvy</w:t>
      </w:r>
    </w:p>
    <w:p w14:paraId="7E82A3B9" w14:textId="6B69CF99" w:rsidR="002E121F" w:rsidRPr="00C413E7" w:rsidRDefault="002E121F" w:rsidP="00C413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 xml:space="preserve">Výroba a dodání </w:t>
      </w:r>
      <w:r w:rsidR="009F0590">
        <w:rPr>
          <w:rFonts w:ascii="Century Gothic" w:hAnsi="Century Gothic"/>
          <w:sz w:val="18"/>
          <w:szCs w:val="18"/>
        </w:rPr>
        <w:t xml:space="preserve">modulů z DTDL do prostor </w:t>
      </w:r>
      <w:proofErr w:type="spellStart"/>
      <w:r w:rsidR="009F0590">
        <w:rPr>
          <w:rFonts w:ascii="Century Gothic" w:hAnsi="Century Gothic"/>
          <w:sz w:val="18"/>
          <w:szCs w:val="18"/>
        </w:rPr>
        <w:t>workshopovny</w:t>
      </w:r>
      <w:proofErr w:type="spellEnd"/>
      <w:r w:rsidR="009F0590">
        <w:rPr>
          <w:rFonts w:ascii="Century Gothic" w:hAnsi="Century Gothic"/>
          <w:sz w:val="18"/>
          <w:szCs w:val="18"/>
        </w:rPr>
        <w:t xml:space="preserve"> v Oblastním muzeum a galerii v Mostě</w:t>
      </w:r>
      <w:r w:rsidR="00CD7617" w:rsidRPr="00C413E7">
        <w:rPr>
          <w:rFonts w:ascii="Century Gothic" w:hAnsi="Century Gothic"/>
          <w:sz w:val="18"/>
          <w:szCs w:val="18"/>
        </w:rPr>
        <w:t>.</w:t>
      </w:r>
    </w:p>
    <w:p w14:paraId="57C3C1DF" w14:textId="77777777" w:rsidR="009F0590" w:rsidRDefault="009F0590" w:rsidP="00C413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</w:rPr>
      </w:pPr>
    </w:p>
    <w:p w14:paraId="0DCE2FB9" w14:textId="0E1B5226" w:rsidR="002E121F" w:rsidRDefault="002E121F" w:rsidP="00C413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 xml:space="preserve">Parametry </w:t>
      </w:r>
      <w:r w:rsidR="009F0590">
        <w:rPr>
          <w:rFonts w:ascii="Century Gothic" w:hAnsi="Century Gothic"/>
          <w:sz w:val="18"/>
          <w:szCs w:val="18"/>
        </w:rPr>
        <w:t>modulů</w:t>
      </w:r>
      <w:r w:rsidR="008320AE">
        <w:rPr>
          <w:rFonts w:ascii="Century Gothic" w:hAnsi="Century Gothic"/>
          <w:sz w:val="18"/>
          <w:szCs w:val="18"/>
        </w:rPr>
        <w:t xml:space="preserve"> (sestav)</w:t>
      </w:r>
      <w:r w:rsidRPr="00C413E7">
        <w:rPr>
          <w:rFonts w:ascii="Century Gothic" w:hAnsi="Century Gothic"/>
          <w:sz w:val="18"/>
          <w:szCs w:val="18"/>
        </w:rPr>
        <w:t>:</w:t>
      </w:r>
    </w:p>
    <w:p w14:paraId="4BF343AA" w14:textId="00D37A7E" w:rsidR="009F0590" w:rsidRDefault="009F0590" w:rsidP="00C413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Materiál: DTDL javor 375, hrany opatřeny zesílenou plastovou ABS hranou, dveře mají tlumené panty</w:t>
      </w:r>
    </w:p>
    <w:p w14:paraId="54D39BEF" w14:textId="0B749855" w:rsidR="009F0590" w:rsidRDefault="009F0590" w:rsidP="009F0590">
      <w:pPr>
        <w:pStyle w:val="Odstavecseseznamem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Modul</w:t>
      </w:r>
      <w:r w:rsidR="008320AE">
        <w:rPr>
          <w:rFonts w:ascii="Century Gothic" w:hAnsi="Century Gothic"/>
          <w:sz w:val="18"/>
          <w:szCs w:val="18"/>
        </w:rPr>
        <w:t xml:space="preserve"> I. – </w:t>
      </w:r>
      <w:proofErr w:type="spellStart"/>
      <w:r w:rsidR="008320AE">
        <w:rPr>
          <w:rFonts w:ascii="Century Gothic" w:hAnsi="Century Gothic"/>
          <w:sz w:val="18"/>
          <w:szCs w:val="18"/>
        </w:rPr>
        <w:t>dřezová</w:t>
      </w:r>
      <w:proofErr w:type="spellEnd"/>
      <w:r w:rsidR="008320AE">
        <w:rPr>
          <w:rFonts w:ascii="Century Gothic" w:hAnsi="Century Gothic"/>
          <w:sz w:val="18"/>
          <w:szCs w:val="18"/>
        </w:rPr>
        <w:t xml:space="preserve"> sestava</w:t>
      </w:r>
    </w:p>
    <w:p w14:paraId="1304A98E" w14:textId="53BD9FB2" w:rsidR="008320AE" w:rsidRDefault="008320AE" w:rsidP="008320AE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Rozměr: v. 2 930 mm x š. 2 380 mm x hl. 600 mm</w:t>
      </w:r>
    </w:p>
    <w:p w14:paraId="71AA4D9B" w14:textId="6CD3D2FB" w:rsidR="009F0590" w:rsidRDefault="009F0590" w:rsidP="009F0590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Doplnění o dřez hranatý nerezový o rozměrech 550x500 mm, včetně nerezové baterie</w:t>
      </w:r>
    </w:p>
    <w:p w14:paraId="521D385E" w14:textId="77777777" w:rsidR="008320AE" w:rsidRDefault="009F0590" w:rsidP="007E0444">
      <w:pPr>
        <w:pStyle w:val="Odstavecseseznamem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320AE">
        <w:rPr>
          <w:rFonts w:ascii="Century Gothic" w:hAnsi="Century Gothic"/>
          <w:sz w:val="18"/>
          <w:szCs w:val="18"/>
        </w:rPr>
        <w:t>Modul</w:t>
      </w:r>
      <w:r w:rsidR="008320AE" w:rsidRPr="008320AE">
        <w:rPr>
          <w:rFonts w:ascii="Century Gothic" w:hAnsi="Century Gothic"/>
          <w:sz w:val="18"/>
          <w:szCs w:val="18"/>
        </w:rPr>
        <w:t xml:space="preserve"> II. </w:t>
      </w:r>
      <w:r w:rsidR="008320AE">
        <w:rPr>
          <w:rFonts w:ascii="Century Gothic" w:hAnsi="Century Gothic"/>
          <w:sz w:val="18"/>
          <w:szCs w:val="18"/>
        </w:rPr>
        <w:t>–</w:t>
      </w:r>
      <w:r w:rsidR="008320AE" w:rsidRPr="008320AE">
        <w:rPr>
          <w:rFonts w:ascii="Century Gothic" w:hAnsi="Century Gothic"/>
          <w:sz w:val="18"/>
          <w:szCs w:val="18"/>
        </w:rPr>
        <w:t xml:space="preserve"> </w:t>
      </w:r>
      <w:r w:rsidR="008320AE">
        <w:rPr>
          <w:rFonts w:ascii="Century Gothic" w:hAnsi="Century Gothic"/>
          <w:sz w:val="18"/>
          <w:szCs w:val="18"/>
        </w:rPr>
        <w:t>policová sestava</w:t>
      </w:r>
    </w:p>
    <w:p w14:paraId="6239A459" w14:textId="68AA120F" w:rsidR="009F0590" w:rsidRPr="008320AE" w:rsidRDefault="008320AE" w:rsidP="008320AE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Rozměr: </w:t>
      </w:r>
      <w:r w:rsidR="009F0590" w:rsidRPr="008320AE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v. 2 930 mm x š. 2 380 mm x hl. 600mm</w:t>
      </w:r>
    </w:p>
    <w:p w14:paraId="3B1F453E" w14:textId="78778EA4" w:rsidR="009F0590" w:rsidRDefault="009F0590" w:rsidP="009F0590">
      <w:pPr>
        <w:pStyle w:val="Odstavecseseznamem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Modul</w:t>
      </w:r>
      <w:r w:rsidR="008320AE">
        <w:rPr>
          <w:rFonts w:ascii="Century Gothic" w:hAnsi="Century Gothic"/>
          <w:sz w:val="18"/>
          <w:szCs w:val="18"/>
        </w:rPr>
        <w:t xml:space="preserve"> III. – šatní sestava</w:t>
      </w:r>
    </w:p>
    <w:p w14:paraId="79BBFD26" w14:textId="50A807D1" w:rsidR="008320AE" w:rsidRDefault="008320AE" w:rsidP="008320AE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Rozměr: v. 2 930 x š. 2 380 x  hl. 600 mm</w:t>
      </w:r>
    </w:p>
    <w:p w14:paraId="5279ABC1" w14:textId="6CDBCFA0" w:rsidR="009F0590" w:rsidRDefault="009F0590" w:rsidP="009F0590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Skříň s šatní tyčí</w:t>
      </w:r>
    </w:p>
    <w:p w14:paraId="47B926E2" w14:textId="77777777" w:rsidR="009F0590" w:rsidRPr="009F0590" w:rsidRDefault="009F0590" w:rsidP="009F0590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Century Gothic" w:hAnsi="Century Gothic"/>
          <w:sz w:val="18"/>
          <w:szCs w:val="18"/>
        </w:rPr>
      </w:pPr>
    </w:p>
    <w:p w14:paraId="3BF8FA6D" w14:textId="31D34544" w:rsidR="002E121F" w:rsidRPr="00C413E7" w:rsidRDefault="002E121F" w:rsidP="00C413E7">
      <w:pPr>
        <w:spacing w:after="0" w:line="240" w:lineRule="auto"/>
        <w:ind w:left="567"/>
        <w:rPr>
          <w:rFonts w:ascii="Century Gothic" w:hAnsi="Century Gothic"/>
          <w:sz w:val="18"/>
          <w:szCs w:val="18"/>
        </w:rPr>
      </w:pPr>
    </w:p>
    <w:p w14:paraId="6E314686" w14:textId="099FF928" w:rsidR="005C4F7B" w:rsidRPr="00C413E7" w:rsidRDefault="005C4F7B" w:rsidP="00C413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526C9757" w14:textId="74DFDA76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II.</w:t>
      </w:r>
    </w:p>
    <w:p w14:paraId="2AF6C4BD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Cena Díla a způsob úhrady</w:t>
      </w:r>
    </w:p>
    <w:p w14:paraId="3F24BA22" w14:textId="7777777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b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b/>
          <w:sz w:val="18"/>
          <w:szCs w:val="18"/>
          <w:lang w:eastAsia="cs-CZ"/>
        </w:rPr>
        <w:t>Cena díla:</w:t>
      </w:r>
    </w:p>
    <w:p w14:paraId="1C2D95EE" w14:textId="7428CA6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Celkem včetně DPH</w:t>
      </w:r>
      <w:r w:rsidR="00351D4E">
        <w:rPr>
          <w:rFonts w:ascii="Century Gothic" w:eastAsia="Times New Roman" w:hAnsi="Century Gothic" w:cs="Arial"/>
          <w:sz w:val="18"/>
          <w:szCs w:val="18"/>
          <w:lang w:eastAsia="cs-CZ"/>
        </w:rPr>
        <w:tab/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</w:t>
      </w:r>
      <w:r w:rsidR="009F0590">
        <w:rPr>
          <w:rFonts w:ascii="Century Gothic" w:eastAsia="Times New Roman" w:hAnsi="Century Gothic" w:cs="Arial"/>
          <w:sz w:val="18"/>
          <w:szCs w:val="18"/>
          <w:lang w:eastAsia="cs-CZ"/>
        </w:rPr>
        <w:t>103 830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,00</w:t>
      </w:r>
      <w:r w:rsidR="00351D4E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Kč</w:t>
      </w:r>
    </w:p>
    <w:p w14:paraId="592623B5" w14:textId="1AD4B150" w:rsidR="00901590" w:rsidRPr="00C413E7" w:rsidRDefault="008320AE" w:rsidP="00901590">
      <w:pPr>
        <w:spacing w:after="0" w:line="240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Cena každé sestavy nepřesáhne 40 tis. Kč. </w:t>
      </w:r>
      <w:r w:rsidR="00901590" w:rsidRPr="00C413E7">
        <w:rPr>
          <w:rFonts w:ascii="Century Gothic" w:hAnsi="Century Gothic"/>
          <w:sz w:val="18"/>
          <w:szCs w:val="18"/>
        </w:rPr>
        <w:t>V ceně je zahrnuta výroba, dodávka a montáž vitrín.</w:t>
      </w:r>
    </w:p>
    <w:p w14:paraId="4F1991C2" w14:textId="7777777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</w:p>
    <w:p w14:paraId="0E56D0EE" w14:textId="7777777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Po splnění předmětu smlouvy bude fakturace provedena na základě oboustranně odsouhlaseného předávacího protokolu. Faktura vystavená zhotovitelem musí obsahovat kromě čísla smlouvy a lhůty splatnosti, také náležitosti daňového dokladu stanovené příslušnými právními předpisy také informaci o zápisu v obchodním rejstříku nebo jiné evidenci a bude objednateli doručena v listinné podobě. </w:t>
      </w:r>
    </w:p>
    <w:p w14:paraId="42A1F207" w14:textId="77777777" w:rsidR="00351D4E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V případě, že faktura nebude mít uvedené náležitosti, objednatel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  <w:r w:rsidRPr="00C413E7">
        <w:rPr>
          <w:rFonts w:ascii="Century Gothic" w:hAnsi="Century Gothic"/>
          <w:sz w:val="18"/>
          <w:szCs w:val="18"/>
        </w:rPr>
        <w:t xml:space="preserve"> </w:t>
      </w:r>
    </w:p>
    <w:p w14:paraId="3399E219" w14:textId="59CEC644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Způsob platby: bezhotovostně na základě faktury</w:t>
      </w:r>
    </w:p>
    <w:p w14:paraId="3183B64B" w14:textId="7777777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Lhůta splatnosti: 21 dnů </w:t>
      </w:r>
    </w:p>
    <w:p w14:paraId="1BDD9CD6" w14:textId="77777777" w:rsidR="00E02E8C" w:rsidRPr="00C413E7" w:rsidRDefault="00E02E8C" w:rsidP="00C413E7">
      <w:pPr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</w:p>
    <w:p w14:paraId="61C8097A" w14:textId="77777777" w:rsidR="00E02E8C" w:rsidRPr="00C413E7" w:rsidRDefault="00E02E8C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</w:p>
    <w:p w14:paraId="56C854DC" w14:textId="09654935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III.</w:t>
      </w:r>
    </w:p>
    <w:p w14:paraId="5E6C52C3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Termín zhotovení díla</w:t>
      </w:r>
    </w:p>
    <w:p w14:paraId="04B14E5B" w14:textId="5F075864" w:rsidR="00103134" w:rsidRPr="00C413E7" w:rsidRDefault="00103134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 xml:space="preserve">Smluvní strany se dohodly, že Dílo bude Zhotovitelem provedeno v termínu nejpozději </w:t>
      </w:r>
      <w:r w:rsidRPr="00C413E7">
        <w:rPr>
          <w:rFonts w:ascii="Century Gothic" w:hAnsi="Century Gothic"/>
          <w:b/>
          <w:sz w:val="18"/>
          <w:szCs w:val="18"/>
        </w:rPr>
        <w:t xml:space="preserve">do </w:t>
      </w:r>
      <w:r w:rsidR="009F0590">
        <w:rPr>
          <w:rFonts w:ascii="Century Gothic" w:hAnsi="Century Gothic"/>
          <w:b/>
          <w:sz w:val="18"/>
          <w:szCs w:val="18"/>
        </w:rPr>
        <w:t>20.</w:t>
      </w:r>
      <w:r w:rsidR="00565E90" w:rsidRPr="00C413E7">
        <w:rPr>
          <w:rFonts w:ascii="Century Gothic" w:hAnsi="Century Gothic"/>
          <w:b/>
          <w:sz w:val="18"/>
          <w:szCs w:val="18"/>
        </w:rPr>
        <w:t xml:space="preserve"> </w:t>
      </w:r>
      <w:r w:rsidR="009F0590">
        <w:rPr>
          <w:rFonts w:ascii="Century Gothic" w:hAnsi="Century Gothic"/>
          <w:b/>
          <w:sz w:val="18"/>
          <w:szCs w:val="18"/>
        </w:rPr>
        <w:t>12</w:t>
      </w:r>
      <w:r w:rsidR="00565E90" w:rsidRPr="00C413E7">
        <w:rPr>
          <w:rFonts w:ascii="Century Gothic" w:hAnsi="Century Gothic"/>
          <w:b/>
          <w:sz w:val="18"/>
          <w:szCs w:val="18"/>
        </w:rPr>
        <w:t>. 202</w:t>
      </w:r>
      <w:r w:rsidR="00FF3D25" w:rsidRPr="00C413E7">
        <w:rPr>
          <w:rFonts w:ascii="Century Gothic" w:hAnsi="Century Gothic"/>
          <w:b/>
          <w:sz w:val="18"/>
          <w:szCs w:val="18"/>
        </w:rPr>
        <w:t>5</w:t>
      </w:r>
      <w:r w:rsidRPr="00C413E7">
        <w:rPr>
          <w:rFonts w:ascii="Century Gothic" w:hAnsi="Century Gothic"/>
          <w:sz w:val="18"/>
          <w:szCs w:val="18"/>
        </w:rPr>
        <w:t>.</w:t>
      </w:r>
    </w:p>
    <w:p w14:paraId="5AA03923" w14:textId="77777777" w:rsidR="00A2674C" w:rsidRPr="00C413E7" w:rsidRDefault="00A2674C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</w:p>
    <w:p w14:paraId="5378B2A4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IV.</w:t>
      </w:r>
    </w:p>
    <w:p w14:paraId="586A1EAF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Předání a převzetí Díla</w:t>
      </w:r>
    </w:p>
    <w:p w14:paraId="25CC7ADF" w14:textId="177A0837" w:rsidR="00E02E8C" w:rsidRPr="00C413E7" w:rsidRDefault="00E02E8C" w:rsidP="00C413E7">
      <w:pPr>
        <w:pStyle w:val="Odstavecseseznamem"/>
        <w:widowControl w:val="0"/>
        <w:shd w:val="clear" w:color="auto" w:fill="FFFFFF"/>
        <w:spacing w:after="0"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Místo dodání: Oblastní muzeum a galerie v Mostě</w:t>
      </w:r>
      <w:r w:rsidR="00B66E89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, příspěvková organizace, Čsl. </w:t>
      </w:r>
      <w:proofErr w:type="gramStart"/>
      <w:r w:rsidR="00B66E89">
        <w:rPr>
          <w:rFonts w:ascii="Century Gothic" w:eastAsia="Times New Roman" w:hAnsi="Century Gothic" w:cs="Arial"/>
          <w:sz w:val="18"/>
          <w:szCs w:val="18"/>
          <w:lang w:eastAsia="cs-CZ"/>
        </w:rPr>
        <w:t>a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rmády</w:t>
      </w:r>
      <w:proofErr w:type="gramEnd"/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1360/35, 434 01 Most. </w:t>
      </w:r>
    </w:p>
    <w:p w14:paraId="5A9BCB20" w14:textId="77777777" w:rsidR="00E02E8C" w:rsidRPr="00C413E7" w:rsidRDefault="00E02E8C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</w:p>
    <w:p w14:paraId="6CEE0E47" w14:textId="1AA6320B" w:rsidR="00103134" w:rsidRPr="00C413E7" w:rsidRDefault="00103134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K předání a převzetí Díla dojde do dvou dnů od jeho zhotovení, nejpozději však bude dílo zhotoveno i předáno v termínu, které je uvedeno v čl. III této smlouvy.</w:t>
      </w:r>
      <w:r w:rsidR="00565E90" w:rsidRPr="00C413E7">
        <w:rPr>
          <w:rFonts w:ascii="Century Gothic" w:hAnsi="Century Gothic"/>
          <w:sz w:val="18"/>
          <w:szCs w:val="18"/>
        </w:rPr>
        <w:t xml:space="preserve"> </w:t>
      </w:r>
    </w:p>
    <w:p w14:paraId="576DAAAC" w14:textId="77777777" w:rsidR="00E02E8C" w:rsidRPr="00C413E7" w:rsidRDefault="00E02E8C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</w:p>
    <w:p w14:paraId="553AD58A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V.</w:t>
      </w:r>
    </w:p>
    <w:p w14:paraId="349798BE" w14:textId="1BD929AF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Odpovědnost za vady</w:t>
      </w:r>
      <w:r w:rsidRPr="00C413E7">
        <w:rPr>
          <w:rFonts w:ascii="Century Gothic" w:hAnsi="Century Gothic"/>
          <w:sz w:val="18"/>
          <w:szCs w:val="18"/>
        </w:rPr>
        <w:t xml:space="preserve"> </w:t>
      </w:r>
    </w:p>
    <w:p w14:paraId="0CEDA04A" w14:textId="5EA2E86C" w:rsidR="00103134" w:rsidRPr="00C413E7" w:rsidRDefault="00103134" w:rsidP="00A0722B">
      <w:pPr>
        <w:spacing w:after="0"/>
        <w:ind w:left="567"/>
        <w:jc w:val="both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Zhotovitel poskytne na Dílo záruku po dobu</w:t>
      </w:r>
      <w:r w:rsidR="00A0722B">
        <w:rPr>
          <w:rFonts w:ascii="Century Gothic" w:hAnsi="Century Gothic"/>
          <w:sz w:val="18"/>
          <w:szCs w:val="18"/>
        </w:rPr>
        <w:t xml:space="preserve"> 60</w:t>
      </w:r>
      <w:r w:rsidR="00D224DC" w:rsidRPr="00C413E7">
        <w:rPr>
          <w:rFonts w:ascii="Century Gothic" w:hAnsi="Century Gothic"/>
          <w:sz w:val="18"/>
          <w:szCs w:val="18"/>
        </w:rPr>
        <w:t xml:space="preserve"> měsíců</w:t>
      </w:r>
      <w:r w:rsidRPr="00C413E7">
        <w:rPr>
          <w:rFonts w:ascii="Century Gothic" w:hAnsi="Century Gothic"/>
          <w:sz w:val="18"/>
          <w:szCs w:val="18"/>
        </w:rPr>
        <w:t xml:space="preserve"> od předání Díla objednateli. Záruka se nevztahuje na vady díla, které budou způsobené vadami materiálu, který předal zhotoviteli podle čl. III této Smlouvy objednatel.</w:t>
      </w:r>
      <w:r w:rsidR="006E7982" w:rsidRPr="00C413E7">
        <w:rPr>
          <w:rFonts w:ascii="Century Gothic" w:hAnsi="Century Gothic"/>
          <w:sz w:val="18"/>
          <w:szCs w:val="18"/>
        </w:rPr>
        <w:t xml:space="preserve"> </w:t>
      </w:r>
      <w:r w:rsidRPr="00C413E7">
        <w:rPr>
          <w:rFonts w:ascii="Century Gothic" w:hAnsi="Century Gothic"/>
          <w:sz w:val="18"/>
          <w:szCs w:val="18"/>
        </w:rPr>
        <w:t>Zhotovitel se zavazuje předat Dílo bez vad a nedodělků.</w:t>
      </w:r>
    </w:p>
    <w:p w14:paraId="7256471B" w14:textId="77777777" w:rsidR="00103134" w:rsidRPr="00C413E7" w:rsidRDefault="00103134" w:rsidP="00A0722B">
      <w:pPr>
        <w:spacing w:after="0"/>
        <w:ind w:left="567"/>
        <w:jc w:val="both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1DC6DCFA" w14:textId="77777777" w:rsidR="00A2674C" w:rsidRPr="00C413E7" w:rsidRDefault="00A2674C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</w:p>
    <w:p w14:paraId="580A32A2" w14:textId="6F40DA9E" w:rsidR="00BF2F3E" w:rsidRPr="00C413E7" w:rsidRDefault="00BF2F3E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VI.</w:t>
      </w:r>
    </w:p>
    <w:p w14:paraId="1A454A52" w14:textId="1E3217BD" w:rsidR="00BF2F3E" w:rsidRPr="00C413E7" w:rsidRDefault="00BF2F3E" w:rsidP="00C413E7">
      <w:pPr>
        <w:spacing w:after="0"/>
        <w:ind w:left="567"/>
        <w:jc w:val="center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Povinnosti zhotovitele</w:t>
      </w:r>
      <w:r w:rsidRPr="00C413E7">
        <w:rPr>
          <w:rFonts w:ascii="Century Gothic" w:hAnsi="Century Gothic"/>
          <w:sz w:val="18"/>
          <w:szCs w:val="18"/>
        </w:rPr>
        <w:t xml:space="preserve"> </w:t>
      </w:r>
    </w:p>
    <w:p w14:paraId="1A64C324" w14:textId="77777777" w:rsidR="00A0722B" w:rsidRPr="00C413E7" w:rsidRDefault="00A0722B" w:rsidP="00A0722B">
      <w:pPr>
        <w:pStyle w:val="Odstavecseseznamem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V rámci odpovědného plnění veřejné zakázky je zhotovitel povinen:</w:t>
      </w:r>
    </w:p>
    <w:p w14:paraId="269EF5DA" w14:textId="058FBCFE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provádět dílo zejména v souladu s rozhodnutím nebo jiným opatřením stavebního úřadu a s ověřenou projektovou dokumentací, zajistit dodržování povinností k ochraně života, zdraví, životního prostředí a bezpečnosti práce vyplývajících ze zvláštních právních předpisů, zajistit řádné uspořádání místa plnění a provoz na něm a dodržení obecných požadavků na výstavbu, popřípadě jiných technických předpisů a technických norem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</w:t>
      </w:r>
    </w:p>
    <w:p w14:paraId="3B4A6165" w14:textId="0FF52CA8" w:rsidR="00A0722B" w:rsidRPr="00351D4E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351D4E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zajistit v případě existence staveb technické infrastruktury v místě stavby vytýčení tras technické infrastruktury v 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místě jejich střetu se stavbou,</w:t>
      </w:r>
    </w:p>
    <w:p w14:paraId="2F87382F" w14:textId="4382F30A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při plnění předmětu veřejné zakázky legální zaměstnávání, férové a důstojné pracovní podmínky pro všechny osoby, které se budou na plnění předmětu veřejné zakázky podílet.  Zhotovitel je povinen zajistit splnění tohoto požadavku zadavatele i u svých poddodavatelů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</w:p>
    <w:p w14:paraId="71832A67" w14:textId="77AF054B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po celou dobu provádění díla smluvní pojištění pro případ své odpovědnosti za škodu při pracovním úrazu nebo nemoci z povolání svých zaměstnanců – zákonné pojištění zaměstnanců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</w:p>
    <w:p w14:paraId="4FFEAE9F" w14:textId="3837FE38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smluvní zákonné pojištění zaměstnanců a pojištění odpovědnosti za škodu způsobenou třetím osobám také na poddodavatele (</w:t>
      </w:r>
      <w:proofErr w:type="spellStart"/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podzhotovitele</w:t>
      </w:r>
      <w:proofErr w:type="spellEnd"/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)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</w:t>
      </w:r>
    </w:p>
    <w:p w14:paraId="787DF7AE" w14:textId="38EE967B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zajistit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objednatele za konkrétní plnění. Zhotovitel se zavazuje přenést totožnou povinnost do dalších úrovní dodavatelského řetězce a zavázat své poddodavatele k plnění a šíření této povinnosti též do nižších úrovní dodavatelského 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lastRenderedPageBreak/>
        <w:t>řetězce. Objednatel je oprávněn požadovat předložení smlouvy uzavřené mezi zhotovitelem a jeho poddodavatelem k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 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nahlédnutí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</w:p>
    <w:p w14:paraId="1393B9F6" w14:textId="2FA904F0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předcházení vzniku odpadů a prosazovat základní principy ochrany životního prostředí a zdraví lidí při nakládání s odpady a předcházet znečišťování ovzduší a snižování úrovně znečišťování, které může vznik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nout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během plnění díla, odevzdat obalový materiál do zařízení k využití příslušného druhu odpadu. Na vyžádání předloží prodávající kupujícímu doklady o likvidaci odpadu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</w:p>
    <w:p w14:paraId="2551CDA3" w14:textId="1D238B65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užívání prostor místa plnění pouze pro účely související s prováděním díla. Zhotovitel musí zajišťovat čistotu v místě plnění a v jeho okolí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,</w:t>
      </w:r>
    </w:p>
    <w:p w14:paraId="4E4AB3B1" w14:textId="05212430" w:rsidR="00A0722B" w:rsidRPr="00C413E7" w:rsidRDefault="00A0722B" w:rsidP="00A0722B">
      <w:pPr>
        <w:pStyle w:val="Odstavecseseznamem"/>
        <w:numPr>
          <w:ilvl w:val="0"/>
          <w:numId w:val="42"/>
        </w:numPr>
        <w:shd w:val="clear" w:color="auto" w:fill="FFFFFF"/>
        <w:spacing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zajistit v rámci snižování negativních dopadů ze své činnosti na životní prostředí tisk veškerých listinných výstupů předávaných objednateli na papír, který je šetrný k životnímu prostředí, pokud zvláštní použití pro specifické účely nevyžaduje jiný druh papíru a motivovat zaměstnance zhotovitel</w:t>
      </w:r>
      <w:r w:rsidR="00D00B94">
        <w:rPr>
          <w:rFonts w:ascii="Century Gothic" w:eastAsia="Times New Roman" w:hAnsi="Century Gothic" w:cs="Arial"/>
          <w:sz w:val="18"/>
          <w:szCs w:val="18"/>
          <w:lang w:eastAsia="cs-CZ"/>
        </w:rPr>
        <w:t>e</w:t>
      </w: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 xml:space="preserve"> k efektivnímu a úspornému tisku.</w:t>
      </w:r>
    </w:p>
    <w:p w14:paraId="22DC6019" w14:textId="77777777" w:rsidR="00A0722B" w:rsidRPr="00C413E7" w:rsidRDefault="00A0722B" w:rsidP="00A0722B">
      <w:pPr>
        <w:pStyle w:val="Odstavecseseznamem"/>
        <w:shd w:val="clear" w:color="auto" w:fill="FFFFFF"/>
        <w:spacing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</w:p>
    <w:p w14:paraId="7B5F6DE7" w14:textId="77777777" w:rsidR="00A0722B" w:rsidRPr="00C413E7" w:rsidRDefault="00A0722B" w:rsidP="00A0722B">
      <w:pPr>
        <w:pStyle w:val="Odstavecseseznamem"/>
        <w:shd w:val="clear" w:color="auto" w:fill="FFFFFF"/>
        <w:spacing w:line="240" w:lineRule="exact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Arial"/>
          <w:sz w:val="18"/>
          <w:szCs w:val="18"/>
          <w:lang w:eastAsia="cs-CZ"/>
        </w:rPr>
        <w:t>Zhotovitel podpisem této smlouvy přebírá povinnosti uvedené v tomto odstavci k odpovědnému plnění veřejné zakázky. Objednatel je oprávněn plnění těchto povinností kdykoliv kontrolovat, a to bez předchozího ohlášení zhotoviteli. Jeli k provedení kontroly potřeba předložení souvisejících dokumentů, zavazuje se zhotovitel k jejich předložení nejpozději do 2 pracovních dnů od doručení výzvy objednat.</w:t>
      </w:r>
    </w:p>
    <w:p w14:paraId="71183251" w14:textId="77777777" w:rsidR="00A2674C" w:rsidRPr="00C413E7" w:rsidRDefault="00A2674C" w:rsidP="00C413E7">
      <w:pPr>
        <w:shd w:val="clear" w:color="auto" w:fill="FFFFFF"/>
        <w:spacing w:after="0"/>
        <w:ind w:left="567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0FF916F5" w14:textId="761EEC95" w:rsidR="00A2674C" w:rsidRPr="00C413E7" w:rsidRDefault="00A2674C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VII.</w:t>
      </w:r>
    </w:p>
    <w:p w14:paraId="785C3DF8" w14:textId="69700AEF" w:rsidR="00A2674C" w:rsidRPr="00C413E7" w:rsidRDefault="00A2674C" w:rsidP="00C413E7">
      <w:pPr>
        <w:spacing w:after="0"/>
        <w:ind w:left="567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hAnsi="Century Gothic"/>
          <w:b/>
          <w:sz w:val="18"/>
          <w:szCs w:val="18"/>
        </w:rPr>
        <w:t>Porušení smluvních ujednání</w:t>
      </w:r>
    </w:p>
    <w:p w14:paraId="5DFA7D81" w14:textId="77777777" w:rsidR="00A2674C" w:rsidRPr="00C413E7" w:rsidRDefault="00A2674C" w:rsidP="00C413E7">
      <w:pPr>
        <w:shd w:val="clear" w:color="auto" w:fill="FFFFFF"/>
        <w:tabs>
          <w:tab w:val="left" w:pos="284"/>
          <w:tab w:val="left" w:pos="426"/>
          <w:tab w:val="left" w:pos="851"/>
        </w:tabs>
        <w:spacing w:after="0"/>
        <w:ind w:left="567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Smluvní strany se dohodly na následujících sankcích za porušení smluvních povinností:</w:t>
      </w:r>
    </w:p>
    <w:p w14:paraId="6DADA0B1" w14:textId="77777777" w:rsidR="00A2674C" w:rsidRPr="00C413E7" w:rsidRDefault="00A2674C" w:rsidP="00C413E7">
      <w:pPr>
        <w:pStyle w:val="Odstavecseseznamem"/>
        <w:numPr>
          <w:ilvl w:val="0"/>
          <w:numId w:val="31"/>
        </w:numPr>
        <w:shd w:val="clear" w:color="auto" w:fill="FFFFFF"/>
        <w:spacing w:after="0"/>
        <w:ind w:left="567" w:firstLine="0"/>
        <w:jc w:val="both"/>
        <w:rPr>
          <w:rFonts w:ascii="Century Gothic" w:eastAsia="Times New Roman" w:hAnsi="Century Gothic" w:cs="Calibri Light"/>
          <w:vanish/>
          <w:sz w:val="18"/>
          <w:szCs w:val="18"/>
          <w:lang w:eastAsia="cs-CZ"/>
        </w:rPr>
      </w:pPr>
    </w:p>
    <w:p w14:paraId="38FA968B" w14:textId="6E2A685C" w:rsidR="00A2674C" w:rsidRPr="00C413E7" w:rsidRDefault="00A2674C" w:rsidP="00C413E7">
      <w:pPr>
        <w:pStyle w:val="Odstavecseseznamem"/>
        <w:numPr>
          <w:ilvl w:val="0"/>
          <w:numId w:val="38"/>
        </w:numPr>
        <w:shd w:val="clear" w:color="auto" w:fill="FFFFFF"/>
        <w:spacing w:after="0"/>
        <w:ind w:left="567" w:firstLine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zhotovitel se zavazuje zaplatit objednateli za každý den překročení sjednané doby plnění díla smluvní pokutu ve výši 0,2 % z celkové ceny díla v Kč bez DPH;</w:t>
      </w:r>
    </w:p>
    <w:p w14:paraId="1E3D2A31" w14:textId="77777777" w:rsidR="00A2674C" w:rsidRPr="00C413E7" w:rsidRDefault="00A2674C" w:rsidP="00C413E7">
      <w:pPr>
        <w:pStyle w:val="Odstavecseseznamem"/>
        <w:numPr>
          <w:ilvl w:val="0"/>
          <w:numId w:val="38"/>
        </w:numPr>
        <w:shd w:val="clear" w:color="auto" w:fill="FFFFFF"/>
        <w:spacing w:after="0"/>
        <w:ind w:left="567" w:firstLine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zhotovitel se zavazuje zaplatit za každé opakované porušení povinností uvedených v této smlouvě, na které bude písemným zápisem upozorněn objednatelem (popřípadě technickým dozorem stavebníka), a ve stanoveném termínu nesjedná patřičnou nápravu, smluvní pokutu ve výši 3 000,00 Kč, a to za jednotlivé porušení a den prodlení až do provedení nápravy;</w:t>
      </w:r>
    </w:p>
    <w:p w14:paraId="29599F54" w14:textId="77777777" w:rsidR="00A2674C" w:rsidRPr="00C413E7" w:rsidRDefault="00A2674C" w:rsidP="00C413E7">
      <w:pPr>
        <w:pStyle w:val="Odstavecseseznamem"/>
        <w:numPr>
          <w:ilvl w:val="0"/>
          <w:numId w:val="38"/>
        </w:numPr>
        <w:shd w:val="clear" w:color="auto" w:fill="FFFFFF"/>
        <w:spacing w:after="0"/>
        <w:ind w:left="567" w:firstLine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smluvní strany se zavazují zaplatit za každý den překročení sjednaného termínu splatnosti kteréhokoliv peněžitého závazku úrok z prodlení ve výši 0,05 % z neuhrazené částky do jejího zaplacení;</w:t>
      </w:r>
    </w:p>
    <w:p w14:paraId="647BCE1B" w14:textId="54321577" w:rsidR="00A2674C" w:rsidRPr="00C413E7" w:rsidRDefault="00D00B94" w:rsidP="00C413E7">
      <w:pPr>
        <w:pStyle w:val="Odstavecseseznamem"/>
        <w:numPr>
          <w:ilvl w:val="0"/>
          <w:numId w:val="38"/>
        </w:numPr>
        <w:shd w:val="clear" w:color="auto" w:fill="FFFFFF"/>
        <w:spacing w:after="0"/>
        <w:ind w:left="567" w:firstLine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o</w:t>
      </w:r>
      <w:r w:rsidR="00A2674C"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>bjednatel má právo na náhradu škody vzniklou z porušení povinnosti, ke kterému se vztahuje smluvní pokuta.  Náhrada škody zahrnuje skutečnou škodu a ušlý zisk.</w:t>
      </w:r>
    </w:p>
    <w:p w14:paraId="484F42EA" w14:textId="77777777" w:rsidR="00A2674C" w:rsidRPr="00C413E7" w:rsidRDefault="00A2674C" w:rsidP="00C413E7">
      <w:pPr>
        <w:pStyle w:val="Odstavecseseznamem"/>
        <w:shd w:val="clear" w:color="auto" w:fill="FFFFFF"/>
        <w:spacing w:after="0"/>
        <w:ind w:left="567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79CF1F1" w14:textId="1B66F43C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V</w:t>
      </w:r>
      <w:r w:rsidR="00A2674C" w:rsidRPr="00C413E7">
        <w:rPr>
          <w:rFonts w:ascii="Century Gothic" w:hAnsi="Century Gothic"/>
          <w:b/>
          <w:sz w:val="18"/>
          <w:szCs w:val="18"/>
        </w:rPr>
        <w:t>I</w:t>
      </w:r>
      <w:r w:rsidRPr="00C413E7">
        <w:rPr>
          <w:rFonts w:ascii="Century Gothic" w:hAnsi="Century Gothic"/>
          <w:b/>
          <w:sz w:val="18"/>
          <w:szCs w:val="18"/>
        </w:rPr>
        <w:t>I</w:t>
      </w:r>
      <w:r w:rsidR="00BF2F3E" w:rsidRPr="00C413E7">
        <w:rPr>
          <w:rFonts w:ascii="Century Gothic" w:hAnsi="Century Gothic"/>
          <w:b/>
          <w:sz w:val="18"/>
          <w:szCs w:val="18"/>
        </w:rPr>
        <w:t>I</w:t>
      </w:r>
      <w:r w:rsidRPr="00C413E7">
        <w:rPr>
          <w:rFonts w:ascii="Century Gothic" w:hAnsi="Century Gothic"/>
          <w:b/>
          <w:sz w:val="18"/>
          <w:szCs w:val="18"/>
        </w:rPr>
        <w:t>.</w:t>
      </w:r>
    </w:p>
    <w:p w14:paraId="0AFA8C7C" w14:textId="77777777" w:rsidR="00103134" w:rsidRPr="00C413E7" w:rsidRDefault="00103134" w:rsidP="00C413E7">
      <w:pPr>
        <w:spacing w:after="0"/>
        <w:ind w:left="567"/>
        <w:jc w:val="center"/>
        <w:rPr>
          <w:rFonts w:ascii="Century Gothic" w:hAnsi="Century Gothic"/>
          <w:b/>
          <w:sz w:val="18"/>
          <w:szCs w:val="18"/>
        </w:rPr>
      </w:pPr>
      <w:r w:rsidRPr="00C413E7">
        <w:rPr>
          <w:rFonts w:ascii="Century Gothic" w:hAnsi="Century Gothic"/>
          <w:b/>
          <w:sz w:val="18"/>
          <w:szCs w:val="18"/>
        </w:rPr>
        <w:t>Závěrečná ustanovení</w:t>
      </w:r>
    </w:p>
    <w:p w14:paraId="4C797C31" w14:textId="77777777" w:rsidR="00103134" w:rsidRPr="00C413E7" w:rsidRDefault="00103134" w:rsidP="00C413E7">
      <w:pPr>
        <w:spacing w:after="0"/>
        <w:ind w:left="567"/>
        <w:jc w:val="both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519FA3A2" w14:textId="23C6DDA8" w:rsidR="00BF2F3E" w:rsidRPr="00C413E7" w:rsidRDefault="00BF2F3E" w:rsidP="00C413E7">
      <w:pPr>
        <w:spacing w:after="0"/>
        <w:ind w:left="567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Tato smlouva nabývá platnosti dnem podpisu oprávněnými osobami obou smluvních stran. Je-li u podpisů smluvních stran uvedeno více dat, platí datum nejpozdější. Tato smlouva nabývá účinnosti dnem jejího uveřejnění prostřednictvím registru smluv dle zákona č. 340/2015 Sb., o registru smluv. </w:t>
      </w:r>
    </w:p>
    <w:p w14:paraId="1A7B0B57" w14:textId="4C00F64B" w:rsidR="00BF2F3E" w:rsidRPr="00C413E7" w:rsidRDefault="00BF2F3E" w:rsidP="00C413E7">
      <w:pPr>
        <w:spacing w:after="0"/>
        <w:ind w:left="567"/>
        <w:jc w:val="both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Smluvní strany se vzájemně dohodly, že k zajištění uveřejnění smlouvy prostřednictvím registru smluv v souladu se zákonem č. 340/2015 Sb. se tímto zavazuje </w:t>
      </w:r>
      <w:r w:rsidR="005C4F7B" w:rsidRPr="00C413E7">
        <w:rPr>
          <w:rFonts w:ascii="Century Gothic" w:hAnsi="Century Gothic" w:cs="Calibri Light"/>
          <w:sz w:val="18"/>
          <w:szCs w:val="18"/>
        </w:rPr>
        <w:t>objednatel</w:t>
      </w:r>
      <w:r w:rsidRPr="00C413E7">
        <w:rPr>
          <w:rFonts w:ascii="Century Gothic" w:hAnsi="Century Gothic" w:cs="Calibri Light"/>
          <w:sz w:val="18"/>
          <w:szCs w:val="18"/>
        </w:rPr>
        <w:t>.</w:t>
      </w:r>
    </w:p>
    <w:p w14:paraId="2E932691" w14:textId="77777777" w:rsidR="00103134" w:rsidRPr="00C413E7" w:rsidRDefault="00103134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Smlouva byla vyhotovena ve dvou stejnopisech, z nichž každá Smluvní strana obdrží po jednom vyhotovení.</w:t>
      </w:r>
    </w:p>
    <w:p w14:paraId="2293696D" w14:textId="77777777" w:rsidR="00103134" w:rsidRPr="00C413E7" w:rsidRDefault="00103134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  <w:r w:rsidRPr="00C413E7">
        <w:rPr>
          <w:rFonts w:ascii="Century Gothic" w:hAnsi="Century Gothic"/>
          <w:sz w:val="18"/>
          <w:szCs w:val="18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F3236EC" w14:textId="77777777" w:rsidR="00A2674C" w:rsidRPr="00C413E7" w:rsidRDefault="00A2674C" w:rsidP="00C413E7">
      <w:pPr>
        <w:spacing w:after="0"/>
        <w:ind w:left="567"/>
        <w:rPr>
          <w:rFonts w:ascii="Century Gothic" w:hAnsi="Century Gothic"/>
          <w:sz w:val="18"/>
          <w:szCs w:val="18"/>
        </w:rPr>
      </w:pPr>
    </w:p>
    <w:p w14:paraId="2C5BAACC" w14:textId="5C87D206" w:rsidR="00041C31" w:rsidRPr="00C413E7" w:rsidRDefault="009D4B24" w:rsidP="00C413E7">
      <w:pPr>
        <w:spacing w:after="0"/>
        <w:ind w:left="567"/>
        <w:jc w:val="both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C413E7">
        <w:rPr>
          <w:rFonts w:ascii="Century Gothic" w:hAnsi="Century Gothic" w:cs="Calibri Light"/>
          <w:sz w:val="18"/>
          <w:szCs w:val="18"/>
        </w:rPr>
        <w:t>V</w:t>
      </w:r>
      <w:r w:rsidR="00A2674C" w:rsidRPr="00C413E7">
        <w:rPr>
          <w:rFonts w:ascii="Century Gothic" w:hAnsi="Century Gothic" w:cs="Calibri Light"/>
          <w:sz w:val="18"/>
          <w:szCs w:val="18"/>
        </w:rPr>
        <w:t> Mostě dne</w:t>
      </w:r>
      <w:r w:rsidR="00041C31" w:rsidRPr="00C413E7">
        <w:rPr>
          <w:rFonts w:ascii="Century Gothic" w:hAnsi="Century Gothic"/>
          <w:sz w:val="18"/>
          <w:szCs w:val="18"/>
        </w:rPr>
        <w:t xml:space="preserve"> </w:t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/>
          <w:sz w:val="18"/>
          <w:szCs w:val="18"/>
        </w:rPr>
        <w:tab/>
      </w:r>
      <w:r w:rsidR="00A2674C" w:rsidRPr="00C413E7">
        <w:rPr>
          <w:rFonts w:ascii="Century Gothic" w:hAnsi="Century Gothic"/>
          <w:sz w:val="18"/>
          <w:szCs w:val="18"/>
        </w:rPr>
        <w:tab/>
      </w:r>
      <w:r w:rsidR="00041C31" w:rsidRPr="00C413E7">
        <w:rPr>
          <w:rFonts w:ascii="Century Gothic" w:hAnsi="Century Gothic" w:cs="Calibri Light"/>
          <w:sz w:val="18"/>
          <w:szCs w:val="18"/>
        </w:rPr>
        <w:t>V</w:t>
      </w:r>
      <w:r w:rsidR="00A2674C" w:rsidRPr="00C413E7">
        <w:rPr>
          <w:rFonts w:ascii="Century Gothic" w:hAnsi="Century Gothic" w:cs="Calibri Light"/>
          <w:sz w:val="18"/>
          <w:szCs w:val="18"/>
        </w:rPr>
        <w:t> </w:t>
      </w:r>
      <w:r w:rsidR="00002C22" w:rsidRPr="00C413E7">
        <w:rPr>
          <w:rFonts w:ascii="Century Gothic" w:hAnsi="Century Gothic" w:cs="Calibri Light"/>
          <w:sz w:val="18"/>
          <w:szCs w:val="18"/>
        </w:rPr>
        <w:t>Mostě</w:t>
      </w:r>
      <w:r w:rsidR="00A2674C" w:rsidRPr="00C413E7">
        <w:rPr>
          <w:rFonts w:ascii="Century Gothic" w:hAnsi="Century Gothic" w:cs="Calibri Light"/>
          <w:sz w:val="18"/>
          <w:szCs w:val="18"/>
        </w:rPr>
        <w:t xml:space="preserve"> dne</w:t>
      </w:r>
    </w:p>
    <w:p w14:paraId="6C151CA4" w14:textId="619126A4" w:rsidR="00041C31" w:rsidRPr="00C413E7" w:rsidRDefault="00041C31" w:rsidP="00C413E7">
      <w:pPr>
        <w:spacing w:after="0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  <w:t xml:space="preserve"> </w:t>
      </w:r>
    </w:p>
    <w:p w14:paraId="365E498F" w14:textId="77777777" w:rsidR="00041C31" w:rsidRPr="00C413E7" w:rsidRDefault="00041C31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</w:p>
    <w:p w14:paraId="50F0F6E2" w14:textId="1330A30B" w:rsidR="00041C31" w:rsidRPr="00C413E7" w:rsidRDefault="00041C31" w:rsidP="00C413E7">
      <w:pPr>
        <w:spacing w:after="0" w:line="240" w:lineRule="auto"/>
        <w:ind w:left="567"/>
        <w:rPr>
          <w:rFonts w:ascii="Century Gothic" w:hAnsi="Century Gothic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>………………………………</w:t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  <w:t>………………………………</w:t>
      </w:r>
    </w:p>
    <w:p w14:paraId="3FDFF4FD" w14:textId="43F5603D" w:rsidR="00041C31" w:rsidRPr="00A2674C" w:rsidRDefault="00041C31" w:rsidP="00C413E7">
      <w:pPr>
        <w:spacing w:after="0" w:line="240" w:lineRule="auto"/>
        <w:ind w:left="567"/>
        <w:rPr>
          <w:rFonts w:ascii="Calibri Light" w:hAnsi="Calibri Light" w:cs="Calibri Light"/>
          <w:sz w:val="18"/>
          <w:szCs w:val="18"/>
        </w:rPr>
      </w:pPr>
      <w:r w:rsidRPr="00C413E7">
        <w:rPr>
          <w:rFonts w:ascii="Century Gothic" w:hAnsi="Century Gothic" w:cs="Calibri Light"/>
          <w:sz w:val="18"/>
          <w:szCs w:val="18"/>
        </w:rPr>
        <w:t xml:space="preserve">      Zhotovitel</w:t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</w:r>
      <w:r w:rsidRPr="00C413E7">
        <w:rPr>
          <w:rFonts w:ascii="Century Gothic" w:hAnsi="Century Gothic" w:cs="Calibri Light"/>
          <w:sz w:val="18"/>
          <w:szCs w:val="18"/>
        </w:rPr>
        <w:tab/>
        <w:t xml:space="preserve">          Objednatel</w:t>
      </w:r>
      <w:r w:rsidRPr="00C413E7">
        <w:rPr>
          <w:rFonts w:ascii="Calibri Light" w:hAnsi="Calibri Light" w:cs="Calibri Light"/>
          <w:sz w:val="18"/>
          <w:szCs w:val="18"/>
        </w:rPr>
        <w:tab/>
      </w:r>
      <w:r w:rsidRPr="00C413E7">
        <w:rPr>
          <w:rFonts w:ascii="Calibri Light" w:hAnsi="Calibri Light" w:cs="Calibri Light"/>
          <w:sz w:val="18"/>
          <w:szCs w:val="18"/>
        </w:rPr>
        <w:tab/>
      </w:r>
      <w:r w:rsidRPr="00A2674C">
        <w:rPr>
          <w:rFonts w:ascii="Calibri Light" w:hAnsi="Calibri Light" w:cs="Calibri Light"/>
          <w:sz w:val="18"/>
          <w:szCs w:val="18"/>
        </w:rPr>
        <w:t xml:space="preserve">       </w:t>
      </w:r>
    </w:p>
    <w:p w14:paraId="0FA998E1" w14:textId="77777777" w:rsidR="00BC2EE5" w:rsidRPr="00A2674C" w:rsidRDefault="00BC2EE5" w:rsidP="00C413E7">
      <w:pPr>
        <w:spacing w:after="0" w:line="240" w:lineRule="auto"/>
        <w:ind w:left="567"/>
        <w:rPr>
          <w:rFonts w:ascii="Calibri Light" w:hAnsi="Calibri Light" w:cs="Calibri Light"/>
          <w:sz w:val="18"/>
          <w:szCs w:val="18"/>
        </w:rPr>
      </w:pPr>
    </w:p>
    <w:p w14:paraId="785AB57E" w14:textId="77777777" w:rsidR="005C6D3D" w:rsidRPr="00A2674C" w:rsidRDefault="005C6D3D" w:rsidP="00C413E7">
      <w:pPr>
        <w:spacing w:after="0" w:line="240" w:lineRule="auto"/>
        <w:ind w:left="567"/>
        <w:rPr>
          <w:rFonts w:ascii="Calibri Light" w:hAnsi="Calibri Light" w:cs="Calibri Light"/>
          <w:sz w:val="18"/>
          <w:szCs w:val="18"/>
        </w:rPr>
      </w:pPr>
    </w:p>
    <w:p w14:paraId="4AF1A719" w14:textId="77777777" w:rsidR="005C6D3D" w:rsidRPr="00A2674C" w:rsidRDefault="005C6D3D" w:rsidP="00C413E7">
      <w:pPr>
        <w:spacing w:after="0" w:line="240" w:lineRule="auto"/>
        <w:ind w:left="567"/>
        <w:rPr>
          <w:rFonts w:ascii="Calibri Light" w:hAnsi="Calibri Light" w:cs="Calibri Light"/>
          <w:sz w:val="18"/>
          <w:szCs w:val="18"/>
        </w:rPr>
      </w:pPr>
    </w:p>
    <w:p w14:paraId="50ED9D02" w14:textId="77777777" w:rsidR="001A3C80" w:rsidRPr="00A2674C" w:rsidRDefault="001A3C80" w:rsidP="00C413E7">
      <w:pPr>
        <w:spacing w:line="240" w:lineRule="auto"/>
        <w:ind w:left="567"/>
        <w:rPr>
          <w:rFonts w:ascii="Calibri Light" w:hAnsi="Calibri Light" w:cs="Calibri Light"/>
          <w:sz w:val="18"/>
          <w:szCs w:val="18"/>
        </w:rPr>
      </w:pPr>
    </w:p>
    <w:sectPr w:rsidR="001A3C80" w:rsidRPr="00A2674C" w:rsidSect="00F64E62">
      <w:type w:val="continuous"/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3AF43" w14:textId="77777777" w:rsidR="009F0590" w:rsidRDefault="009F0590" w:rsidP="00944D09">
      <w:pPr>
        <w:spacing w:after="0" w:line="240" w:lineRule="auto"/>
      </w:pPr>
      <w:r>
        <w:separator/>
      </w:r>
    </w:p>
  </w:endnote>
  <w:endnote w:type="continuationSeparator" w:id="0">
    <w:p w14:paraId="440CF892" w14:textId="77777777" w:rsidR="009F0590" w:rsidRDefault="009F0590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143278"/>
      <w:docPartObj>
        <w:docPartGallery w:val="Page Numbers (Bottom of Page)"/>
        <w:docPartUnique/>
      </w:docPartObj>
    </w:sdtPr>
    <w:sdtEndPr/>
    <w:sdtContent>
      <w:p w14:paraId="24B2C595" w14:textId="43A42760" w:rsidR="009F0590" w:rsidRDefault="009F05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64">
          <w:rPr>
            <w:noProof/>
          </w:rPr>
          <w:t>3</w:t>
        </w:r>
        <w:r>
          <w:fldChar w:fldCharType="end"/>
        </w:r>
      </w:p>
    </w:sdtContent>
  </w:sdt>
  <w:p w14:paraId="42E7D094" w14:textId="77777777" w:rsidR="009F0590" w:rsidRDefault="009F0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956EA" w14:textId="77777777" w:rsidR="009F0590" w:rsidRDefault="009F0590" w:rsidP="00944D09">
      <w:pPr>
        <w:spacing w:after="0" w:line="240" w:lineRule="auto"/>
      </w:pPr>
      <w:r>
        <w:separator/>
      </w:r>
    </w:p>
  </w:footnote>
  <w:footnote w:type="continuationSeparator" w:id="0">
    <w:p w14:paraId="169ABC71" w14:textId="77777777" w:rsidR="009F0590" w:rsidRDefault="009F0590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DE4" w14:textId="0ED372AF" w:rsidR="009F0590" w:rsidRDefault="009F0590" w:rsidP="00D61BD8">
    <w:pPr>
      <w:pStyle w:val="Zhlav"/>
      <w:tabs>
        <w:tab w:val="clear" w:pos="4536"/>
        <w:tab w:val="clear" w:pos="9072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063FE"/>
    <w:multiLevelType w:val="hybridMultilevel"/>
    <w:tmpl w:val="BD363A38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24EE2AE">
      <w:start w:val="3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96818"/>
    <w:multiLevelType w:val="hybridMultilevel"/>
    <w:tmpl w:val="3BC67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1784EDD"/>
    <w:multiLevelType w:val="hybridMultilevel"/>
    <w:tmpl w:val="F48C5400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503"/>
    <w:multiLevelType w:val="multilevel"/>
    <w:tmpl w:val="88E43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F07B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812521"/>
    <w:multiLevelType w:val="hybridMultilevel"/>
    <w:tmpl w:val="23CCA23C"/>
    <w:lvl w:ilvl="0" w:tplc="7E48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D7007"/>
    <w:multiLevelType w:val="hybridMultilevel"/>
    <w:tmpl w:val="25CC4A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25C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411F"/>
    <w:multiLevelType w:val="hybridMultilevel"/>
    <w:tmpl w:val="6B5C2AF4"/>
    <w:lvl w:ilvl="0" w:tplc="E11468B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F0E27"/>
    <w:multiLevelType w:val="multilevel"/>
    <w:tmpl w:val="478AD226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57DC8"/>
    <w:multiLevelType w:val="multilevel"/>
    <w:tmpl w:val="6CBAB16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"/>
        </w:tabs>
        <w:ind w:left="201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"/>
        </w:tabs>
        <w:ind w:left="12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42"/>
        </w:tabs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36"/>
        </w:tabs>
        <w:ind w:left="-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4"/>
        </w:tabs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hint="default"/>
      </w:rPr>
    </w:lvl>
  </w:abstractNum>
  <w:abstractNum w:abstractNumId="21" w15:restartNumberingAfterBreak="0">
    <w:nsid w:val="426B53EA"/>
    <w:multiLevelType w:val="multilevel"/>
    <w:tmpl w:val="A648A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BB1121"/>
    <w:multiLevelType w:val="hybridMultilevel"/>
    <w:tmpl w:val="BFEEC406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43EBC"/>
    <w:multiLevelType w:val="hybridMultilevel"/>
    <w:tmpl w:val="966ACA94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B35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4093717"/>
    <w:multiLevelType w:val="multilevel"/>
    <w:tmpl w:val="1CC29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D81F4A"/>
    <w:multiLevelType w:val="hybridMultilevel"/>
    <w:tmpl w:val="82E4C8C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5D1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 w15:restartNumberingAfterBreak="0">
    <w:nsid w:val="555E3163"/>
    <w:multiLevelType w:val="multilevel"/>
    <w:tmpl w:val="0405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9" w15:restartNumberingAfterBreak="0">
    <w:nsid w:val="558B0E1E"/>
    <w:multiLevelType w:val="hybridMultilevel"/>
    <w:tmpl w:val="2116D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46987"/>
    <w:multiLevelType w:val="hybridMultilevel"/>
    <w:tmpl w:val="2346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47A"/>
    <w:multiLevelType w:val="hybridMultilevel"/>
    <w:tmpl w:val="FC923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5133F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6259CC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046E84"/>
    <w:multiLevelType w:val="hybridMultilevel"/>
    <w:tmpl w:val="E446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0A59A7"/>
    <w:multiLevelType w:val="hybridMultilevel"/>
    <w:tmpl w:val="2D4C120C"/>
    <w:lvl w:ilvl="0" w:tplc="BA748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6F68C6"/>
    <w:multiLevelType w:val="hybridMultilevel"/>
    <w:tmpl w:val="3CDC451A"/>
    <w:lvl w:ilvl="0" w:tplc="B1DCF636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9E04AC3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D1871"/>
    <w:multiLevelType w:val="hybridMultilevel"/>
    <w:tmpl w:val="CCB86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2"/>
  </w:num>
  <w:num w:numId="4">
    <w:abstractNumId w:val="13"/>
  </w:num>
  <w:num w:numId="5">
    <w:abstractNumId w:val="6"/>
  </w:num>
  <w:num w:numId="6">
    <w:abstractNumId w:val="14"/>
  </w:num>
  <w:num w:numId="7">
    <w:abstractNumId w:val="16"/>
  </w:num>
  <w:num w:numId="8">
    <w:abstractNumId w:val="3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39"/>
  </w:num>
  <w:num w:numId="13">
    <w:abstractNumId w:val="19"/>
  </w:num>
  <w:num w:numId="14">
    <w:abstractNumId w:val="2"/>
  </w:num>
  <w:num w:numId="15">
    <w:abstractNumId w:val="10"/>
  </w:num>
  <w:num w:numId="16">
    <w:abstractNumId w:val="31"/>
  </w:num>
  <w:num w:numId="17">
    <w:abstractNumId w:val="29"/>
  </w:num>
  <w:num w:numId="18">
    <w:abstractNumId w:val="20"/>
  </w:num>
  <w:num w:numId="19">
    <w:abstractNumId w:val="12"/>
  </w:num>
  <w:num w:numId="20">
    <w:abstractNumId w:val="0"/>
  </w:num>
  <w:num w:numId="21">
    <w:abstractNumId w:val="15"/>
  </w:num>
  <w:num w:numId="22">
    <w:abstractNumId w:val="17"/>
  </w:num>
  <w:num w:numId="23">
    <w:abstractNumId w:val="23"/>
  </w:num>
  <w:num w:numId="24">
    <w:abstractNumId w:val="22"/>
  </w:num>
  <w:num w:numId="25">
    <w:abstractNumId w:val="26"/>
  </w:num>
  <w:num w:numId="26">
    <w:abstractNumId w:val="24"/>
  </w:num>
  <w:num w:numId="27">
    <w:abstractNumId w:val="7"/>
  </w:num>
  <w:num w:numId="28">
    <w:abstractNumId w:val="28"/>
  </w:num>
  <w:num w:numId="29">
    <w:abstractNumId w:val="27"/>
  </w:num>
  <w:num w:numId="30">
    <w:abstractNumId w:val="18"/>
  </w:num>
  <w:num w:numId="31">
    <w:abstractNumId w:val="25"/>
  </w:num>
  <w:num w:numId="32">
    <w:abstractNumId w:val="34"/>
  </w:num>
  <w:num w:numId="33">
    <w:abstractNumId w:val="40"/>
  </w:num>
  <w:num w:numId="34">
    <w:abstractNumId w:val="21"/>
  </w:num>
  <w:num w:numId="35">
    <w:abstractNumId w:val="8"/>
  </w:num>
  <w:num w:numId="36">
    <w:abstractNumId w:val="5"/>
  </w:num>
  <w:num w:numId="37">
    <w:abstractNumId w:val="30"/>
  </w:num>
  <w:num w:numId="38">
    <w:abstractNumId w:val="35"/>
  </w:num>
  <w:num w:numId="39">
    <w:abstractNumId w:val="9"/>
  </w:num>
  <w:num w:numId="40">
    <w:abstractNumId w:val="3"/>
  </w:num>
  <w:num w:numId="41">
    <w:abstractNumId w:val="41"/>
  </w:num>
  <w:num w:numId="42">
    <w:abstractNumId w:val="3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02C22"/>
    <w:rsid w:val="00041C31"/>
    <w:rsid w:val="00046ECC"/>
    <w:rsid w:val="0006112E"/>
    <w:rsid w:val="00073303"/>
    <w:rsid w:val="00073E94"/>
    <w:rsid w:val="00084AE0"/>
    <w:rsid w:val="0009214D"/>
    <w:rsid w:val="000A28EF"/>
    <w:rsid w:val="000B0C8E"/>
    <w:rsid w:val="000B55CF"/>
    <w:rsid w:val="000B6F13"/>
    <w:rsid w:val="000B70AB"/>
    <w:rsid w:val="000D1D66"/>
    <w:rsid w:val="00103134"/>
    <w:rsid w:val="00114CAA"/>
    <w:rsid w:val="001351E5"/>
    <w:rsid w:val="001643C6"/>
    <w:rsid w:val="00166A39"/>
    <w:rsid w:val="001675B7"/>
    <w:rsid w:val="00174ACA"/>
    <w:rsid w:val="001A364A"/>
    <w:rsid w:val="001A3C80"/>
    <w:rsid w:val="001A764D"/>
    <w:rsid w:val="001B0CAF"/>
    <w:rsid w:val="001B48CB"/>
    <w:rsid w:val="001D2714"/>
    <w:rsid w:val="001E2204"/>
    <w:rsid w:val="001F4A31"/>
    <w:rsid w:val="00234318"/>
    <w:rsid w:val="00237826"/>
    <w:rsid w:val="002448A4"/>
    <w:rsid w:val="002518C7"/>
    <w:rsid w:val="00255A0F"/>
    <w:rsid w:val="0025694B"/>
    <w:rsid w:val="00280A7D"/>
    <w:rsid w:val="00284D67"/>
    <w:rsid w:val="00296EBF"/>
    <w:rsid w:val="002A2D75"/>
    <w:rsid w:val="002A3327"/>
    <w:rsid w:val="002C0A76"/>
    <w:rsid w:val="002C38D8"/>
    <w:rsid w:val="002E121F"/>
    <w:rsid w:val="002F1DBE"/>
    <w:rsid w:val="00351D4E"/>
    <w:rsid w:val="00353664"/>
    <w:rsid w:val="00386E8E"/>
    <w:rsid w:val="003B6F41"/>
    <w:rsid w:val="003C3BFB"/>
    <w:rsid w:val="003C7C2B"/>
    <w:rsid w:val="003F0F4F"/>
    <w:rsid w:val="003F3CD8"/>
    <w:rsid w:val="004058CF"/>
    <w:rsid w:val="00411071"/>
    <w:rsid w:val="0041156F"/>
    <w:rsid w:val="0041518F"/>
    <w:rsid w:val="004165E4"/>
    <w:rsid w:val="00421C09"/>
    <w:rsid w:val="0044018D"/>
    <w:rsid w:val="004418EA"/>
    <w:rsid w:val="00464BD9"/>
    <w:rsid w:val="004772E3"/>
    <w:rsid w:val="004C5DC6"/>
    <w:rsid w:val="004D6A39"/>
    <w:rsid w:val="004D7C21"/>
    <w:rsid w:val="004E3FF9"/>
    <w:rsid w:val="004E42DE"/>
    <w:rsid w:val="004E5A50"/>
    <w:rsid w:val="004F0DC9"/>
    <w:rsid w:val="00505650"/>
    <w:rsid w:val="00522F3E"/>
    <w:rsid w:val="00541DE2"/>
    <w:rsid w:val="00547C07"/>
    <w:rsid w:val="005519D2"/>
    <w:rsid w:val="00556430"/>
    <w:rsid w:val="00565E90"/>
    <w:rsid w:val="00566658"/>
    <w:rsid w:val="00582353"/>
    <w:rsid w:val="00591E0B"/>
    <w:rsid w:val="005B403C"/>
    <w:rsid w:val="005C4F7B"/>
    <w:rsid w:val="005C6D3D"/>
    <w:rsid w:val="005D4144"/>
    <w:rsid w:val="00602E06"/>
    <w:rsid w:val="0061401B"/>
    <w:rsid w:val="006145DC"/>
    <w:rsid w:val="00622BB4"/>
    <w:rsid w:val="00623963"/>
    <w:rsid w:val="006445CD"/>
    <w:rsid w:val="006527AD"/>
    <w:rsid w:val="00681E71"/>
    <w:rsid w:val="00693C5A"/>
    <w:rsid w:val="00695384"/>
    <w:rsid w:val="006B242E"/>
    <w:rsid w:val="006C715F"/>
    <w:rsid w:val="006D1E1E"/>
    <w:rsid w:val="006E2971"/>
    <w:rsid w:val="006E7982"/>
    <w:rsid w:val="006F4565"/>
    <w:rsid w:val="0070507B"/>
    <w:rsid w:val="00707A24"/>
    <w:rsid w:val="00707FDA"/>
    <w:rsid w:val="007350AC"/>
    <w:rsid w:val="00766036"/>
    <w:rsid w:val="00783ACB"/>
    <w:rsid w:val="00795AEC"/>
    <w:rsid w:val="007E2D8D"/>
    <w:rsid w:val="007E4AEE"/>
    <w:rsid w:val="00811F37"/>
    <w:rsid w:val="008320AE"/>
    <w:rsid w:val="00833FE6"/>
    <w:rsid w:val="008547CA"/>
    <w:rsid w:val="008706B8"/>
    <w:rsid w:val="008856A0"/>
    <w:rsid w:val="008865FC"/>
    <w:rsid w:val="008C3396"/>
    <w:rsid w:val="008D4B83"/>
    <w:rsid w:val="008E1E90"/>
    <w:rsid w:val="008F73C9"/>
    <w:rsid w:val="00901590"/>
    <w:rsid w:val="00944D09"/>
    <w:rsid w:val="0098070F"/>
    <w:rsid w:val="00993F24"/>
    <w:rsid w:val="009A20DA"/>
    <w:rsid w:val="009B4498"/>
    <w:rsid w:val="009C37EF"/>
    <w:rsid w:val="009C6648"/>
    <w:rsid w:val="009D0E72"/>
    <w:rsid w:val="009D14D6"/>
    <w:rsid w:val="009D4B24"/>
    <w:rsid w:val="009F0590"/>
    <w:rsid w:val="009F2541"/>
    <w:rsid w:val="00A0722B"/>
    <w:rsid w:val="00A2674C"/>
    <w:rsid w:val="00A67B88"/>
    <w:rsid w:val="00A736DC"/>
    <w:rsid w:val="00A85A79"/>
    <w:rsid w:val="00A860BB"/>
    <w:rsid w:val="00AC42DA"/>
    <w:rsid w:val="00AC7845"/>
    <w:rsid w:val="00AF6504"/>
    <w:rsid w:val="00B25AC3"/>
    <w:rsid w:val="00B66E89"/>
    <w:rsid w:val="00B74081"/>
    <w:rsid w:val="00BA7C93"/>
    <w:rsid w:val="00BB5F74"/>
    <w:rsid w:val="00BC2EE5"/>
    <w:rsid w:val="00BC5784"/>
    <w:rsid w:val="00BE02EC"/>
    <w:rsid w:val="00BE28AD"/>
    <w:rsid w:val="00BE345C"/>
    <w:rsid w:val="00BF2F3E"/>
    <w:rsid w:val="00C03531"/>
    <w:rsid w:val="00C20B87"/>
    <w:rsid w:val="00C24E8A"/>
    <w:rsid w:val="00C413E7"/>
    <w:rsid w:val="00C70E7B"/>
    <w:rsid w:val="00C857CB"/>
    <w:rsid w:val="00C87644"/>
    <w:rsid w:val="00CB0E8D"/>
    <w:rsid w:val="00CB5D9C"/>
    <w:rsid w:val="00CD7617"/>
    <w:rsid w:val="00CE520A"/>
    <w:rsid w:val="00D00B94"/>
    <w:rsid w:val="00D224DC"/>
    <w:rsid w:val="00D371B4"/>
    <w:rsid w:val="00D42153"/>
    <w:rsid w:val="00D5409F"/>
    <w:rsid w:val="00D60A9D"/>
    <w:rsid w:val="00D61BD8"/>
    <w:rsid w:val="00D820B0"/>
    <w:rsid w:val="00D844F4"/>
    <w:rsid w:val="00D85109"/>
    <w:rsid w:val="00D87070"/>
    <w:rsid w:val="00DB635E"/>
    <w:rsid w:val="00DC5C37"/>
    <w:rsid w:val="00DD75B4"/>
    <w:rsid w:val="00DE601D"/>
    <w:rsid w:val="00DF398F"/>
    <w:rsid w:val="00E02E8C"/>
    <w:rsid w:val="00E27197"/>
    <w:rsid w:val="00E4108F"/>
    <w:rsid w:val="00E47C5C"/>
    <w:rsid w:val="00E66AF4"/>
    <w:rsid w:val="00E83516"/>
    <w:rsid w:val="00E8705B"/>
    <w:rsid w:val="00EA2723"/>
    <w:rsid w:val="00EA2955"/>
    <w:rsid w:val="00EA4354"/>
    <w:rsid w:val="00EB0F22"/>
    <w:rsid w:val="00EC7D00"/>
    <w:rsid w:val="00EE0A1C"/>
    <w:rsid w:val="00EE1816"/>
    <w:rsid w:val="00EF63DD"/>
    <w:rsid w:val="00F03099"/>
    <w:rsid w:val="00F17826"/>
    <w:rsid w:val="00F64E62"/>
    <w:rsid w:val="00F64F2F"/>
    <w:rsid w:val="00FA611D"/>
    <w:rsid w:val="00FB3E57"/>
    <w:rsid w:val="00FC267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4CF"/>
  <w15:docId w15:val="{BA5AC86A-98EB-4FF4-860D-5E93822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Odkaznakoment">
    <w:name w:val="annotation reference"/>
    <w:basedOn w:val="Standardnpsmoodstavce"/>
    <w:uiPriority w:val="99"/>
    <w:semiHidden/>
    <w:unhideWhenUsed/>
    <w:rsid w:val="00A73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D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65E4"/>
    <w:rPr>
      <w:color w:val="800080" w:themeColor="followedHyperlink"/>
      <w:u w:val="single"/>
    </w:rPr>
  </w:style>
  <w:style w:type="paragraph" w:styleId="Normlnweb">
    <w:name w:val="Normal (Web)"/>
    <w:basedOn w:val="Normln"/>
    <w:unhideWhenUsed/>
    <w:rsid w:val="00CD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E085-B125-4ADA-8FA2-C3DC0DA3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1344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 Miluše</cp:lastModifiedBy>
  <cp:revision>11</cp:revision>
  <cp:lastPrinted>2025-01-27T06:39:00Z</cp:lastPrinted>
  <dcterms:created xsi:type="dcterms:W3CDTF">2025-01-27T06:42:00Z</dcterms:created>
  <dcterms:modified xsi:type="dcterms:W3CDTF">2025-11-05T08:29:00Z</dcterms:modified>
</cp:coreProperties>
</file>