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1251/2024</w:t>
      </w:r>
      <w:bookmarkEnd w:id="3"/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260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6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“Markvartický potok v Markvarticích u č.p. 337”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0"/>
      <w:bookmarkEnd w:id="11"/>
      <w:bookmarkEnd w:id="9"/>
    </w:p>
    <w:p>
      <w:pPr>
        <w:pStyle w:val="Style8"/>
        <w:keepNext/>
        <w:keepLines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0"/>
      <w:bookmarkEnd w:id="9"/>
    </w:p>
    <w:p>
      <w:pPr>
        <w:pStyle w:val="Style10"/>
        <w:keepNext w:val="0"/>
        <w:keepLines w:val="0"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15"/>
      <w:bookmarkEnd w:id="16"/>
      <w:bookmarkEnd w:id="17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8"/>
      <w:bookmarkEnd w:id="19"/>
      <w:bookmarkEnd w:id="20"/>
    </w:p>
    <w:p>
      <w:pPr>
        <w:pStyle w:val="Style8"/>
        <w:keepNext/>
        <w:keepLines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HBAPS, s.r.o.</w:t>
      </w:r>
      <w:bookmarkEnd w:id="18"/>
      <w:bookmarkEnd w:id="19"/>
    </w:p>
    <w:p>
      <w:pPr>
        <w:pStyle w:val="Style10"/>
        <w:keepNext w:val="0"/>
        <w:keepLines w:val="0"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Březinova 191/13, 460 05 Liberec 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27266036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CZ27266036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21507 tel.:</w:t>
        <w:tab/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21"/>
      <w:bookmarkEnd w:id="22"/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prodloužení termínu dokončení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projednávání změn na stavbě a nutnosti provedení prací vyvolaných kolizí s vodovodním potrubím SČVK, které přímo zasahuje do základů zdi i navrženého opevnění dna.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hanging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Mění se Čl. II. Termín plnění, odst. 1. písm. c) předání a převzetí dokončeného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31.10.2025</w:t>
      </w:r>
    </w:p>
    <w:p>
      <w:pPr>
        <w:pStyle w:val="Style14"/>
        <w:keepNext/>
        <w:keepLines/>
        <w:widowControl w:val="0"/>
        <w:shd w:val="clear" w:color="auto" w:fill="auto"/>
        <w:tabs>
          <w:tab w:pos="2888" w:val="left"/>
        </w:tabs>
        <w:bidi w:val="0"/>
        <w:spacing w:before="0" w:line="240" w:lineRule="auto"/>
        <w:ind w:left="0" w:right="0"/>
        <w:jc w:val="both"/>
      </w:pPr>
      <w:bookmarkStart w:id="23" w:name="bookmark23"/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Nejpozději do 30.11.2025</w:t>
      </w:r>
      <w:bookmarkEnd w:id="23"/>
      <w:bookmarkEnd w:id="24"/>
      <w:bookmarkEnd w:id="25"/>
      <w:bookmarkEnd w:id="2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27"/>
      <w:bookmarkEnd w:id="28"/>
      <w:bookmarkEnd w:id="29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30"/>
      <w:bookmarkEnd w:id="31"/>
      <w:bookmarkEnd w:id="3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867" w:left="1395" w:right="1388" w:bottom="1926" w:header="1439" w:footer="3" w:gutter="0"/>
          <w:pgNumType w:start="1"/>
          <w:cols w:space="720"/>
          <w:noEndnote/>
          <w:rtlGutter w:val="0"/>
          <w:docGrid w:linePitch="360"/>
        </w:sectPr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33"/>
      <w:bookmarkEnd w:id="34"/>
      <w:bookmarkEnd w:id="35"/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43" w:left="0" w:right="0" w:bottom="35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43" w:left="1396" w:right="2284" w:bottom="3558" w:header="0" w:footer="3" w:gutter="0"/>
          <w:cols w:num="2" w:space="174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43" w:left="0" w:right="0" w:bottom="18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4088130</wp:posOffset>
                </wp:positionH>
                <wp:positionV relativeFrom="paragraph">
                  <wp:posOffset>12700</wp:posOffset>
                </wp:positionV>
                <wp:extent cx="895985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HBAPS,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90000000000003pt;margin-top:1.pt;width:70.549999999999997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HBAPS,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843" w:left="1396" w:right="5471" w:bottom="184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5845175</wp:posOffset>
              </wp:positionH>
              <wp:positionV relativeFrom="page">
                <wp:posOffset>9890760</wp:posOffset>
              </wp:positionV>
              <wp:extent cx="819785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978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25pt;margin-top:778.80000000000007pt;width:64.549999999999997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7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440"/>
      <w:ind w:firstLine="4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