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5311" w14:textId="77777777" w:rsidR="00281164" w:rsidRPr="00E93285" w:rsidRDefault="00281164" w:rsidP="00887DE4">
      <w:pPr>
        <w:pStyle w:val="HHTitle"/>
      </w:pPr>
      <w:r w:rsidRPr="00E93285">
        <w:t>Smlouva o poskytování právních služeb</w:t>
      </w:r>
    </w:p>
    <w:p w14:paraId="59D1A1FE" w14:textId="77777777" w:rsidR="00281164" w:rsidRPr="006A25E0" w:rsidRDefault="00281164" w:rsidP="00281164">
      <w:pPr>
        <w:pStyle w:val="Titulka"/>
        <w:spacing w:after="600"/>
        <w:rPr>
          <w:sz w:val="26"/>
          <w:szCs w:val="26"/>
        </w:rPr>
      </w:pPr>
      <w:r w:rsidRPr="006A25E0">
        <w:rPr>
          <w:sz w:val="26"/>
          <w:szCs w:val="26"/>
        </w:rPr>
        <w:t>mezi</w:t>
      </w:r>
    </w:p>
    <w:p w14:paraId="5A407FFD" w14:textId="2C140677" w:rsidR="00281164" w:rsidRDefault="00E57FB2" w:rsidP="00281164">
      <w:pPr>
        <w:pStyle w:val="Spolecnost"/>
      </w:pPr>
      <w:r>
        <w:t>Univerzita Jana Evangelisty Purkyně</w:t>
      </w:r>
      <w:r w:rsidR="00C95559">
        <w:t xml:space="preserve"> v Ústí nad Labem </w:t>
      </w:r>
    </w:p>
    <w:p w14:paraId="777AEA45" w14:textId="77777777" w:rsidR="00281164" w:rsidRDefault="00281164" w:rsidP="00281164">
      <w:pPr>
        <w:pStyle w:val="Titulka"/>
        <w:rPr>
          <w:sz w:val="26"/>
          <w:szCs w:val="26"/>
        </w:rPr>
      </w:pPr>
    </w:p>
    <w:p w14:paraId="417A3F58" w14:textId="77777777" w:rsidR="00281164" w:rsidRDefault="00281164" w:rsidP="00281164">
      <w:pPr>
        <w:pStyle w:val="Titulka"/>
        <w:rPr>
          <w:sz w:val="26"/>
          <w:szCs w:val="26"/>
        </w:rPr>
      </w:pPr>
      <w:r>
        <w:rPr>
          <w:sz w:val="26"/>
          <w:szCs w:val="26"/>
        </w:rPr>
        <w:t>a</w:t>
      </w:r>
    </w:p>
    <w:p w14:paraId="09DCEA90" w14:textId="77777777" w:rsidR="00281164" w:rsidRPr="006A25E0" w:rsidRDefault="00281164" w:rsidP="00281164">
      <w:pPr>
        <w:pStyle w:val="Titulka"/>
        <w:rPr>
          <w:sz w:val="26"/>
          <w:szCs w:val="26"/>
        </w:rPr>
      </w:pPr>
    </w:p>
    <w:p w14:paraId="7B1F56BF" w14:textId="77777777" w:rsidR="00281164" w:rsidRDefault="00C55956" w:rsidP="00281164">
      <w:pPr>
        <w:pStyle w:val="Spolecnost"/>
      </w:pPr>
      <w:r w:rsidRPr="00C55956">
        <w:t>HAVEL &amp; PARTNERS</w:t>
      </w:r>
      <w:r>
        <w:t xml:space="preserve"> </w:t>
      </w:r>
      <w:r w:rsidR="00281164">
        <w:t>s.r.o.</w:t>
      </w:r>
      <w:r w:rsidR="00281164">
        <w:br/>
        <w:t>advokátní kancelář</w:t>
      </w:r>
    </w:p>
    <w:p w14:paraId="7C4FE5AE" w14:textId="77777777" w:rsidR="00281164" w:rsidRDefault="00281164" w:rsidP="00281164">
      <w:pPr>
        <w:jc w:val="center"/>
      </w:pPr>
    </w:p>
    <w:p w14:paraId="202B2DA3" w14:textId="77777777" w:rsidR="00281164" w:rsidRPr="00005E16" w:rsidRDefault="00281164" w:rsidP="00281164"/>
    <w:p w14:paraId="33828F92" w14:textId="77777777" w:rsidR="00281164" w:rsidRPr="00005E16" w:rsidRDefault="00281164" w:rsidP="00281164"/>
    <w:p w14:paraId="32CAA736" w14:textId="77777777" w:rsidR="00281164" w:rsidRDefault="00281164" w:rsidP="00281164">
      <w:pPr>
        <w:tabs>
          <w:tab w:val="left" w:pos="1440"/>
        </w:tabs>
      </w:pPr>
      <w:r>
        <w:tab/>
      </w:r>
    </w:p>
    <w:p w14:paraId="237D8DEC" w14:textId="77777777" w:rsidR="00CA6094" w:rsidRDefault="00393492" w:rsidP="00393492">
      <w:pPr>
        <w:spacing w:before="0" w:after="0"/>
        <w:jc w:val="center"/>
        <w:rPr>
          <w:sz w:val="26"/>
          <w:szCs w:val="26"/>
        </w:rPr>
      </w:pPr>
      <w:r>
        <w:rPr>
          <w:sz w:val="26"/>
          <w:szCs w:val="26"/>
        </w:rPr>
        <w:t>_________________________________________________</w:t>
      </w:r>
    </w:p>
    <w:p w14:paraId="22BA5F44" w14:textId="77777777" w:rsidR="00393492" w:rsidRDefault="00393492" w:rsidP="00393492">
      <w:pPr>
        <w:spacing w:before="0" w:after="0"/>
        <w:jc w:val="center"/>
        <w:rPr>
          <w:sz w:val="26"/>
          <w:szCs w:val="26"/>
        </w:rPr>
      </w:pPr>
    </w:p>
    <w:p w14:paraId="62E586F2" w14:textId="25E122EA" w:rsidR="00CA6094" w:rsidRDefault="005501BF" w:rsidP="00393492">
      <w:pPr>
        <w:spacing w:before="0" w:after="0"/>
        <w:jc w:val="center"/>
        <w:rPr>
          <w:sz w:val="26"/>
          <w:szCs w:val="26"/>
        </w:rPr>
      </w:pPr>
      <w:r>
        <w:rPr>
          <w:sz w:val="26"/>
          <w:szCs w:val="26"/>
        </w:rPr>
        <w:t xml:space="preserve">právní zastoupení v soudním řízení </w:t>
      </w:r>
    </w:p>
    <w:p w14:paraId="1A76EA8D" w14:textId="77777777" w:rsidR="00393492" w:rsidRDefault="00393492" w:rsidP="00393492">
      <w:pPr>
        <w:spacing w:before="0" w:after="0"/>
        <w:jc w:val="center"/>
      </w:pPr>
      <w:r>
        <w:rPr>
          <w:sz w:val="26"/>
          <w:szCs w:val="26"/>
        </w:rPr>
        <w:t>_________________________________________________</w:t>
      </w:r>
    </w:p>
    <w:p w14:paraId="5F10E7A1" w14:textId="77777777" w:rsidR="00393492" w:rsidRDefault="00393492" w:rsidP="00975CC4">
      <w:pPr>
        <w:jc w:val="center"/>
        <w:rPr>
          <w:sz w:val="26"/>
          <w:szCs w:val="26"/>
        </w:rPr>
      </w:pPr>
    </w:p>
    <w:p w14:paraId="26930579" w14:textId="77777777" w:rsidR="00432234" w:rsidRDefault="00432234" w:rsidP="00975CC4">
      <w:pPr>
        <w:jc w:val="center"/>
        <w:rPr>
          <w:sz w:val="26"/>
          <w:szCs w:val="26"/>
        </w:rPr>
      </w:pPr>
    </w:p>
    <w:p w14:paraId="7145C1B4" w14:textId="6C364155" w:rsidR="00CA6094" w:rsidRPr="00432234" w:rsidRDefault="00CA6094" w:rsidP="00975CC4">
      <w:pPr>
        <w:jc w:val="center"/>
        <w:rPr>
          <w:sz w:val="26"/>
          <w:szCs w:val="26"/>
        </w:rPr>
      </w:pPr>
      <w:r w:rsidRPr="00432234">
        <w:rPr>
          <w:sz w:val="26"/>
          <w:szCs w:val="26"/>
        </w:rPr>
        <w:t xml:space="preserve">ze dne </w:t>
      </w:r>
      <w:r w:rsidR="005501BF">
        <w:rPr>
          <w:sz w:val="26"/>
          <w:szCs w:val="26"/>
        </w:rPr>
        <w:t>3. 11. 2025</w:t>
      </w:r>
    </w:p>
    <w:p w14:paraId="1C2512ED" w14:textId="77777777" w:rsidR="00CA6094" w:rsidRDefault="00CA6094" w:rsidP="00975CC4">
      <w:pPr>
        <w:jc w:val="center"/>
        <w:rPr>
          <w:sz w:val="26"/>
          <w:szCs w:val="26"/>
        </w:rPr>
      </w:pPr>
    </w:p>
    <w:p w14:paraId="5553BD60" w14:textId="51521CCE" w:rsidR="00975CC4" w:rsidRDefault="00E12E8A" w:rsidP="00975CC4">
      <w:pPr>
        <w:jc w:val="center"/>
      </w:pPr>
      <w:r>
        <w:rPr>
          <w:noProof/>
          <w:lang w:eastAsia="ja-JP"/>
        </w:rPr>
        <w:drawing>
          <wp:inline distT="0" distB="0" distL="0" distR="0" wp14:anchorId="55FA0F76" wp14:editId="622E525D">
            <wp:extent cx="2959100" cy="1225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0" cy="1225550"/>
                    </a:xfrm>
                    <a:prstGeom prst="rect">
                      <a:avLst/>
                    </a:prstGeom>
                    <a:noFill/>
                    <a:ln>
                      <a:noFill/>
                    </a:ln>
                  </pic:spPr>
                </pic:pic>
              </a:graphicData>
            </a:graphic>
          </wp:inline>
        </w:drawing>
      </w:r>
    </w:p>
    <w:p w14:paraId="0894FD52" w14:textId="77777777" w:rsidR="00975CC4" w:rsidRDefault="00975CC4" w:rsidP="00975CC4">
      <w:pPr>
        <w:jc w:val="center"/>
        <w:sectPr w:rsidR="00975CC4" w:rsidSect="000D6F14">
          <w:headerReference w:type="default" r:id="rId9"/>
          <w:pgSz w:w="11907" w:h="16840" w:code="9"/>
          <w:pgMar w:top="1418" w:right="1418" w:bottom="1418" w:left="1418" w:header="720" w:footer="720" w:gutter="0"/>
          <w:cols w:space="720"/>
          <w:docGrid w:linePitch="360"/>
        </w:sectPr>
      </w:pPr>
    </w:p>
    <w:p w14:paraId="56C6E66A" w14:textId="77777777" w:rsidR="00450501" w:rsidRPr="00887040" w:rsidRDefault="00281164" w:rsidP="00887DE4">
      <w:pPr>
        <w:pStyle w:val="HHTitle2"/>
      </w:pPr>
      <w:r>
        <w:lastRenderedPageBreak/>
        <w:t>SMLOUVA</w:t>
      </w:r>
      <w:r w:rsidR="00450501" w:rsidRPr="00887040">
        <w:t xml:space="preserve"> O POSKYTOVÁNÍ PRÁVNÍCH SLUŽEB</w:t>
      </w:r>
    </w:p>
    <w:p w14:paraId="2782501E" w14:textId="77777777" w:rsidR="00450501" w:rsidRDefault="00450501" w:rsidP="00450501">
      <w:pPr>
        <w:jc w:val="center"/>
      </w:pPr>
      <w:r w:rsidRPr="00887040">
        <w:t>(„</w:t>
      </w:r>
      <w:r w:rsidRPr="00995675">
        <w:rPr>
          <w:rStyle w:val="StyleBold"/>
        </w:rPr>
        <w:t>Smlouva</w:t>
      </w:r>
      <w:r w:rsidRPr="00053F1F">
        <w:rPr>
          <w:rStyle w:val="StyleBold"/>
          <w:b w:val="0"/>
        </w:rPr>
        <w:t>“</w:t>
      </w:r>
      <w:r w:rsidRPr="00887040">
        <w:t>)</w:t>
      </w:r>
    </w:p>
    <w:p w14:paraId="4D48600C" w14:textId="77777777" w:rsidR="00914577" w:rsidRDefault="00914577" w:rsidP="00450501">
      <w:pPr>
        <w:jc w:val="center"/>
      </w:pPr>
    </w:p>
    <w:p w14:paraId="6C997B55" w14:textId="77777777" w:rsidR="002453CC" w:rsidRDefault="002453CC" w:rsidP="002453CC">
      <w:pPr>
        <w:pStyle w:val="Smluvnistranypreambule"/>
      </w:pPr>
      <w:r>
        <w:t>Smluvní strany</w:t>
      </w:r>
    </w:p>
    <w:p w14:paraId="2F9C4ED4" w14:textId="77777777" w:rsidR="005501BF" w:rsidRPr="005501BF" w:rsidRDefault="005501BF" w:rsidP="00B61F72">
      <w:pPr>
        <w:numPr>
          <w:ilvl w:val="0"/>
          <w:numId w:val="26"/>
        </w:numPr>
        <w:spacing w:before="0" w:after="0" w:line="276" w:lineRule="auto"/>
        <w:rPr>
          <w:szCs w:val="22"/>
        </w:rPr>
      </w:pPr>
      <w:r>
        <w:rPr>
          <w:b/>
          <w:szCs w:val="22"/>
        </w:rPr>
        <w:t>Univerzita Jana Evangelisty Purkyně v Ústí nad Labem</w:t>
      </w:r>
    </w:p>
    <w:p w14:paraId="2CE28A7C" w14:textId="73CFCA9D" w:rsidR="00BC15F9" w:rsidRDefault="005501BF" w:rsidP="00B61F72">
      <w:pPr>
        <w:spacing w:before="0" w:after="0" w:line="276" w:lineRule="auto"/>
        <w:ind w:left="567"/>
        <w:rPr>
          <w:szCs w:val="22"/>
        </w:rPr>
      </w:pPr>
      <w:r>
        <w:rPr>
          <w:szCs w:val="22"/>
        </w:rPr>
        <w:t xml:space="preserve">zastoupená </w:t>
      </w:r>
      <w:r w:rsidR="00380D5F" w:rsidRPr="00380D5F">
        <w:rPr>
          <w:szCs w:val="22"/>
        </w:rPr>
        <w:t>doc. RNDr. Jaroslav</w:t>
      </w:r>
      <w:r w:rsidR="00380D5F">
        <w:rPr>
          <w:szCs w:val="22"/>
        </w:rPr>
        <w:t>em</w:t>
      </w:r>
      <w:r w:rsidR="00380D5F" w:rsidRPr="00380D5F">
        <w:rPr>
          <w:szCs w:val="22"/>
        </w:rPr>
        <w:t xml:space="preserve"> Koutský</w:t>
      </w:r>
      <w:r w:rsidR="00380D5F">
        <w:rPr>
          <w:szCs w:val="22"/>
        </w:rPr>
        <w:t>m</w:t>
      </w:r>
      <w:r w:rsidR="00380D5F" w:rsidRPr="00380D5F">
        <w:rPr>
          <w:szCs w:val="22"/>
        </w:rPr>
        <w:t>, Ph.D.</w:t>
      </w:r>
      <w:r w:rsidR="00380D5F">
        <w:rPr>
          <w:szCs w:val="22"/>
        </w:rPr>
        <w:t xml:space="preserve">, rektorem </w:t>
      </w:r>
      <w:r w:rsidR="00EF4AFC">
        <w:rPr>
          <w:szCs w:val="22"/>
        </w:rPr>
        <w:t xml:space="preserve">univerzity </w:t>
      </w:r>
    </w:p>
    <w:p w14:paraId="31694A5C" w14:textId="77777777" w:rsidR="00BC15F9" w:rsidRDefault="00BC15F9" w:rsidP="00B61F72">
      <w:pPr>
        <w:spacing w:before="0" w:after="0" w:line="276" w:lineRule="auto"/>
        <w:ind w:left="567"/>
        <w:rPr>
          <w:szCs w:val="22"/>
        </w:rPr>
      </w:pPr>
      <w:r>
        <w:rPr>
          <w:szCs w:val="22"/>
        </w:rPr>
        <w:t xml:space="preserve">se sídlem </w:t>
      </w:r>
      <w:r w:rsidRPr="00BC15F9">
        <w:rPr>
          <w:szCs w:val="22"/>
        </w:rPr>
        <w:t>Pasteurova 3544/1, 400 96 Ústí nad Labem</w:t>
      </w:r>
    </w:p>
    <w:p w14:paraId="1DCF9487" w14:textId="77777777" w:rsidR="00B61F72" w:rsidRDefault="00BC15F9" w:rsidP="00B61F72">
      <w:pPr>
        <w:spacing w:before="0" w:after="0" w:line="276" w:lineRule="auto"/>
        <w:ind w:left="567"/>
        <w:rPr>
          <w:szCs w:val="22"/>
        </w:rPr>
      </w:pPr>
      <w:r>
        <w:rPr>
          <w:szCs w:val="22"/>
        </w:rPr>
        <w:t xml:space="preserve">IČO: </w:t>
      </w:r>
      <w:r w:rsidR="00B61F72" w:rsidRPr="00B61F72">
        <w:rPr>
          <w:szCs w:val="22"/>
        </w:rPr>
        <w:t>44555601</w:t>
      </w:r>
      <w:r w:rsidR="00B61F72">
        <w:rPr>
          <w:szCs w:val="22"/>
        </w:rPr>
        <w:t xml:space="preserve">, DIČ: </w:t>
      </w:r>
      <w:r w:rsidR="00B61F72" w:rsidRPr="00B61F72">
        <w:rPr>
          <w:szCs w:val="22"/>
        </w:rPr>
        <w:t>CZ44555601</w:t>
      </w:r>
    </w:p>
    <w:p w14:paraId="30399433" w14:textId="3D1383CB" w:rsidR="004D2928" w:rsidRDefault="00914577" w:rsidP="003D6F88">
      <w:pPr>
        <w:ind w:firstLine="567"/>
      </w:pPr>
      <w:r>
        <w:t>(</w:t>
      </w:r>
      <w:r w:rsidR="004D2928" w:rsidRPr="004D2928">
        <w:t>„</w:t>
      </w:r>
      <w:r w:rsidR="004D2928" w:rsidRPr="00995675">
        <w:rPr>
          <w:rStyle w:val="StyleBold"/>
        </w:rPr>
        <w:t>Klient</w:t>
      </w:r>
      <w:r>
        <w:t>“)</w:t>
      </w:r>
      <w:bookmarkStart w:id="0" w:name="_DV_M14"/>
      <w:bookmarkEnd w:id="0"/>
    </w:p>
    <w:p w14:paraId="2BF73DA6" w14:textId="77777777" w:rsidR="0019329C" w:rsidRPr="004D2928" w:rsidRDefault="0019329C" w:rsidP="0019329C">
      <w:pPr>
        <w:spacing w:before="360" w:after="360"/>
        <w:ind w:firstLine="567"/>
      </w:pPr>
      <w:r>
        <w:t>a</w:t>
      </w:r>
    </w:p>
    <w:p w14:paraId="4704C9F8" w14:textId="77777777" w:rsidR="0019329C" w:rsidRDefault="00C55956" w:rsidP="00C55956">
      <w:pPr>
        <w:numPr>
          <w:ilvl w:val="0"/>
          <w:numId w:val="26"/>
        </w:numPr>
      </w:pPr>
      <w:bookmarkStart w:id="1" w:name="_DV_M15"/>
      <w:bookmarkStart w:id="2" w:name="_DV_M16"/>
      <w:bookmarkEnd w:id="1"/>
      <w:bookmarkEnd w:id="2"/>
      <w:r w:rsidRPr="00C55956">
        <w:rPr>
          <w:rStyle w:val="StyleBold"/>
          <w:szCs w:val="22"/>
        </w:rPr>
        <w:t>HAVEL &amp; PARTNERS</w:t>
      </w:r>
      <w:r w:rsidR="003D6F88" w:rsidRPr="00774E02">
        <w:rPr>
          <w:rStyle w:val="StyleBold"/>
          <w:szCs w:val="22"/>
        </w:rPr>
        <w:t xml:space="preserve"> s.r.o.</w:t>
      </w:r>
      <w:r w:rsidR="003D6F88" w:rsidRPr="00774E02">
        <w:rPr>
          <w:szCs w:val="22"/>
        </w:rPr>
        <w:t xml:space="preserve">, </w:t>
      </w:r>
      <w:r w:rsidR="003D6F88" w:rsidRPr="00774E02">
        <w:rPr>
          <w:b/>
          <w:szCs w:val="22"/>
        </w:rPr>
        <w:t>advokátní kancelář</w:t>
      </w:r>
      <w:r w:rsidR="003D6F88" w:rsidRPr="00221E23">
        <w:rPr>
          <w:szCs w:val="22"/>
        </w:rPr>
        <w:t>, sídlo Praha 1, Na Florenci 2116/15, PSČ 110</w:t>
      </w:r>
      <w:r w:rsidR="003D6F88">
        <w:rPr>
          <w:szCs w:val="22"/>
        </w:rPr>
        <w:t> </w:t>
      </w:r>
      <w:r w:rsidR="003D6F88" w:rsidRPr="00221E23">
        <w:rPr>
          <w:szCs w:val="22"/>
        </w:rPr>
        <w:t xml:space="preserve">00, IČO: 26454807, DIČ: </w:t>
      </w:r>
      <w:r w:rsidR="00206E85">
        <w:rPr>
          <w:szCs w:val="22"/>
        </w:rPr>
        <w:t>CZ</w:t>
      </w:r>
      <w:r w:rsidR="003D6F88" w:rsidRPr="00221E23">
        <w:rPr>
          <w:szCs w:val="22"/>
        </w:rPr>
        <w:t>26454807, zapsaná v obchodním rejstříku vedeném Městským soudem v Praze, oddíl C, vložka 114599</w:t>
      </w:r>
      <w:r w:rsidR="004D2928">
        <w:t xml:space="preserve"> </w:t>
      </w:r>
    </w:p>
    <w:p w14:paraId="1DC4FF92" w14:textId="77777777" w:rsidR="004D2928" w:rsidRPr="004D2928" w:rsidRDefault="004D2928" w:rsidP="0019329C">
      <w:pPr>
        <w:ind w:firstLine="567"/>
      </w:pPr>
      <w:r w:rsidRPr="004D2928">
        <w:t>(„</w:t>
      </w:r>
      <w:r w:rsidRPr="00995675">
        <w:rPr>
          <w:rStyle w:val="StyleBold"/>
        </w:rPr>
        <w:t>Poskytovatel</w:t>
      </w:r>
      <w:r w:rsidRPr="004D2928">
        <w:t>“ a společně s Klientem „</w:t>
      </w:r>
      <w:r w:rsidRPr="00995675">
        <w:rPr>
          <w:rStyle w:val="StyleBold"/>
        </w:rPr>
        <w:t>Strany</w:t>
      </w:r>
      <w:r w:rsidRPr="004D2928">
        <w:t>“)</w:t>
      </w:r>
    </w:p>
    <w:p w14:paraId="2A104F32" w14:textId="77777777" w:rsidR="00871FC3" w:rsidRPr="004D2928" w:rsidRDefault="00871FC3" w:rsidP="004D2928"/>
    <w:p w14:paraId="4EBAF6EC" w14:textId="77777777" w:rsidR="004D2928" w:rsidRDefault="004D2928" w:rsidP="00B870D8">
      <w:pPr>
        <w:pStyle w:val="Nadpis1"/>
      </w:pPr>
      <w:r>
        <w:t>Poskytov</w:t>
      </w:r>
      <w:r w:rsidRPr="0093260E">
        <w:t>ané sl</w:t>
      </w:r>
      <w:r>
        <w:t>užby</w:t>
      </w:r>
    </w:p>
    <w:p w14:paraId="759F99B1" w14:textId="73B779A4" w:rsidR="004D2928" w:rsidRDefault="004D2928" w:rsidP="00B870D8">
      <w:pPr>
        <w:pStyle w:val="Clanek11"/>
      </w:pPr>
      <w:bookmarkStart w:id="3" w:name="_Ref166841960"/>
      <w:r>
        <w:t xml:space="preserve">Za podmínek uvedených v této Smlouvě bude Poskytovatel poskytovat Klientovi právní služby </w:t>
      </w:r>
      <w:r w:rsidR="00D75A25">
        <w:t xml:space="preserve">spočívající v právním zastoupení v soudním řízení </w:t>
      </w:r>
      <w:r w:rsidR="00C96DDE" w:rsidRPr="00C96DDE">
        <w:t>o žalobě proti rozhodnutí rektora č. j. UJEP/2025/00025082 ze dne 24. 7. 2025 vedeného u Krajského soudu v Ústí nad Labem</w:t>
      </w:r>
      <w:r w:rsidR="00C96DDE">
        <w:t xml:space="preserve"> </w:t>
      </w:r>
      <w:r w:rsidR="00EE0751">
        <w:t>ve</w:t>
      </w:r>
      <w:r w:rsidR="001A5D36">
        <w:t> </w:t>
      </w:r>
      <w:r w:rsidR="00EE0751">
        <w:t>smyslu § 29 písm. k</w:t>
      </w:r>
      <w:r w:rsidR="00BB1AE8">
        <w:t xml:space="preserve">) </w:t>
      </w:r>
      <w:r w:rsidR="00BB1AE8" w:rsidRPr="00BB1AE8">
        <w:t>zákona č. 134/2016 Sb., o zadávání veřejných zakázek</w:t>
      </w:r>
      <w:r w:rsidR="00BB1AE8">
        <w:t>, ve znění pozdějších předpisů</w:t>
      </w:r>
      <w:bookmarkEnd w:id="3"/>
      <w:r w:rsidR="00F064B6">
        <w:t xml:space="preserve"> („</w:t>
      </w:r>
      <w:r w:rsidR="00F064B6">
        <w:rPr>
          <w:b/>
        </w:rPr>
        <w:t>Služby</w:t>
      </w:r>
      <w:r w:rsidR="00F064B6">
        <w:t xml:space="preserve">“). </w:t>
      </w:r>
    </w:p>
    <w:p w14:paraId="02201228" w14:textId="1FF2C3AF" w:rsidR="004236F6" w:rsidRPr="003F4906" w:rsidRDefault="00A97958" w:rsidP="00A97958">
      <w:pPr>
        <w:pStyle w:val="Clanek11"/>
      </w:pPr>
      <w:r w:rsidRPr="00A97958">
        <w:t>Účelem této smlouvy je zajistit oboustranný prospěch smluvních stran, a to na straně Klienta zabezpečení nejlepší odborné péče o jeho specifické právní záležitosti v dále vymezeném rozsahu a dosažení co nejvyšší ochrany jeho práv a zájmů právními prostředky, na straně Poskytovatele pak dosažení odpovídající odměny za činnost spojenou s poskytováním právních služeb dle této smlouvy.</w:t>
      </w:r>
    </w:p>
    <w:p w14:paraId="2365339E" w14:textId="77777777" w:rsidR="004D2928" w:rsidRDefault="004D2928" w:rsidP="00B870D8">
      <w:pPr>
        <w:pStyle w:val="Nadpis1"/>
      </w:pPr>
      <w:r w:rsidRPr="00887040">
        <w:t>Personální obsazení</w:t>
      </w:r>
    </w:p>
    <w:p w14:paraId="22573F6A" w14:textId="77777777" w:rsidR="008C7AE0" w:rsidRPr="008C7AE0" w:rsidRDefault="004236F6" w:rsidP="004236F6">
      <w:pPr>
        <w:pStyle w:val="Clanek11"/>
        <w:widowControl/>
      </w:pPr>
      <w:bookmarkStart w:id="4" w:name="_Ref168147006"/>
      <w:r w:rsidRPr="00FB2FB1">
        <w:rPr>
          <w:rFonts w:cs="Times New Roman"/>
          <w:szCs w:val="22"/>
        </w:rPr>
        <w:t>Poskytovatel bude poskytovat Služby prostřednictvím svých společníků, advokátů, advokátních koncipientů a dalších osob zaměstnaných Poskytovatelem či trvale s ním spolupracujících. Tyto osoby jednají při poskytování Služeb dle této Smlouvy jménem a na účet Poskytovatele, respektive tam, kde poskytování Služeb jménem Poskytovatele nepřipouštějí v jednotlivých případech zvláštní právní předpisy, vlastním jménem a na účet Poskytovatele</w:t>
      </w:r>
      <w:r>
        <w:rPr>
          <w:rFonts w:cs="Times New Roman"/>
          <w:szCs w:val="22"/>
        </w:rPr>
        <w:t>.</w:t>
      </w:r>
      <w:r w:rsidR="008C7AE0">
        <w:rPr>
          <w:rFonts w:cs="Times New Roman"/>
          <w:szCs w:val="22"/>
        </w:rPr>
        <w:t xml:space="preserve"> </w:t>
      </w:r>
      <w:r w:rsidRPr="00FB2FB1">
        <w:rPr>
          <w:rFonts w:cs="Times New Roman"/>
          <w:szCs w:val="22"/>
        </w:rPr>
        <w:t>Účastníkem právních vztahů založených v souvislosti s poskytováním Služeb dle této Smlouvy vůči Klientovi bude v souladu s </w:t>
      </w:r>
      <w:r w:rsidR="008C7AE0">
        <w:rPr>
          <w:rFonts w:cs="Times New Roman"/>
          <w:szCs w:val="22"/>
        </w:rPr>
        <w:t>§ 15</w:t>
      </w:r>
      <w:r w:rsidRPr="00FB2FB1">
        <w:rPr>
          <w:rFonts w:cs="Times New Roman"/>
          <w:szCs w:val="22"/>
        </w:rPr>
        <w:t xml:space="preserve"> zákona č. 85/1996 Sb., o advokacii, ve znění pozdějších předpisů („</w:t>
      </w:r>
      <w:r w:rsidRPr="00FB2FB1">
        <w:rPr>
          <w:rFonts w:cs="Times New Roman"/>
          <w:b/>
          <w:szCs w:val="22"/>
        </w:rPr>
        <w:t>Zákon o advokacii</w:t>
      </w:r>
      <w:r w:rsidRPr="00FB2FB1">
        <w:rPr>
          <w:rFonts w:cs="Times New Roman"/>
          <w:szCs w:val="22"/>
        </w:rPr>
        <w:t>“) výlučně Poskytovatel</w:t>
      </w:r>
      <w:r w:rsidR="008C7AE0">
        <w:rPr>
          <w:rFonts w:cs="Times New Roman"/>
          <w:szCs w:val="22"/>
        </w:rPr>
        <w:t>.</w:t>
      </w:r>
    </w:p>
    <w:p w14:paraId="6E4DE7B1" w14:textId="77777777" w:rsidR="006F03B3" w:rsidRPr="004236F6" w:rsidRDefault="004236F6" w:rsidP="004236F6">
      <w:pPr>
        <w:pStyle w:val="Clanek11"/>
      </w:pPr>
      <w:bookmarkStart w:id="5" w:name="_Ref235440114"/>
      <w:bookmarkEnd w:id="4"/>
      <w:r w:rsidRPr="00221E23">
        <w:rPr>
          <w:rFonts w:cs="Times New Roman"/>
          <w:szCs w:val="22"/>
        </w:rPr>
        <w:t>Základní tým Poskytovatele určený pro poskytování Služeb na základě této Smlouvy budou tvořit:</w:t>
      </w:r>
      <w:bookmarkEnd w:id="5"/>
    </w:p>
    <w:p w14:paraId="6D3CDD23" w14:textId="77777777" w:rsidR="009324E5" w:rsidRDefault="003E1B1C" w:rsidP="009324E5">
      <w:pPr>
        <w:pStyle w:val="Odrazkapro1a11"/>
        <w:keepNext w:val="0"/>
        <w:rPr>
          <w:szCs w:val="22"/>
        </w:rPr>
      </w:pPr>
      <w:r>
        <w:rPr>
          <w:szCs w:val="22"/>
        </w:rPr>
        <w:t>Mgr. Josef Hlavička</w:t>
      </w:r>
      <w:r w:rsidR="004236F6" w:rsidRPr="00221E23">
        <w:rPr>
          <w:szCs w:val="22"/>
        </w:rPr>
        <w:t xml:space="preserve">, </w:t>
      </w:r>
      <w:r w:rsidR="009324E5">
        <w:rPr>
          <w:szCs w:val="22"/>
        </w:rPr>
        <w:t>partner</w:t>
      </w:r>
      <w:r w:rsidR="004236F6" w:rsidRPr="00221E23">
        <w:rPr>
          <w:szCs w:val="22"/>
        </w:rPr>
        <w:t xml:space="preserve"> a společník kanceláře</w:t>
      </w:r>
      <w:r w:rsidR="004236F6">
        <w:rPr>
          <w:szCs w:val="22"/>
        </w:rPr>
        <w:t>,</w:t>
      </w:r>
    </w:p>
    <w:p w14:paraId="4A71DD83" w14:textId="13A6081B" w:rsidR="004236F6" w:rsidRPr="009324E5" w:rsidRDefault="00441D7B" w:rsidP="009324E5">
      <w:pPr>
        <w:pStyle w:val="Odrazkapro1a11"/>
        <w:keepNext w:val="0"/>
        <w:rPr>
          <w:szCs w:val="22"/>
        </w:rPr>
      </w:pPr>
      <w:r w:rsidRPr="00441D7B">
        <w:rPr>
          <w:szCs w:val="22"/>
        </w:rPr>
        <w:t>Mgr. et Mgr. Dana Prudíková, Ph.D.</w:t>
      </w:r>
      <w:r w:rsidR="004236F6" w:rsidRPr="009324E5">
        <w:rPr>
          <w:szCs w:val="22"/>
        </w:rPr>
        <w:t>, advokát</w:t>
      </w:r>
      <w:r>
        <w:rPr>
          <w:szCs w:val="22"/>
        </w:rPr>
        <w:t>ka</w:t>
      </w:r>
      <w:r w:rsidR="004236F6" w:rsidRPr="009324E5">
        <w:rPr>
          <w:szCs w:val="22"/>
        </w:rPr>
        <w:t xml:space="preserve"> v trvalé spolupráci, a</w:t>
      </w:r>
    </w:p>
    <w:p w14:paraId="0062198B" w14:textId="2EB96CFA" w:rsidR="000A46C0" w:rsidRPr="00D5116E" w:rsidRDefault="00441D7B" w:rsidP="00D5116E">
      <w:pPr>
        <w:pStyle w:val="Odrazkapro1a11"/>
        <w:keepNext w:val="0"/>
        <w:rPr>
          <w:szCs w:val="22"/>
        </w:rPr>
      </w:pPr>
      <w:r>
        <w:rPr>
          <w:szCs w:val="22"/>
        </w:rPr>
        <w:t xml:space="preserve">Mgr. Karolína Panattoni, </w:t>
      </w:r>
      <w:r w:rsidRPr="009324E5">
        <w:rPr>
          <w:szCs w:val="22"/>
        </w:rPr>
        <w:t>advokát</w:t>
      </w:r>
      <w:r>
        <w:rPr>
          <w:szCs w:val="22"/>
        </w:rPr>
        <w:t>ka</w:t>
      </w:r>
      <w:r w:rsidRPr="009324E5">
        <w:rPr>
          <w:szCs w:val="22"/>
        </w:rPr>
        <w:t xml:space="preserve"> v trvalé spolupráci</w:t>
      </w:r>
      <w:r w:rsidR="004236F6">
        <w:rPr>
          <w:szCs w:val="22"/>
        </w:rPr>
        <w:t>.</w:t>
      </w:r>
    </w:p>
    <w:p w14:paraId="2E962351" w14:textId="1FAAF1D6" w:rsidR="004236F6" w:rsidRPr="00306566" w:rsidRDefault="004236F6" w:rsidP="003E1B1C">
      <w:pPr>
        <w:pStyle w:val="Clanek11"/>
        <w:widowControl/>
      </w:pPr>
      <w:r w:rsidRPr="003E1B1C">
        <w:rPr>
          <w:rFonts w:cs="Times New Roman"/>
          <w:szCs w:val="22"/>
        </w:rPr>
        <w:lastRenderedPageBreak/>
        <w:t xml:space="preserve">Klient tímto bere na vědomí, že </w:t>
      </w:r>
      <w:r w:rsidR="00441D7B" w:rsidRPr="00441D7B">
        <w:rPr>
          <w:szCs w:val="22"/>
        </w:rPr>
        <w:t>Mgr. et Mgr. Dana Prudíková, Ph.D.</w:t>
      </w:r>
      <w:r w:rsidR="00332EB8">
        <w:rPr>
          <w:szCs w:val="22"/>
        </w:rPr>
        <w:t xml:space="preserve"> a Mgr. Karolína Panattoni</w:t>
      </w:r>
      <w:r w:rsidR="00332EB8" w:rsidRPr="003E1B1C">
        <w:rPr>
          <w:rFonts w:cs="Times New Roman"/>
          <w:szCs w:val="22"/>
        </w:rPr>
        <w:t xml:space="preserve"> </w:t>
      </w:r>
      <w:r w:rsidRPr="003E1B1C">
        <w:rPr>
          <w:rFonts w:cs="Times New Roman"/>
          <w:szCs w:val="22"/>
        </w:rPr>
        <w:t xml:space="preserve">jsou </w:t>
      </w:r>
      <w:r w:rsidR="00332EB8">
        <w:rPr>
          <w:rFonts w:cs="Times New Roman"/>
          <w:szCs w:val="22"/>
        </w:rPr>
        <w:t>advokátky</w:t>
      </w:r>
      <w:r w:rsidRPr="003E1B1C">
        <w:rPr>
          <w:rFonts w:cs="Times New Roman"/>
          <w:szCs w:val="22"/>
        </w:rPr>
        <w:t xml:space="preserve"> poskytující právní služby na základě smlouvy o trvalé spolupráci uzavřené s</w:t>
      </w:r>
      <w:r w:rsidR="00332EB8">
        <w:rPr>
          <w:rFonts w:cs="Times New Roman"/>
          <w:szCs w:val="22"/>
        </w:rPr>
        <w:t> </w:t>
      </w:r>
      <w:r w:rsidRPr="003E1B1C">
        <w:rPr>
          <w:rFonts w:cs="Times New Roman"/>
          <w:szCs w:val="22"/>
        </w:rPr>
        <w:t>Poskytovatelem</w:t>
      </w:r>
      <w:r w:rsidR="00332EB8">
        <w:rPr>
          <w:rFonts w:cs="Times New Roman"/>
          <w:szCs w:val="22"/>
        </w:rPr>
        <w:t xml:space="preserve">. </w:t>
      </w:r>
    </w:p>
    <w:p w14:paraId="50D59CA9" w14:textId="77777777" w:rsidR="004236F6" w:rsidRPr="003E1B1C" w:rsidRDefault="004236F6" w:rsidP="004236F6">
      <w:pPr>
        <w:pStyle w:val="Clanek11"/>
      </w:pPr>
      <w:bookmarkStart w:id="6" w:name="_Ref375266116"/>
      <w:r w:rsidRPr="00221E23">
        <w:rPr>
          <w:rFonts w:cs="Times New Roman"/>
          <w:szCs w:val="22"/>
        </w:rPr>
        <w:t>Personální složení určeného právního týmu může být rozšířeno nebo změněno, zejména bude-li si to vyžadovat povaha nebo rozsah práce, přičemž Poskytovatel bude dbát na zachování maximální efektivnosti poskytování Služeb a na úsporu nákladů pro Klienta.</w:t>
      </w:r>
      <w:bookmarkEnd w:id="6"/>
    </w:p>
    <w:p w14:paraId="5117E987" w14:textId="77777777" w:rsidR="003E1B1C" w:rsidRDefault="003E1B1C" w:rsidP="003E1B1C">
      <w:pPr>
        <w:pStyle w:val="Clanek11"/>
        <w:widowControl/>
      </w:pPr>
      <w:r w:rsidRPr="00257C80">
        <w:t>Vyžaduje-li to zvláštní povaha případu, je Poskytovatel oprávněn při poskytování Služeb spolupracovat s externími znalci, poradci a dalšími odborníky. Nedohodnou-li se Klient a</w:t>
      </w:r>
      <w:r>
        <w:t> </w:t>
      </w:r>
      <w:r w:rsidRPr="00257C80">
        <w:t>Poskytovatel jinak, budou takoví znalci, poradci a odborníci ustanoveni na náklady Klienta přímo jako zástupci Klienta a výlučně tito znalci, poradci a odborníci, a nikoliv Poskytovatel budou Klientovi odpovědni za poskytnutí příslušných služeb a poradenství v souladu s</w:t>
      </w:r>
      <w:r>
        <w:t> </w:t>
      </w:r>
      <w:r w:rsidRPr="00257C80">
        <w:t>příslušnými právními předpisy a profesními pravidly. Potřebu ustanovení takových osob a</w:t>
      </w:r>
      <w:r>
        <w:t> </w:t>
      </w:r>
      <w:r w:rsidRPr="00257C80">
        <w:t>náklady s tím spojené Poskytovatel vždy předem projedná s Klientem, který musí ustanovení</w:t>
      </w:r>
      <w:r>
        <w:t xml:space="preserve"> </w:t>
      </w:r>
      <w:r w:rsidRPr="002E3263">
        <w:t>konkrétní osoby a výši nákladů s tím spojených Poskytovateli předem odsouhlasit.</w:t>
      </w:r>
    </w:p>
    <w:p w14:paraId="1D66D2D6" w14:textId="77777777" w:rsidR="003E1B1C" w:rsidRPr="008C7AE0" w:rsidRDefault="003E1B1C" w:rsidP="003E1B1C">
      <w:pPr>
        <w:pStyle w:val="Clanek11"/>
        <w:widowControl/>
      </w:pPr>
      <w:r w:rsidRPr="000A46C0">
        <w:t>Poskytovatel je oprávněn, v případě, že jej o to Klient požádá, uhradit za Klienta odměnu za služby a další náklady na externí znalce, poradce a další odborníky. V takovém případě Poskytovatel tyto částky následně Klientovi přefakturuje.</w:t>
      </w:r>
    </w:p>
    <w:p w14:paraId="2AFC8F01" w14:textId="123AEF88" w:rsidR="004236F6" w:rsidRDefault="004236F6" w:rsidP="004236F6">
      <w:pPr>
        <w:pStyle w:val="Nadpis1"/>
      </w:pPr>
      <w:r w:rsidRPr="004236F6">
        <w:t>ZADÁVÁNÍ POKYNŮ</w:t>
      </w:r>
    </w:p>
    <w:p w14:paraId="0246B1FC" w14:textId="6C38D43A" w:rsidR="00F064B6" w:rsidRPr="00F064B6" w:rsidRDefault="00F064B6" w:rsidP="00F064B6">
      <w:pPr>
        <w:pStyle w:val="Clanek11"/>
        <w:rPr>
          <w:szCs w:val="22"/>
        </w:rPr>
      </w:pPr>
      <w:r w:rsidRPr="00F064B6">
        <w:rPr>
          <w:szCs w:val="22"/>
        </w:rPr>
        <w:t>Klient je povinen včasně a přesně informovat Poskytovatele o všech skutečnostech podstatných pro účinné poskytování Služeb a odpovídá za správnost a úplnost poskytnutých podkladů. Poskytovatel tyto informace a podklady po skutkové stránce nepřezkoumává a vychází z</w:t>
      </w:r>
      <w:r w:rsidR="00A6556C">
        <w:rPr>
          <w:szCs w:val="22"/>
        </w:rPr>
        <w:t> </w:t>
      </w:r>
      <w:r w:rsidRPr="00F064B6">
        <w:rPr>
          <w:szCs w:val="22"/>
        </w:rPr>
        <w:t xml:space="preserve">informací Klienta s výjimkou případů, kdy Klient o přezkoumání Poskytovatele požádá. </w:t>
      </w:r>
    </w:p>
    <w:p w14:paraId="6D26D208" w14:textId="640B8A18" w:rsidR="00F064B6" w:rsidRPr="00F064B6" w:rsidRDefault="00F064B6" w:rsidP="00F064B6">
      <w:pPr>
        <w:pStyle w:val="Clanek11"/>
        <w:rPr>
          <w:szCs w:val="22"/>
        </w:rPr>
      </w:pPr>
      <w:r w:rsidRPr="00F064B6">
        <w:rPr>
          <w:szCs w:val="22"/>
        </w:rPr>
        <w:t>Informace o zásadních skutečnostech a pokyny Klient Poskytovateli sděluje písemně (elektronicky), a to i prostřednictvím kvestora nebo kancléřky univerzity. Informace o</w:t>
      </w:r>
      <w:r w:rsidR="003D105C">
        <w:rPr>
          <w:szCs w:val="22"/>
        </w:rPr>
        <w:t> </w:t>
      </w:r>
      <w:r w:rsidRPr="00F064B6">
        <w:rPr>
          <w:szCs w:val="22"/>
        </w:rPr>
        <w:t xml:space="preserve">skutečnostech, které mohou mít ve spojení s poskytovanými Službami podstatný dopad na majetek Klienta, jeho finanční situaci a postavení v právních vztazích či na jiné jeho důležité zájmy anebo které jsou důležité z hlediska správného posouzení a předvídatelnosti případné škody či újmy, která by Klientovi mohla případně vzniknout v souvislosti s poskytováním Služeb, jsou vždy zásadní informace. </w:t>
      </w:r>
    </w:p>
    <w:p w14:paraId="055473AD" w14:textId="44435545" w:rsidR="00F064B6" w:rsidRPr="00F064B6" w:rsidRDefault="00F064B6" w:rsidP="00F064B6">
      <w:pPr>
        <w:pStyle w:val="Clanek11"/>
        <w:rPr>
          <w:szCs w:val="22"/>
        </w:rPr>
      </w:pPr>
      <w:r w:rsidRPr="00F064B6">
        <w:rPr>
          <w:szCs w:val="22"/>
        </w:rPr>
        <w:t>Klient je povinen poskytovat Poskytovateli potřebnou součinnost potřebnou k účinnému a</w:t>
      </w:r>
      <w:r w:rsidR="003D105C">
        <w:rPr>
          <w:szCs w:val="22"/>
        </w:rPr>
        <w:t> </w:t>
      </w:r>
      <w:r w:rsidRPr="00F064B6">
        <w:rPr>
          <w:szCs w:val="22"/>
        </w:rPr>
        <w:t xml:space="preserve">hospodárnému poskytování Služeb. </w:t>
      </w:r>
    </w:p>
    <w:p w14:paraId="12BAA418" w14:textId="2C6D573C" w:rsidR="004236F6" w:rsidRPr="00A263D9" w:rsidRDefault="00F064B6" w:rsidP="00F064B6">
      <w:pPr>
        <w:pStyle w:val="Clanek11"/>
      </w:pPr>
      <w:r w:rsidRPr="00F064B6">
        <w:rPr>
          <w:rFonts w:cs="Times New Roman"/>
          <w:szCs w:val="22"/>
        </w:rPr>
        <w:t>Jednotlivé pokyny a zadání Klienta k poskytování právních služeb podle této smlouvy a jejich akceptace Poskytovatelem nepředstavují samostatné smlouvy, ale realizaci této smlouvy.</w:t>
      </w:r>
    </w:p>
    <w:p w14:paraId="1D35DF39" w14:textId="77777777" w:rsidR="004236F6" w:rsidRDefault="004236F6" w:rsidP="004236F6">
      <w:pPr>
        <w:pStyle w:val="Nadpis1"/>
      </w:pPr>
      <w:r>
        <w:t>Odměna</w:t>
      </w:r>
    </w:p>
    <w:p w14:paraId="36C15185" w14:textId="328E591F" w:rsidR="004236F6" w:rsidRPr="00B63B38" w:rsidRDefault="004236F6" w:rsidP="004236F6">
      <w:pPr>
        <w:pStyle w:val="Clanek11"/>
        <w:widowControl/>
      </w:pPr>
      <w:r w:rsidRPr="00221E23">
        <w:rPr>
          <w:rFonts w:cs="Times New Roman"/>
          <w:szCs w:val="22"/>
        </w:rPr>
        <w:t>Na základě vyhlášky Ministerstva spravedlnosti č. 177/1996 Sb., o odměnách advokátů a</w:t>
      </w:r>
      <w:r w:rsidR="007B4D72">
        <w:rPr>
          <w:rFonts w:cs="Times New Roman"/>
          <w:szCs w:val="22"/>
        </w:rPr>
        <w:t> </w:t>
      </w:r>
      <w:r w:rsidRPr="00221E23">
        <w:rPr>
          <w:rFonts w:cs="Times New Roman"/>
          <w:szCs w:val="22"/>
        </w:rPr>
        <w:t>náhradách advokátů za poskytování právních služeb (advokátní tarif), ve znění pozdějších předpisů („</w:t>
      </w:r>
      <w:r w:rsidRPr="00221E23">
        <w:rPr>
          <w:rFonts w:cs="Times New Roman"/>
          <w:b/>
          <w:szCs w:val="22"/>
        </w:rPr>
        <w:t>Advokátní tarif</w:t>
      </w:r>
      <w:r w:rsidRPr="00221E23">
        <w:rPr>
          <w:rFonts w:cs="Times New Roman"/>
          <w:szCs w:val="22"/>
        </w:rPr>
        <w:t>“), Strany sjednaly smluvní odměnu za Služby poskytnuté na základě této Smlouvy účtovanou za každ</w:t>
      </w:r>
      <w:r w:rsidR="007C12C0">
        <w:rPr>
          <w:rFonts w:cs="Times New Roman"/>
          <w:szCs w:val="22"/>
        </w:rPr>
        <w:t xml:space="preserve">ých </w:t>
      </w:r>
      <w:r w:rsidRPr="00221E23">
        <w:rPr>
          <w:rFonts w:cs="Times New Roman"/>
          <w:szCs w:val="22"/>
        </w:rPr>
        <w:t>odpracovan</w:t>
      </w:r>
      <w:r w:rsidR="007C12C0">
        <w:rPr>
          <w:rFonts w:cs="Times New Roman"/>
          <w:szCs w:val="22"/>
        </w:rPr>
        <w:t>ých 15 minut</w:t>
      </w:r>
      <w:r w:rsidRPr="00221E23">
        <w:rPr>
          <w:rFonts w:cs="Times New Roman"/>
          <w:szCs w:val="22"/>
        </w:rPr>
        <w:t xml:space="preserve"> na základě pevných hodinových sazeb.</w:t>
      </w:r>
    </w:p>
    <w:p w14:paraId="63502CD1" w14:textId="24654EFF" w:rsidR="00B63B38" w:rsidRPr="00B27CEF" w:rsidRDefault="00B63B38" w:rsidP="004236F6">
      <w:pPr>
        <w:pStyle w:val="Clanek11"/>
        <w:widowControl/>
      </w:pPr>
      <w:r w:rsidRPr="00B63B38">
        <w:t xml:space="preserve">Pevná hodinová sazba je určena jako jednotná sazba ve výši </w:t>
      </w:r>
      <w:r w:rsidRPr="00B63B38">
        <w:rPr>
          <w:b/>
        </w:rPr>
        <w:t>2.</w:t>
      </w:r>
      <w:r>
        <w:rPr>
          <w:b/>
        </w:rPr>
        <w:t>8</w:t>
      </w:r>
      <w:r w:rsidRPr="00B63B38">
        <w:rPr>
          <w:b/>
        </w:rPr>
        <w:t xml:space="preserve">00 Kč/hod. </w:t>
      </w:r>
      <w:r w:rsidRPr="00B63B38">
        <w:t xml:space="preserve">bez DPH pro všechny </w:t>
      </w:r>
      <w:r w:rsidRPr="00B27CEF">
        <w:t>členy právního týmu a pro všechny poskytované Služby podle této smlouvy.</w:t>
      </w:r>
    </w:p>
    <w:p w14:paraId="5FABD5A9" w14:textId="4DB05647" w:rsidR="004236F6" w:rsidRPr="00B27CEF" w:rsidRDefault="00A00FDA" w:rsidP="00A00FDA">
      <w:pPr>
        <w:pStyle w:val="Clanek11"/>
      </w:pPr>
      <w:r w:rsidRPr="00B27CEF">
        <w:rPr>
          <w:rFonts w:cs="Times New Roman"/>
          <w:szCs w:val="22"/>
        </w:rPr>
        <w:t>V případě zastupování Klienta v soudním či rozhodčím řízení se smluvní odměna dle této Smlouvy zvyšuje o část náhrady nákladů řízení hrazených protistranou v rozsahu odměny právního zástupce určené podle Advokátního tarifu, popř. jiného použitelného právního předpisu (tzv. přísudek). Toto ustanovení se použije pouze v rozsahu, v jakém bude tato náhrada nákladů řízení Klientovi přiznána a protistranou skutečně zaplacena či na ní vymožena.</w:t>
      </w:r>
      <w:r w:rsidR="004236F6" w:rsidRPr="00B27CEF">
        <w:rPr>
          <w:rFonts w:cs="Times New Roman"/>
          <w:szCs w:val="22"/>
        </w:rPr>
        <w:t xml:space="preserve"> </w:t>
      </w:r>
    </w:p>
    <w:p w14:paraId="0B59E8E8" w14:textId="77777777" w:rsidR="004236F6" w:rsidRDefault="004236F6" w:rsidP="004236F6">
      <w:pPr>
        <w:pStyle w:val="Nadpis1"/>
      </w:pPr>
      <w:r w:rsidRPr="004236F6">
        <w:lastRenderedPageBreak/>
        <w:t xml:space="preserve">NÁHRADA </w:t>
      </w:r>
      <w:r w:rsidR="00C01E59">
        <w:t>hotov</w:t>
      </w:r>
      <w:r w:rsidR="00306CD2">
        <w:t xml:space="preserve">ých </w:t>
      </w:r>
      <w:r w:rsidR="00C01E59">
        <w:t>výdaj</w:t>
      </w:r>
      <w:r w:rsidR="00306CD2">
        <w:t>ů</w:t>
      </w:r>
    </w:p>
    <w:p w14:paraId="1977A6CF" w14:textId="4D3EB1DD" w:rsidR="001B744B" w:rsidRPr="001B744B" w:rsidRDefault="001B744B" w:rsidP="001B744B">
      <w:pPr>
        <w:pStyle w:val="Clanek11"/>
      </w:pPr>
      <w:r w:rsidRPr="001B744B">
        <w:t xml:space="preserve">Součástí odměny jsou vnitroměstské cestovní náklady v Praze a </w:t>
      </w:r>
      <w:r>
        <w:t>Ústí nad Labem</w:t>
      </w:r>
      <w:r w:rsidRPr="001B744B">
        <w:t xml:space="preserve">, náklady na tisk, kopírování, faxové a poštovní a telekomunikační služby. </w:t>
      </w:r>
    </w:p>
    <w:p w14:paraId="58604434" w14:textId="707AE15A" w:rsidR="001B744B" w:rsidRPr="001B744B" w:rsidRDefault="001B744B" w:rsidP="001B744B">
      <w:pPr>
        <w:pStyle w:val="Clanek11"/>
        <w:widowControl/>
      </w:pPr>
      <w:r w:rsidRPr="001B744B">
        <w:t>V odměně nejsou obsaženy soudní a správní poplatky, meziměstské či mezinárodní cestovní náklady včetně nutného ubytování, odměna a náklady externích znalců, překladatelů a dalších odborníků, které Klient předem písemně odsouhlasil a jejich odměnu a náklady uhradil či má uhradit Poskytovatel za Klienta; tyto budou následně fakturovány Klientovi spolu s odměnou za právní služby, nebo dodatečně po zjištění jejich skutečné výše („</w:t>
      </w:r>
      <w:r w:rsidRPr="001B744B">
        <w:rPr>
          <w:b/>
        </w:rPr>
        <w:t>Hotové výdaje</w:t>
      </w:r>
      <w:r w:rsidRPr="001B744B">
        <w:t>“).</w:t>
      </w:r>
    </w:p>
    <w:p w14:paraId="1328FC38" w14:textId="77777777" w:rsidR="004236F6" w:rsidRDefault="004236F6" w:rsidP="004236F6">
      <w:pPr>
        <w:pStyle w:val="Nadpis1"/>
      </w:pPr>
      <w:bookmarkStart w:id="7" w:name="_Ref166846977"/>
      <w:r w:rsidRPr="004236F6">
        <w:t>Vyúčtování a platební podmínky</w:t>
      </w:r>
      <w:bookmarkEnd w:id="7"/>
    </w:p>
    <w:p w14:paraId="005D1648" w14:textId="2688F1A0" w:rsidR="004236F6" w:rsidRPr="0042493E" w:rsidRDefault="005B0189" w:rsidP="005B0189">
      <w:pPr>
        <w:pStyle w:val="Clanek11"/>
        <w:widowControl/>
      </w:pPr>
      <w:r w:rsidRPr="005B0189">
        <w:rPr>
          <w:b/>
        </w:rPr>
        <w:t xml:space="preserve">Odměna </w:t>
      </w:r>
      <w:r w:rsidRPr="005B0189">
        <w:t xml:space="preserve">za právní služby a </w:t>
      </w:r>
      <w:r w:rsidRPr="005B0189">
        <w:rPr>
          <w:b/>
        </w:rPr>
        <w:t xml:space="preserve">Hotové výdaje </w:t>
      </w:r>
      <w:r w:rsidRPr="005B0189">
        <w:t>budou hrazeny na základě daňového dokladu vystaveného Klientovi po provedení uceleného úseku právní služby nebo ucelené doby, zpravidla měsíčně. Daňový doklad bude vystaven ve standardním formátu Poskytovatele.</w:t>
      </w:r>
    </w:p>
    <w:p w14:paraId="0E2C8467" w14:textId="77777777" w:rsidR="0042493E" w:rsidRDefault="0042493E" w:rsidP="0042493E">
      <w:pPr>
        <w:pStyle w:val="Nadpis1"/>
      </w:pPr>
      <w:r w:rsidRPr="0042493E">
        <w:t>Závěrečná ustanovení</w:t>
      </w:r>
    </w:p>
    <w:p w14:paraId="785D895E" w14:textId="77777777" w:rsidR="0094185F" w:rsidRPr="0094185F" w:rsidRDefault="0042493E" w:rsidP="0094185F">
      <w:pPr>
        <w:pStyle w:val="Clanek11"/>
        <w:widowControl/>
      </w:pPr>
      <w:r w:rsidRPr="00221E23">
        <w:rPr>
          <w:rFonts w:cs="Times New Roman"/>
          <w:szCs w:val="22"/>
        </w:rPr>
        <w:t>Strany se dohodly, že se tento závazek bude řídit právním řádem České republiky, zejména příslušnými ustanoveními Zákona o advokacii</w:t>
      </w:r>
      <w:r>
        <w:rPr>
          <w:rFonts w:cs="Times New Roman"/>
          <w:szCs w:val="22"/>
        </w:rPr>
        <w:t xml:space="preserve"> a</w:t>
      </w:r>
      <w:r w:rsidRPr="00221E23">
        <w:rPr>
          <w:rFonts w:cs="Times New Roman"/>
          <w:szCs w:val="22"/>
        </w:rPr>
        <w:t xml:space="preserve"> Občansk</w:t>
      </w:r>
      <w:r>
        <w:rPr>
          <w:rFonts w:cs="Times New Roman"/>
          <w:szCs w:val="22"/>
        </w:rPr>
        <w:t>ého</w:t>
      </w:r>
      <w:r w:rsidRPr="00221E23">
        <w:rPr>
          <w:rFonts w:cs="Times New Roman"/>
          <w:szCs w:val="22"/>
        </w:rPr>
        <w:t xml:space="preserve"> zákoník</w:t>
      </w:r>
      <w:r>
        <w:rPr>
          <w:rFonts w:cs="Times New Roman"/>
          <w:szCs w:val="22"/>
        </w:rPr>
        <w:t>u,</w:t>
      </w:r>
      <w:r w:rsidRPr="00221E23">
        <w:rPr>
          <w:rFonts w:cs="Times New Roman"/>
          <w:szCs w:val="22"/>
        </w:rPr>
        <w:t xml:space="preserve"> pravidly profesionální etiky a pravidly soutěže advokátů České republiky (etický kodex) a dalšími stavovskými předpisy vydanými Českou advokátní komorou („</w:t>
      </w:r>
      <w:r w:rsidRPr="00221E23">
        <w:rPr>
          <w:rFonts w:cs="Times New Roman"/>
          <w:b/>
          <w:szCs w:val="22"/>
        </w:rPr>
        <w:t>Stavovské předpisy</w:t>
      </w:r>
      <w:r w:rsidRPr="00221E23">
        <w:rPr>
          <w:rFonts w:cs="Times New Roman"/>
          <w:szCs w:val="22"/>
        </w:rPr>
        <w:t>“).</w:t>
      </w:r>
    </w:p>
    <w:p w14:paraId="54126EB4" w14:textId="77777777" w:rsidR="00637E6D" w:rsidRPr="00637E6D" w:rsidRDefault="0094185F" w:rsidP="0094185F">
      <w:pPr>
        <w:pStyle w:val="Clanek11"/>
        <w:widowControl/>
      </w:pPr>
      <w:r w:rsidRPr="0094185F">
        <w:rPr>
          <w:szCs w:val="22"/>
        </w:rPr>
        <w:t xml:space="preserve">Tato Smlouva nabývá účinnosti uveřejněním v registr smluv. Uveřejnění Smlouvy v registru smluv v souladu s podmínkami stanovenými zákonem č. 340/2015 Sb., o zvláštních podmínkách účinnosti některých smluv, uveřejňování těchto smluv a o registru smluv (zákon o registru smluv), ve znění pozdějších předpisů provede Klient. </w:t>
      </w:r>
    </w:p>
    <w:p w14:paraId="2A43F4D2" w14:textId="77777777" w:rsidR="00637E6D" w:rsidRPr="00637E6D" w:rsidRDefault="0094185F" w:rsidP="0094185F">
      <w:pPr>
        <w:pStyle w:val="Clanek11"/>
        <w:widowControl/>
      </w:pPr>
      <w:r w:rsidRPr="00637E6D">
        <w:rPr>
          <w:szCs w:val="22"/>
        </w:rPr>
        <w:t>Služby poskytované na základě této Smlouvy jsou určeny výlučně pro potřeby a využití ze strany Klienta a Klient takto poskytnuté Služby může použít výhradně pro své potřeby. Autorská práva k výstupům poskytování Služeb Poskytovatele pro Klienta dle této Smlouvy je Klient oprávněn využít v rozsahu, v jakém je to nutné k dosažení účelu podle čl. 1.2. této Smlouvy („</w:t>
      </w:r>
      <w:r w:rsidRPr="00637E6D">
        <w:rPr>
          <w:b/>
          <w:szCs w:val="22"/>
        </w:rPr>
        <w:t>Licence</w:t>
      </w:r>
      <w:r w:rsidRPr="00637E6D">
        <w:rPr>
          <w:szCs w:val="22"/>
        </w:rPr>
        <w:t xml:space="preserve">“). Licence je poskytnuta jako nevýhradní a na dobu trvání práv duševního vlastnictví. Pokud neplyne z povahy výstupů jinak, má Klient právo výstupy užít pouze v původní podobě. Klient nemá právo oprávnění tvořící součást Licence poskytnout (sublicence) nebo postoupit třetí osobě. </w:t>
      </w:r>
    </w:p>
    <w:p w14:paraId="3979FCAA" w14:textId="77777777" w:rsidR="00637E6D" w:rsidRPr="00637E6D" w:rsidRDefault="0094185F" w:rsidP="0094185F">
      <w:pPr>
        <w:pStyle w:val="Clanek11"/>
        <w:widowControl/>
      </w:pPr>
      <w:r w:rsidRPr="00637E6D">
        <w:rPr>
          <w:szCs w:val="22"/>
        </w:rPr>
        <w:t xml:space="preserve">Smluvní strany berou na vědomí, že v průběhu poskytování Služeb mohou být Poskytovatelem zpracovávány osobní údaje Klienta anebo třetích osob. Účelem zpracovávání těchto osobních údajů je ochrana práv a oprávněných zájmů Klienta a Poskytovatele, a plnění povinností podle této Smlouvy. Poskytovatel se zavazuje přijmout příslušná technickoorganizační opatření k zajištění ochrany osobních údajů. Klient souhlasí, že jím používané elektronické kontakty při komunikaci s Poskytovatelem (nebo jinak Klientem poskytnuté) mohou být Poskytovatelem použity pro nabízení jeho dalších služeb, pokud to Klient neodmítne. Klient rovněž souhlasí s tím, aby Poskytovatel využil reference na poskytování Služeb podle této Smlouvy ke své činnosti. </w:t>
      </w:r>
    </w:p>
    <w:p w14:paraId="74E17290" w14:textId="28A77E2D" w:rsidR="00695FDB" w:rsidRDefault="0094185F" w:rsidP="00695FDB">
      <w:pPr>
        <w:pStyle w:val="Clanek11"/>
        <w:widowControl/>
      </w:pPr>
      <w:r w:rsidRPr="00637E6D">
        <w:rPr>
          <w:szCs w:val="22"/>
        </w:rPr>
        <w:t xml:space="preserve">Klient může kdykoli ukončit tuto Smlouvu písemnou výpovědí doručenou Poskytovateli. Není-li ve výpovědi stanoveno jinak, výpověď nabude účinnosti dnem jejího doručení Poskytovateli. Poskytovatel je oprávněn kdykoli ukončit tuto Smlouvu písemnou výpovědí doručenou Klientovi. Výpověď nabývá účinnost ke dni, který následuje jeden měsíc po dni doručení výpovědi Klientovi. Tím není dotčeno právo Poskytovatele ukončit tuto Smlouvu v případech a za podmínek stanovených obecně závaznými právními předpisy (zejména ustanovení § 20 Zákona o advokacii) a touto Smlouvou. Ukončením Smlouvy nejsou dotčeny nároky Stran vzniklé před ukončením Smlouvy, zejména nárok Poskytovatele na úhradu odměny a Hotových výdajů. </w:t>
      </w:r>
    </w:p>
    <w:p w14:paraId="7AA80AC7" w14:textId="631C92A7" w:rsidR="004236F6" w:rsidRDefault="0094185F" w:rsidP="00306F1C">
      <w:pPr>
        <w:pStyle w:val="Clanek11"/>
        <w:widowControl/>
      </w:pPr>
      <w:r w:rsidRPr="00695FDB">
        <w:rPr>
          <w:szCs w:val="22"/>
        </w:rPr>
        <w:t>Tato Smlouva je vyhotovena ve dvou stejnopisech v českém jazyce. Každá Strana obdrží po jednom stejnopise.</w:t>
      </w:r>
    </w:p>
    <w:tbl>
      <w:tblPr>
        <w:tblW w:w="9012" w:type="dxa"/>
        <w:jc w:val="center"/>
        <w:tblLook w:val="0000" w:firstRow="0" w:lastRow="0" w:firstColumn="0" w:lastColumn="0" w:noHBand="0" w:noVBand="0"/>
      </w:tblPr>
      <w:tblGrid>
        <w:gridCol w:w="4506"/>
        <w:gridCol w:w="4506"/>
      </w:tblGrid>
      <w:tr w:rsidR="00A91555" w:rsidRPr="00DF5595" w14:paraId="08FD5D6F" w14:textId="77777777" w:rsidTr="00695FDB">
        <w:trPr>
          <w:trHeight w:val="715"/>
          <w:jc w:val="center"/>
        </w:trPr>
        <w:tc>
          <w:tcPr>
            <w:tcW w:w="4506" w:type="dxa"/>
          </w:tcPr>
          <w:p w14:paraId="1BB274BA" w14:textId="0C354C45" w:rsidR="00A91555" w:rsidRPr="00695FDB" w:rsidRDefault="00695FDB" w:rsidP="00CF0F57">
            <w:pPr>
              <w:keepNext/>
              <w:jc w:val="left"/>
              <w:rPr>
                <w:b/>
                <w:szCs w:val="22"/>
              </w:rPr>
            </w:pPr>
            <w:r>
              <w:rPr>
                <w:b/>
                <w:szCs w:val="22"/>
              </w:rPr>
              <w:lastRenderedPageBreak/>
              <w:t>z</w:t>
            </w:r>
            <w:r w:rsidRPr="00695FDB">
              <w:rPr>
                <w:b/>
                <w:szCs w:val="22"/>
              </w:rPr>
              <w:t xml:space="preserve">a Univerzitu Jana Evangelisty Purkyně v Ústí nad Labem </w:t>
            </w:r>
          </w:p>
        </w:tc>
        <w:tc>
          <w:tcPr>
            <w:tcW w:w="4506" w:type="dxa"/>
          </w:tcPr>
          <w:p w14:paraId="2834B480" w14:textId="4A49697E" w:rsidR="00A91555" w:rsidRPr="00DF5595" w:rsidRDefault="00695FDB" w:rsidP="00CF0F57">
            <w:pPr>
              <w:keepNext/>
              <w:jc w:val="left"/>
              <w:rPr>
                <w:szCs w:val="22"/>
              </w:rPr>
            </w:pPr>
            <w:r>
              <w:rPr>
                <w:b/>
                <w:bCs/>
                <w:szCs w:val="22"/>
              </w:rPr>
              <w:t xml:space="preserve">za </w:t>
            </w:r>
            <w:r w:rsidR="00C55956" w:rsidRPr="00695FDB">
              <w:rPr>
                <w:b/>
                <w:bCs/>
                <w:szCs w:val="22"/>
              </w:rPr>
              <w:t>HAVEL &amp; PARTNERS</w:t>
            </w:r>
            <w:r w:rsidR="00A91555" w:rsidRPr="00695FDB">
              <w:rPr>
                <w:b/>
                <w:bCs/>
                <w:szCs w:val="22"/>
              </w:rPr>
              <w:t xml:space="preserve"> s.r.o.</w:t>
            </w:r>
            <w:r w:rsidR="00A91555" w:rsidRPr="00695FDB">
              <w:rPr>
                <w:b/>
                <w:szCs w:val="22"/>
              </w:rPr>
              <w:t xml:space="preserve">, </w:t>
            </w:r>
            <w:r w:rsidR="00A91555" w:rsidRPr="00695FDB">
              <w:rPr>
                <w:b/>
                <w:szCs w:val="22"/>
              </w:rPr>
              <w:br/>
              <w:t>advokátní kancelář</w:t>
            </w:r>
          </w:p>
        </w:tc>
      </w:tr>
      <w:tr w:rsidR="00A91555" w:rsidRPr="00DF5595" w14:paraId="2A8EE309" w14:textId="77777777" w:rsidTr="00695FDB">
        <w:trPr>
          <w:trHeight w:val="819"/>
          <w:jc w:val="center"/>
        </w:trPr>
        <w:tc>
          <w:tcPr>
            <w:tcW w:w="4506" w:type="dxa"/>
          </w:tcPr>
          <w:p w14:paraId="6B438E68" w14:textId="77777777" w:rsidR="00A91555" w:rsidRDefault="00A91555" w:rsidP="00CF0F57">
            <w:pPr>
              <w:keepNext/>
              <w:jc w:val="left"/>
              <w:rPr>
                <w:szCs w:val="22"/>
              </w:rPr>
            </w:pPr>
          </w:p>
          <w:p w14:paraId="020118E5" w14:textId="77777777" w:rsidR="00695FDB" w:rsidRDefault="00695FDB" w:rsidP="00CF0F57">
            <w:pPr>
              <w:keepNext/>
              <w:jc w:val="left"/>
              <w:rPr>
                <w:szCs w:val="22"/>
              </w:rPr>
            </w:pPr>
          </w:p>
          <w:p w14:paraId="56A2B4D2" w14:textId="77777777" w:rsidR="00695FDB" w:rsidRDefault="00695FDB" w:rsidP="00CF0F57">
            <w:pPr>
              <w:keepNext/>
              <w:jc w:val="left"/>
              <w:rPr>
                <w:szCs w:val="22"/>
              </w:rPr>
            </w:pPr>
          </w:p>
          <w:p w14:paraId="7DAA90CA" w14:textId="77777777" w:rsidR="00695FDB" w:rsidRPr="00DF5595" w:rsidRDefault="00695FDB" w:rsidP="00CF0F57">
            <w:pPr>
              <w:keepNext/>
              <w:jc w:val="left"/>
              <w:rPr>
                <w:szCs w:val="22"/>
              </w:rPr>
            </w:pPr>
          </w:p>
          <w:p w14:paraId="19BB2C96" w14:textId="77777777" w:rsidR="00A91555" w:rsidRPr="00DF5595" w:rsidRDefault="00A91555" w:rsidP="00CF0F57">
            <w:pPr>
              <w:keepNext/>
              <w:jc w:val="left"/>
              <w:rPr>
                <w:szCs w:val="22"/>
              </w:rPr>
            </w:pPr>
            <w:r w:rsidRPr="00DF5595">
              <w:rPr>
                <w:szCs w:val="22"/>
              </w:rPr>
              <w:t>_______________________________________</w:t>
            </w:r>
          </w:p>
        </w:tc>
        <w:tc>
          <w:tcPr>
            <w:tcW w:w="4506" w:type="dxa"/>
          </w:tcPr>
          <w:p w14:paraId="3CAA3342" w14:textId="77777777" w:rsidR="00A91555" w:rsidRDefault="00A91555" w:rsidP="00CF0F57">
            <w:pPr>
              <w:keepNext/>
              <w:jc w:val="left"/>
              <w:rPr>
                <w:szCs w:val="22"/>
              </w:rPr>
            </w:pPr>
          </w:p>
          <w:p w14:paraId="401615E8" w14:textId="77777777" w:rsidR="00695FDB" w:rsidRDefault="00695FDB" w:rsidP="00CF0F57">
            <w:pPr>
              <w:keepNext/>
              <w:jc w:val="left"/>
              <w:rPr>
                <w:szCs w:val="22"/>
              </w:rPr>
            </w:pPr>
          </w:p>
          <w:p w14:paraId="6AC7EA85" w14:textId="77777777" w:rsidR="00695FDB" w:rsidRDefault="00695FDB" w:rsidP="00CF0F57">
            <w:pPr>
              <w:keepNext/>
              <w:jc w:val="left"/>
              <w:rPr>
                <w:szCs w:val="22"/>
              </w:rPr>
            </w:pPr>
          </w:p>
          <w:p w14:paraId="5A8939A7" w14:textId="77777777" w:rsidR="00695FDB" w:rsidRPr="00DF5595" w:rsidRDefault="00695FDB" w:rsidP="00CF0F57">
            <w:pPr>
              <w:keepNext/>
              <w:jc w:val="left"/>
              <w:rPr>
                <w:szCs w:val="22"/>
              </w:rPr>
            </w:pPr>
          </w:p>
          <w:p w14:paraId="687D50BA" w14:textId="77777777" w:rsidR="00A91555" w:rsidRPr="00DF5595" w:rsidRDefault="00A91555" w:rsidP="00CF0F57">
            <w:pPr>
              <w:keepNext/>
              <w:jc w:val="left"/>
              <w:rPr>
                <w:szCs w:val="22"/>
              </w:rPr>
            </w:pPr>
            <w:r w:rsidRPr="00DF5595">
              <w:rPr>
                <w:szCs w:val="22"/>
              </w:rPr>
              <w:t>_______________________________________</w:t>
            </w:r>
          </w:p>
        </w:tc>
      </w:tr>
      <w:tr w:rsidR="00A91555" w:rsidRPr="00DF5595" w14:paraId="6670E936" w14:textId="77777777" w:rsidTr="00695FDB">
        <w:trPr>
          <w:trHeight w:val="832"/>
          <w:jc w:val="center"/>
        </w:trPr>
        <w:tc>
          <w:tcPr>
            <w:tcW w:w="4506" w:type="dxa"/>
          </w:tcPr>
          <w:p w14:paraId="46A8A696" w14:textId="64148193" w:rsidR="00A91555" w:rsidRPr="00DF5595" w:rsidRDefault="00A91555" w:rsidP="00CF0F57">
            <w:pPr>
              <w:keepNext/>
              <w:jc w:val="left"/>
              <w:rPr>
                <w:szCs w:val="22"/>
              </w:rPr>
            </w:pPr>
            <w:r w:rsidRPr="00DF5595">
              <w:rPr>
                <w:szCs w:val="22"/>
              </w:rPr>
              <w:t xml:space="preserve">Jméno: </w:t>
            </w:r>
            <w:r w:rsidR="00695FDB" w:rsidRPr="00380D5F">
              <w:rPr>
                <w:szCs w:val="22"/>
              </w:rPr>
              <w:t xml:space="preserve">doc. RNDr. Jaroslav Koutský, </w:t>
            </w:r>
            <w:proofErr w:type="gramStart"/>
            <w:r w:rsidR="00695FDB" w:rsidRPr="00380D5F">
              <w:rPr>
                <w:szCs w:val="22"/>
              </w:rPr>
              <w:t>Ph.D</w:t>
            </w:r>
            <w:proofErr w:type="gramEnd"/>
          </w:p>
          <w:p w14:paraId="4F0BABEC" w14:textId="1C9801B0" w:rsidR="00A91555" w:rsidRPr="00DF5595" w:rsidRDefault="00A91555" w:rsidP="00CF0F57">
            <w:pPr>
              <w:keepNext/>
              <w:jc w:val="left"/>
              <w:rPr>
                <w:szCs w:val="22"/>
              </w:rPr>
            </w:pPr>
            <w:r w:rsidRPr="00DF5595">
              <w:rPr>
                <w:szCs w:val="22"/>
              </w:rPr>
              <w:t xml:space="preserve">Funkce: </w:t>
            </w:r>
            <w:r w:rsidR="00695FDB">
              <w:rPr>
                <w:szCs w:val="22"/>
              </w:rPr>
              <w:t xml:space="preserve">rektor </w:t>
            </w:r>
          </w:p>
        </w:tc>
        <w:tc>
          <w:tcPr>
            <w:tcW w:w="4506" w:type="dxa"/>
          </w:tcPr>
          <w:p w14:paraId="0DCF5800" w14:textId="0CB288B7" w:rsidR="00A91555" w:rsidRPr="00DF5595" w:rsidRDefault="00A91555" w:rsidP="00CF0F57">
            <w:pPr>
              <w:keepNext/>
              <w:jc w:val="left"/>
              <w:rPr>
                <w:szCs w:val="22"/>
              </w:rPr>
            </w:pPr>
            <w:r w:rsidRPr="00DF5595">
              <w:rPr>
                <w:szCs w:val="22"/>
              </w:rPr>
              <w:t xml:space="preserve">Jméno: </w:t>
            </w:r>
            <w:r w:rsidR="00695FDB">
              <w:rPr>
                <w:szCs w:val="22"/>
              </w:rPr>
              <w:t xml:space="preserve">Mgr. Josef Hlavička </w:t>
            </w:r>
          </w:p>
          <w:p w14:paraId="6CA3C7A1" w14:textId="77777777" w:rsidR="00A91555" w:rsidRDefault="00A91555" w:rsidP="00CF0F57">
            <w:pPr>
              <w:keepNext/>
              <w:jc w:val="left"/>
              <w:rPr>
                <w:bCs/>
                <w:szCs w:val="22"/>
              </w:rPr>
            </w:pPr>
            <w:r w:rsidRPr="00DF5595">
              <w:rPr>
                <w:szCs w:val="22"/>
              </w:rPr>
              <w:t xml:space="preserve">Funkce: </w:t>
            </w:r>
            <w:r>
              <w:rPr>
                <w:bCs/>
                <w:szCs w:val="22"/>
              </w:rPr>
              <w:t>jednatel</w:t>
            </w:r>
          </w:p>
          <w:p w14:paraId="666FB49D" w14:textId="77777777" w:rsidR="00B27CEF" w:rsidRPr="00DF5595" w:rsidRDefault="00B27CEF" w:rsidP="00CF0F57">
            <w:pPr>
              <w:keepNext/>
              <w:jc w:val="left"/>
              <w:rPr>
                <w:szCs w:val="22"/>
              </w:rPr>
            </w:pPr>
          </w:p>
        </w:tc>
      </w:tr>
    </w:tbl>
    <w:p w14:paraId="3E2D84AB" w14:textId="77777777" w:rsidR="004A32F2" w:rsidRPr="004A32F2" w:rsidRDefault="004A32F2" w:rsidP="004A32F2">
      <w:pPr>
        <w:sectPr w:rsidR="004A32F2" w:rsidRPr="004A32F2" w:rsidSect="000D6F14">
          <w:headerReference w:type="default" r:id="rId10"/>
          <w:footerReference w:type="default" r:id="rId11"/>
          <w:pgSz w:w="11907" w:h="16840" w:code="9"/>
          <w:pgMar w:top="1418" w:right="1418" w:bottom="1418" w:left="1418" w:header="720" w:footer="720" w:gutter="0"/>
          <w:cols w:space="720"/>
          <w:docGrid w:linePitch="360"/>
        </w:sectPr>
      </w:pPr>
    </w:p>
    <w:p w14:paraId="1E87D364" w14:textId="3FB94AD0" w:rsidR="00A6133B" w:rsidRPr="00A6133B" w:rsidRDefault="00A6133B" w:rsidP="00A6133B">
      <w:pPr>
        <w:tabs>
          <w:tab w:val="left" w:pos="1900"/>
        </w:tabs>
      </w:pPr>
    </w:p>
    <w:sectPr w:rsidR="00A6133B" w:rsidRPr="00A6133B" w:rsidSect="000D6F14">
      <w:footerReference w:type="default" r:id="rId12"/>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2F92" w14:textId="77777777" w:rsidR="00FB3E25" w:rsidRDefault="00FB3E25">
      <w:r>
        <w:separator/>
      </w:r>
    </w:p>
  </w:endnote>
  <w:endnote w:type="continuationSeparator" w:id="0">
    <w:p w14:paraId="2D05A84A" w14:textId="77777777" w:rsidR="00FB3E25" w:rsidRDefault="00FB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94A3" w14:textId="77777777" w:rsidR="00871FC3" w:rsidRPr="00CB76BE" w:rsidRDefault="00871FC3" w:rsidP="00D32996">
    <w:pPr>
      <w:pStyle w:val="Zpat"/>
      <w:tabs>
        <w:tab w:val="clear" w:pos="4703"/>
        <w:tab w:val="clear" w:pos="9406"/>
        <w:tab w:val="right" w:pos="9072"/>
      </w:tabs>
      <w:rPr>
        <w:rFonts w:ascii="Arial" w:hAnsi="Arial" w:cs="Arial"/>
        <w:b/>
        <w:sz w:val="15"/>
        <w:szCs w:val="15"/>
      </w:rPr>
    </w:pPr>
    <w:r>
      <w:rPr>
        <w:sz w:val="22"/>
        <w:szCs w:val="22"/>
      </w:rPr>
      <w:tab/>
    </w:r>
    <w:r w:rsidRPr="00CB76BE">
      <w:rPr>
        <w:rStyle w:val="slostrnky"/>
        <w:rFonts w:ascii="Arial" w:hAnsi="Arial" w:cs="Arial"/>
        <w:b/>
        <w:sz w:val="15"/>
        <w:szCs w:val="15"/>
      </w:rPr>
      <w:fldChar w:fldCharType="begin"/>
    </w:r>
    <w:r w:rsidRPr="00CB76BE">
      <w:rPr>
        <w:rStyle w:val="slostrnky"/>
        <w:rFonts w:ascii="Arial" w:hAnsi="Arial" w:cs="Arial"/>
        <w:b/>
        <w:sz w:val="15"/>
        <w:szCs w:val="15"/>
      </w:rPr>
      <w:instrText xml:space="preserve"> PAGE </w:instrText>
    </w:r>
    <w:r w:rsidRPr="00CB76BE">
      <w:rPr>
        <w:rStyle w:val="slostrnky"/>
        <w:rFonts w:ascii="Arial" w:hAnsi="Arial" w:cs="Arial"/>
        <w:b/>
        <w:sz w:val="15"/>
        <w:szCs w:val="15"/>
      </w:rPr>
      <w:fldChar w:fldCharType="separate"/>
    </w:r>
    <w:r w:rsidR="00E43C1C">
      <w:rPr>
        <w:rStyle w:val="slostrnky"/>
        <w:rFonts w:ascii="Arial" w:hAnsi="Arial" w:cs="Arial"/>
        <w:b/>
        <w:noProof/>
        <w:sz w:val="15"/>
        <w:szCs w:val="15"/>
      </w:rPr>
      <w:t>12</w:t>
    </w:r>
    <w:r w:rsidRPr="00CB76BE">
      <w:rPr>
        <w:rStyle w:val="slostrnky"/>
        <w:rFonts w:ascii="Arial" w:hAnsi="Arial" w:cs="Arial"/>
        <w:b/>
        <w:sz w:val="15"/>
        <w:szCs w:val="15"/>
      </w:rPr>
      <w:fldChar w:fldCharType="end"/>
    </w:r>
    <w:r w:rsidRPr="00CB76BE">
      <w:rPr>
        <w:rStyle w:val="slostrnky"/>
        <w:rFonts w:ascii="Arial" w:hAnsi="Arial" w:cs="Arial"/>
        <w:b/>
        <w:sz w:val="15"/>
        <w:szCs w:val="15"/>
      </w:rPr>
      <w:t xml:space="preserve"> / </w:t>
    </w:r>
    <w:r w:rsidRPr="00CB76BE">
      <w:rPr>
        <w:rStyle w:val="slostrnky"/>
        <w:rFonts w:ascii="Arial" w:hAnsi="Arial" w:cs="Arial"/>
        <w:b/>
        <w:sz w:val="15"/>
        <w:szCs w:val="15"/>
      </w:rPr>
      <w:fldChar w:fldCharType="begin"/>
    </w:r>
    <w:r w:rsidRPr="00CB76BE">
      <w:rPr>
        <w:rStyle w:val="slostrnky"/>
        <w:rFonts w:ascii="Arial" w:hAnsi="Arial" w:cs="Arial"/>
        <w:b/>
        <w:sz w:val="15"/>
        <w:szCs w:val="15"/>
      </w:rPr>
      <w:instrText xml:space="preserve"> NUMPAGES </w:instrText>
    </w:r>
    <w:r w:rsidRPr="00CB76BE">
      <w:rPr>
        <w:rStyle w:val="slostrnky"/>
        <w:rFonts w:ascii="Arial" w:hAnsi="Arial" w:cs="Arial"/>
        <w:b/>
        <w:sz w:val="15"/>
        <w:szCs w:val="15"/>
      </w:rPr>
      <w:fldChar w:fldCharType="separate"/>
    </w:r>
    <w:r w:rsidR="00E43C1C">
      <w:rPr>
        <w:rStyle w:val="slostrnky"/>
        <w:rFonts w:ascii="Arial" w:hAnsi="Arial" w:cs="Arial"/>
        <w:b/>
        <w:noProof/>
        <w:sz w:val="15"/>
        <w:szCs w:val="15"/>
      </w:rPr>
      <w:t>18</w:t>
    </w:r>
    <w:r w:rsidRPr="00CB76BE">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C2A5" w14:textId="77777777" w:rsidR="00871FC3" w:rsidRPr="007D2A95" w:rsidRDefault="00871FC3" w:rsidP="007D2A95">
    <w:pPr>
      <w:pStyle w:val="Zpat"/>
      <w:tabs>
        <w:tab w:val="clear" w:pos="4703"/>
        <w:tab w:val="clear" w:pos="9406"/>
        <w:tab w:val="center" w:pos="4488"/>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0E17" w14:textId="77777777" w:rsidR="00FB3E25" w:rsidRDefault="00FB3E25">
      <w:r>
        <w:separator/>
      </w:r>
    </w:p>
  </w:footnote>
  <w:footnote w:type="continuationSeparator" w:id="0">
    <w:p w14:paraId="51354404" w14:textId="77777777" w:rsidR="00FB3E25" w:rsidRDefault="00FB3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2BD8" w14:textId="77777777" w:rsidR="00871FC3" w:rsidRPr="00A03D69" w:rsidRDefault="00871FC3" w:rsidP="007D2A95">
    <w:pPr>
      <w:tabs>
        <w:tab w:val="right" w:pos="9072"/>
      </w:tabs>
      <w:spacing w:before="0" w:after="0"/>
      <w:rPr>
        <w:rFonts w:cs="Arial"/>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02D7" w14:textId="77777777" w:rsidR="00870739" w:rsidRPr="000F1DF5" w:rsidRDefault="00C55956" w:rsidP="00870739">
    <w:pPr>
      <w:tabs>
        <w:tab w:val="right" w:pos="9072"/>
      </w:tabs>
      <w:spacing w:before="0" w:after="0"/>
      <w:rPr>
        <w:rFonts w:ascii="Arial" w:hAnsi="Arial"/>
        <w:iCs/>
        <w:sz w:val="15"/>
        <w:szCs w:val="15"/>
      </w:rPr>
    </w:pPr>
    <w:r w:rsidRPr="00C55956">
      <w:rPr>
        <w:rFonts w:ascii="Arial" w:hAnsi="Arial"/>
        <w:b/>
        <w:bCs/>
        <w:iCs/>
        <w:sz w:val="15"/>
        <w:szCs w:val="15"/>
      </w:rPr>
      <w:t>HAVEL &amp; PARTNERS</w:t>
    </w:r>
    <w:r w:rsidR="00870739" w:rsidRPr="000F1DF5">
      <w:rPr>
        <w:rFonts w:ascii="Arial" w:hAnsi="Arial"/>
        <w:b/>
        <w:bCs/>
        <w:iCs/>
        <w:sz w:val="15"/>
        <w:szCs w:val="15"/>
      </w:rPr>
      <w:t xml:space="preserve"> s.r.o.</w:t>
    </w:r>
    <w:r w:rsidR="00870739" w:rsidRPr="000F1DF5">
      <w:rPr>
        <w:rFonts w:ascii="Arial" w:hAnsi="Arial"/>
        <w:iCs/>
        <w:sz w:val="15"/>
        <w:szCs w:val="15"/>
      </w:rPr>
      <w:tab/>
    </w:r>
  </w:p>
  <w:p w14:paraId="78EDAD5F" w14:textId="77777777" w:rsidR="00871FC3" w:rsidRPr="00A03D69" w:rsidRDefault="00870739" w:rsidP="00870739">
    <w:pPr>
      <w:tabs>
        <w:tab w:val="right" w:pos="9072"/>
      </w:tabs>
      <w:spacing w:before="0" w:after="0"/>
      <w:rPr>
        <w:rFonts w:cs="Arial"/>
      </w:rPr>
    </w:pPr>
    <w:r>
      <w:rPr>
        <w:rFonts w:ascii="Arial" w:hAnsi="Arial" w:cs="Arial"/>
        <w:b/>
        <w:sz w:val="15"/>
        <w:szCs w:val="15"/>
      </w:rPr>
      <w:t>Advokátní kancelář</w:t>
    </w:r>
    <w:r w:rsidR="00871F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7014"/>
    <w:multiLevelType w:val="hybridMultilevel"/>
    <w:tmpl w:val="02945282"/>
    <w:lvl w:ilvl="0" w:tplc="926810E6">
      <w:start w:val="1"/>
      <w:numFmt w:val="lowerLetter"/>
      <w:lvlText w:val="(%1)"/>
      <w:lvlJc w:val="left"/>
      <w:pPr>
        <w:tabs>
          <w:tab w:val="num" w:pos="709"/>
        </w:tabs>
        <w:ind w:left="1134" w:hanging="567"/>
      </w:pPr>
      <w:rPr>
        <w:rFonts w:hint="default"/>
      </w:rPr>
    </w:lvl>
    <w:lvl w:ilvl="1" w:tplc="C6822722" w:tentative="1">
      <w:start w:val="1"/>
      <w:numFmt w:val="lowerLetter"/>
      <w:lvlText w:val="%2."/>
      <w:lvlJc w:val="left"/>
      <w:pPr>
        <w:tabs>
          <w:tab w:val="num" w:pos="1440"/>
        </w:tabs>
        <w:ind w:left="1440" w:hanging="360"/>
      </w:pPr>
    </w:lvl>
    <w:lvl w:ilvl="2" w:tplc="8EAA8B98" w:tentative="1">
      <w:start w:val="1"/>
      <w:numFmt w:val="lowerRoman"/>
      <w:lvlText w:val="%3."/>
      <w:lvlJc w:val="right"/>
      <w:pPr>
        <w:tabs>
          <w:tab w:val="num" w:pos="2160"/>
        </w:tabs>
        <w:ind w:left="2160" w:hanging="180"/>
      </w:pPr>
    </w:lvl>
    <w:lvl w:ilvl="3" w:tplc="E340BC44" w:tentative="1">
      <w:start w:val="1"/>
      <w:numFmt w:val="decimal"/>
      <w:lvlText w:val="%4."/>
      <w:lvlJc w:val="left"/>
      <w:pPr>
        <w:tabs>
          <w:tab w:val="num" w:pos="2880"/>
        </w:tabs>
        <w:ind w:left="2880" w:hanging="360"/>
      </w:pPr>
    </w:lvl>
    <w:lvl w:ilvl="4" w:tplc="03820186" w:tentative="1">
      <w:start w:val="1"/>
      <w:numFmt w:val="lowerLetter"/>
      <w:lvlText w:val="%5."/>
      <w:lvlJc w:val="left"/>
      <w:pPr>
        <w:tabs>
          <w:tab w:val="num" w:pos="3600"/>
        </w:tabs>
        <w:ind w:left="3600" w:hanging="360"/>
      </w:pPr>
    </w:lvl>
    <w:lvl w:ilvl="5" w:tplc="D18EBA30" w:tentative="1">
      <w:start w:val="1"/>
      <w:numFmt w:val="lowerRoman"/>
      <w:lvlText w:val="%6."/>
      <w:lvlJc w:val="right"/>
      <w:pPr>
        <w:tabs>
          <w:tab w:val="num" w:pos="4320"/>
        </w:tabs>
        <w:ind w:left="4320" w:hanging="180"/>
      </w:pPr>
    </w:lvl>
    <w:lvl w:ilvl="6" w:tplc="6DF00302" w:tentative="1">
      <w:start w:val="1"/>
      <w:numFmt w:val="decimal"/>
      <w:lvlText w:val="%7."/>
      <w:lvlJc w:val="left"/>
      <w:pPr>
        <w:tabs>
          <w:tab w:val="num" w:pos="5040"/>
        </w:tabs>
        <w:ind w:left="5040" w:hanging="360"/>
      </w:pPr>
    </w:lvl>
    <w:lvl w:ilvl="7" w:tplc="DE4E006A" w:tentative="1">
      <w:start w:val="1"/>
      <w:numFmt w:val="lowerLetter"/>
      <w:lvlText w:val="%8."/>
      <w:lvlJc w:val="left"/>
      <w:pPr>
        <w:tabs>
          <w:tab w:val="num" w:pos="5760"/>
        </w:tabs>
        <w:ind w:left="5760" w:hanging="360"/>
      </w:pPr>
    </w:lvl>
    <w:lvl w:ilvl="8" w:tplc="4ADAFCFE" w:tentative="1">
      <w:start w:val="1"/>
      <w:numFmt w:val="lowerRoman"/>
      <w:lvlText w:val="%9."/>
      <w:lvlJc w:val="right"/>
      <w:pPr>
        <w:tabs>
          <w:tab w:val="num" w:pos="6480"/>
        </w:tabs>
        <w:ind w:left="6480" w:hanging="180"/>
      </w:pPr>
    </w:lvl>
  </w:abstractNum>
  <w:abstractNum w:abstractNumId="1" w15:restartNumberingAfterBreak="0">
    <w:nsid w:val="0C652C31"/>
    <w:multiLevelType w:val="multilevel"/>
    <w:tmpl w:val="07520EC8"/>
    <w:lvl w:ilvl="0">
      <w:start w:val="1"/>
      <w:numFmt w:val="decimal"/>
      <w:lvlText w:val="%1."/>
      <w:lvlJc w:val="left"/>
      <w:pPr>
        <w:tabs>
          <w:tab w:val="num" w:pos="567"/>
        </w:tabs>
        <w:ind w:left="567" w:hanging="567"/>
      </w:pPr>
      <w:rPr>
        <w:rFonts w:ascii="Times New Roman" w:hAnsi="Times New Roman" w:hint="default"/>
        <w:sz w:val="22"/>
      </w:rPr>
    </w:lvl>
    <w:lvl w:ilvl="1">
      <w:start w:val="1"/>
      <w:numFmt w:val="bullet"/>
      <w:lvlText w:val=""/>
      <w:lvlJc w:val="left"/>
      <w:pPr>
        <w:tabs>
          <w:tab w:val="num" w:pos="360"/>
        </w:tabs>
        <w:ind w:left="360" w:hanging="360"/>
      </w:pPr>
      <w:rPr>
        <w:rFonts w:ascii="Symbol" w:hAnsi="Symbol"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CAB31A6"/>
    <w:multiLevelType w:val="hybridMultilevel"/>
    <w:tmpl w:val="95161C32"/>
    <w:lvl w:ilvl="0" w:tplc="91726F4C">
      <w:start w:val="1"/>
      <w:numFmt w:val="decimal"/>
      <w:lvlText w:val="(%1)"/>
      <w:lvlJc w:val="left"/>
      <w:pPr>
        <w:tabs>
          <w:tab w:val="num" w:pos="567"/>
        </w:tabs>
        <w:ind w:left="567" w:hanging="567"/>
      </w:pPr>
      <w:rPr>
        <w:rFonts w:ascii="Times New Roman" w:hAnsi="Times New Roman" w:hint="default"/>
        <w:b w:val="0"/>
        <w:i w:val="0"/>
        <w:sz w:val="22"/>
      </w:rPr>
    </w:lvl>
    <w:lvl w:ilvl="1" w:tplc="3970087C" w:tentative="1">
      <w:start w:val="1"/>
      <w:numFmt w:val="lowerLetter"/>
      <w:lvlText w:val="%2."/>
      <w:lvlJc w:val="left"/>
      <w:pPr>
        <w:tabs>
          <w:tab w:val="num" w:pos="1440"/>
        </w:tabs>
        <w:ind w:left="1440" w:hanging="360"/>
      </w:pPr>
    </w:lvl>
    <w:lvl w:ilvl="2" w:tplc="DFD69EA4" w:tentative="1">
      <w:start w:val="1"/>
      <w:numFmt w:val="lowerRoman"/>
      <w:lvlText w:val="%3."/>
      <w:lvlJc w:val="right"/>
      <w:pPr>
        <w:tabs>
          <w:tab w:val="num" w:pos="2160"/>
        </w:tabs>
        <w:ind w:left="2160" w:hanging="180"/>
      </w:pPr>
    </w:lvl>
    <w:lvl w:ilvl="3" w:tplc="6246A986" w:tentative="1">
      <w:start w:val="1"/>
      <w:numFmt w:val="decimal"/>
      <w:lvlText w:val="%4."/>
      <w:lvlJc w:val="left"/>
      <w:pPr>
        <w:tabs>
          <w:tab w:val="num" w:pos="2880"/>
        </w:tabs>
        <w:ind w:left="2880" w:hanging="360"/>
      </w:pPr>
    </w:lvl>
    <w:lvl w:ilvl="4" w:tplc="0F80105A" w:tentative="1">
      <w:start w:val="1"/>
      <w:numFmt w:val="lowerLetter"/>
      <w:lvlText w:val="%5."/>
      <w:lvlJc w:val="left"/>
      <w:pPr>
        <w:tabs>
          <w:tab w:val="num" w:pos="3600"/>
        </w:tabs>
        <w:ind w:left="3600" w:hanging="360"/>
      </w:pPr>
    </w:lvl>
    <w:lvl w:ilvl="5" w:tplc="A4ACD178" w:tentative="1">
      <w:start w:val="1"/>
      <w:numFmt w:val="lowerRoman"/>
      <w:lvlText w:val="%6."/>
      <w:lvlJc w:val="right"/>
      <w:pPr>
        <w:tabs>
          <w:tab w:val="num" w:pos="4320"/>
        </w:tabs>
        <w:ind w:left="4320" w:hanging="180"/>
      </w:pPr>
    </w:lvl>
    <w:lvl w:ilvl="6" w:tplc="6A745EB6" w:tentative="1">
      <w:start w:val="1"/>
      <w:numFmt w:val="decimal"/>
      <w:lvlText w:val="%7."/>
      <w:lvlJc w:val="left"/>
      <w:pPr>
        <w:tabs>
          <w:tab w:val="num" w:pos="5040"/>
        </w:tabs>
        <w:ind w:left="5040" w:hanging="360"/>
      </w:pPr>
    </w:lvl>
    <w:lvl w:ilvl="7" w:tplc="CFF0B3A0" w:tentative="1">
      <w:start w:val="1"/>
      <w:numFmt w:val="lowerLetter"/>
      <w:lvlText w:val="%8."/>
      <w:lvlJc w:val="left"/>
      <w:pPr>
        <w:tabs>
          <w:tab w:val="num" w:pos="5760"/>
        </w:tabs>
        <w:ind w:left="5760" w:hanging="360"/>
      </w:pPr>
    </w:lvl>
    <w:lvl w:ilvl="8" w:tplc="A7804AAE" w:tentative="1">
      <w:start w:val="1"/>
      <w:numFmt w:val="lowerRoman"/>
      <w:lvlText w:val="%9."/>
      <w:lvlJc w:val="right"/>
      <w:pPr>
        <w:tabs>
          <w:tab w:val="num" w:pos="6480"/>
        </w:tabs>
        <w:ind w:left="6480" w:hanging="180"/>
      </w:pPr>
    </w:lvl>
  </w:abstractNum>
  <w:abstractNum w:abstractNumId="3" w15:restartNumberingAfterBreak="0">
    <w:nsid w:val="0DB76229"/>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E1A21C5"/>
    <w:multiLevelType w:val="hybridMultilevel"/>
    <w:tmpl w:val="F0F6CBA6"/>
    <w:lvl w:ilvl="0" w:tplc="5614B7F6">
      <w:start w:val="1"/>
      <w:numFmt w:val="bullet"/>
      <w:pStyle w:val="Odrazkaproi"/>
      <w:lvlText w:val="-"/>
      <w:lvlJc w:val="left"/>
      <w:pPr>
        <w:ind w:left="2138" w:hanging="360"/>
      </w:pPr>
      <w:rPr>
        <w:rFonts w:ascii="Times New Roman" w:hAnsi="Times New Roman" w:cs="Times New Roman" w:hint="default"/>
        <w:b/>
        <w:i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155C0D22"/>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524F4E"/>
    <w:multiLevelType w:val="multilevel"/>
    <w:tmpl w:val="E26CED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2."/>
      <w:lvlJc w:val="left"/>
      <w:pPr>
        <w:tabs>
          <w:tab w:val="num" w:pos="4395"/>
        </w:tabs>
        <w:ind w:left="4395" w:hanging="567"/>
      </w:pPr>
      <w:rPr>
        <w:rFonts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4963D47"/>
    <w:multiLevelType w:val="hybridMultilevel"/>
    <w:tmpl w:val="28E65C36"/>
    <w:lvl w:ilvl="0" w:tplc="F97CBBD0">
      <w:start w:val="1"/>
      <w:numFmt w:val="lowerRoman"/>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32EC35E3"/>
    <w:multiLevelType w:val="hybridMultilevel"/>
    <w:tmpl w:val="9D4C057A"/>
    <w:lvl w:ilvl="0" w:tplc="4CA84E98">
      <w:start w:val="1"/>
      <w:numFmt w:val="lowerRoman"/>
      <w:lvlText w:val="(%1)"/>
      <w:lvlJc w:val="left"/>
      <w:pPr>
        <w:tabs>
          <w:tab w:val="num" w:pos="720"/>
        </w:tabs>
        <w:ind w:left="1559" w:hanging="425"/>
      </w:pPr>
      <w:rPr>
        <w:rFonts w:ascii="Times New Roman" w:hAnsi="Times New Roman" w:hint="default"/>
        <w:sz w:val="22"/>
      </w:rPr>
    </w:lvl>
    <w:lvl w:ilvl="1" w:tplc="94C49614" w:tentative="1">
      <w:start w:val="1"/>
      <w:numFmt w:val="lowerLetter"/>
      <w:lvlText w:val="%2."/>
      <w:lvlJc w:val="left"/>
      <w:pPr>
        <w:tabs>
          <w:tab w:val="num" w:pos="1440"/>
        </w:tabs>
        <w:ind w:left="1440" w:hanging="360"/>
      </w:pPr>
    </w:lvl>
    <w:lvl w:ilvl="2" w:tplc="FCD8B592" w:tentative="1">
      <w:start w:val="1"/>
      <w:numFmt w:val="lowerRoman"/>
      <w:lvlText w:val="%3."/>
      <w:lvlJc w:val="right"/>
      <w:pPr>
        <w:tabs>
          <w:tab w:val="num" w:pos="2160"/>
        </w:tabs>
        <w:ind w:left="2160" w:hanging="180"/>
      </w:pPr>
    </w:lvl>
    <w:lvl w:ilvl="3" w:tplc="438C9C3C" w:tentative="1">
      <w:start w:val="1"/>
      <w:numFmt w:val="decimal"/>
      <w:lvlText w:val="%4."/>
      <w:lvlJc w:val="left"/>
      <w:pPr>
        <w:tabs>
          <w:tab w:val="num" w:pos="2880"/>
        </w:tabs>
        <w:ind w:left="2880" w:hanging="360"/>
      </w:pPr>
    </w:lvl>
    <w:lvl w:ilvl="4" w:tplc="26B8B874" w:tentative="1">
      <w:start w:val="1"/>
      <w:numFmt w:val="lowerLetter"/>
      <w:lvlText w:val="%5."/>
      <w:lvlJc w:val="left"/>
      <w:pPr>
        <w:tabs>
          <w:tab w:val="num" w:pos="3600"/>
        </w:tabs>
        <w:ind w:left="3600" w:hanging="360"/>
      </w:pPr>
    </w:lvl>
    <w:lvl w:ilvl="5" w:tplc="CD2ED544" w:tentative="1">
      <w:start w:val="1"/>
      <w:numFmt w:val="lowerRoman"/>
      <w:lvlText w:val="%6."/>
      <w:lvlJc w:val="right"/>
      <w:pPr>
        <w:tabs>
          <w:tab w:val="num" w:pos="4320"/>
        </w:tabs>
        <w:ind w:left="4320" w:hanging="180"/>
      </w:pPr>
    </w:lvl>
    <w:lvl w:ilvl="6" w:tplc="10B2D600" w:tentative="1">
      <w:start w:val="1"/>
      <w:numFmt w:val="decimal"/>
      <w:lvlText w:val="%7."/>
      <w:lvlJc w:val="left"/>
      <w:pPr>
        <w:tabs>
          <w:tab w:val="num" w:pos="5040"/>
        </w:tabs>
        <w:ind w:left="5040" w:hanging="360"/>
      </w:pPr>
    </w:lvl>
    <w:lvl w:ilvl="7" w:tplc="56987768" w:tentative="1">
      <w:start w:val="1"/>
      <w:numFmt w:val="lowerLetter"/>
      <w:lvlText w:val="%8."/>
      <w:lvlJc w:val="left"/>
      <w:pPr>
        <w:tabs>
          <w:tab w:val="num" w:pos="5760"/>
        </w:tabs>
        <w:ind w:left="5760" w:hanging="360"/>
      </w:pPr>
    </w:lvl>
    <w:lvl w:ilvl="8" w:tplc="7166CC58" w:tentative="1">
      <w:start w:val="1"/>
      <w:numFmt w:val="lowerRoman"/>
      <w:lvlText w:val="%9."/>
      <w:lvlJc w:val="right"/>
      <w:pPr>
        <w:tabs>
          <w:tab w:val="num" w:pos="6480"/>
        </w:tabs>
        <w:ind w:left="6480" w:hanging="180"/>
      </w:pPr>
    </w:lvl>
  </w:abstractNum>
  <w:abstractNum w:abstractNumId="14"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5"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4968600A"/>
    <w:multiLevelType w:val="hybridMultilevel"/>
    <w:tmpl w:val="03DC4640"/>
    <w:lvl w:ilvl="0" w:tplc="8E0AC070">
      <w:start w:val="1"/>
      <w:numFmt w:val="bullet"/>
      <w:pStyle w:val="Odrazkapro1a11"/>
      <w:lvlText w:val="-"/>
      <w:lvlJc w:val="left"/>
      <w:pPr>
        <w:ind w:left="1281" w:hanging="360"/>
      </w:pPr>
      <w:rPr>
        <w:rFonts w:ascii="Times New Roman" w:hAnsi="Times New Roman" w:cs="Times New Roman" w:hint="default"/>
        <w:b/>
        <w:i w:val="0"/>
      </w:rPr>
    </w:lvl>
    <w:lvl w:ilvl="1" w:tplc="04050003" w:tentative="1">
      <w:start w:val="1"/>
      <w:numFmt w:val="bullet"/>
      <w:lvlText w:val="o"/>
      <w:lvlJc w:val="left"/>
      <w:pPr>
        <w:ind w:left="2001" w:hanging="360"/>
      </w:pPr>
      <w:rPr>
        <w:rFonts w:ascii="Courier New" w:hAnsi="Courier New" w:cs="Courier New" w:hint="default"/>
      </w:rPr>
    </w:lvl>
    <w:lvl w:ilvl="2" w:tplc="04050005" w:tentative="1">
      <w:start w:val="1"/>
      <w:numFmt w:val="bullet"/>
      <w:lvlText w:val=""/>
      <w:lvlJc w:val="left"/>
      <w:pPr>
        <w:ind w:left="2721" w:hanging="360"/>
      </w:pPr>
      <w:rPr>
        <w:rFonts w:ascii="Wingdings" w:hAnsi="Wingdings" w:hint="default"/>
      </w:rPr>
    </w:lvl>
    <w:lvl w:ilvl="3" w:tplc="04050001" w:tentative="1">
      <w:start w:val="1"/>
      <w:numFmt w:val="bullet"/>
      <w:lvlText w:val=""/>
      <w:lvlJc w:val="left"/>
      <w:pPr>
        <w:ind w:left="3441" w:hanging="360"/>
      </w:pPr>
      <w:rPr>
        <w:rFonts w:ascii="Symbol" w:hAnsi="Symbol" w:hint="default"/>
      </w:rPr>
    </w:lvl>
    <w:lvl w:ilvl="4" w:tplc="04050003" w:tentative="1">
      <w:start w:val="1"/>
      <w:numFmt w:val="bullet"/>
      <w:lvlText w:val="o"/>
      <w:lvlJc w:val="left"/>
      <w:pPr>
        <w:ind w:left="4161" w:hanging="360"/>
      </w:pPr>
      <w:rPr>
        <w:rFonts w:ascii="Courier New" w:hAnsi="Courier New" w:cs="Courier New" w:hint="default"/>
      </w:rPr>
    </w:lvl>
    <w:lvl w:ilvl="5" w:tplc="04050005" w:tentative="1">
      <w:start w:val="1"/>
      <w:numFmt w:val="bullet"/>
      <w:lvlText w:val=""/>
      <w:lvlJc w:val="left"/>
      <w:pPr>
        <w:ind w:left="4881" w:hanging="360"/>
      </w:pPr>
      <w:rPr>
        <w:rFonts w:ascii="Wingdings" w:hAnsi="Wingdings" w:hint="default"/>
      </w:rPr>
    </w:lvl>
    <w:lvl w:ilvl="6" w:tplc="04050001" w:tentative="1">
      <w:start w:val="1"/>
      <w:numFmt w:val="bullet"/>
      <w:lvlText w:val=""/>
      <w:lvlJc w:val="left"/>
      <w:pPr>
        <w:ind w:left="5601" w:hanging="360"/>
      </w:pPr>
      <w:rPr>
        <w:rFonts w:ascii="Symbol" w:hAnsi="Symbol" w:hint="default"/>
      </w:rPr>
    </w:lvl>
    <w:lvl w:ilvl="7" w:tplc="04050003" w:tentative="1">
      <w:start w:val="1"/>
      <w:numFmt w:val="bullet"/>
      <w:lvlText w:val="o"/>
      <w:lvlJc w:val="left"/>
      <w:pPr>
        <w:ind w:left="6321" w:hanging="360"/>
      </w:pPr>
      <w:rPr>
        <w:rFonts w:ascii="Courier New" w:hAnsi="Courier New" w:cs="Courier New" w:hint="default"/>
      </w:rPr>
    </w:lvl>
    <w:lvl w:ilvl="8" w:tplc="04050005" w:tentative="1">
      <w:start w:val="1"/>
      <w:numFmt w:val="bullet"/>
      <w:lvlText w:val=""/>
      <w:lvlJc w:val="left"/>
      <w:pPr>
        <w:ind w:left="7041" w:hanging="360"/>
      </w:pPr>
      <w:rPr>
        <w:rFonts w:ascii="Wingdings" w:hAnsi="Wingdings" w:hint="default"/>
      </w:rPr>
    </w:lvl>
  </w:abstractNum>
  <w:abstractNum w:abstractNumId="17"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51700C6C"/>
    <w:multiLevelType w:val="multilevel"/>
    <w:tmpl w:val="28E65C36"/>
    <w:lvl w:ilvl="0">
      <w:start w:val="1"/>
      <w:numFmt w:val="lowerRoman"/>
      <w:lvlText w:val="(%1)"/>
      <w:lvlJc w:val="left"/>
      <w:pPr>
        <w:tabs>
          <w:tab w:val="num" w:pos="1429"/>
        </w:tabs>
        <w:ind w:left="1429"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3"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BD4932"/>
    <w:multiLevelType w:val="hybridMultilevel"/>
    <w:tmpl w:val="82AA413E"/>
    <w:lvl w:ilvl="0" w:tplc="B81E0AA4">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72367A3"/>
    <w:multiLevelType w:val="multilevel"/>
    <w:tmpl w:val="A84CF14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4395"/>
        </w:tabs>
        <w:ind w:left="4395"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F4B5D6A"/>
    <w:multiLevelType w:val="multilevel"/>
    <w:tmpl w:val="A84CF140"/>
    <w:lvl w:ilvl="0">
      <w:start w:val="1"/>
      <w:numFmt w:val="decimal"/>
      <w:pStyle w:val="Nadpis1"/>
      <w:lvlText w:val="%1."/>
      <w:lvlJc w:val="left"/>
      <w:pPr>
        <w:tabs>
          <w:tab w:val="num" w:pos="567"/>
        </w:tabs>
        <w:ind w:left="567" w:hanging="567"/>
      </w:pPr>
      <w:rPr>
        <w:rFonts w:ascii="Times New Roman" w:hAnsi="Times New Roman" w:hint="default"/>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7D93551D"/>
    <w:multiLevelType w:val="multilevel"/>
    <w:tmpl w:val="828CC46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Bold" w:hAnsi="Times New Roman Bold"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EE8533E"/>
    <w:multiLevelType w:val="hybridMultilevel"/>
    <w:tmpl w:val="69B01570"/>
    <w:lvl w:ilvl="0" w:tplc="FD4CF958">
      <w:start w:val="1"/>
      <w:numFmt w:val="upperLetter"/>
      <w:pStyle w:val="Preambule"/>
      <w:lvlText w:val="(%1)"/>
      <w:lvlJc w:val="left"/>
      <w:pPr>
        <w:tabs>
          <w:tab w:val="num" w:pos="567"/>
        </w:tabs>
        <w:ind w:left="567" w:hanging="207"/>
      </w:pPr>
      <w:rPr>
        <w:rFonts w:hint="default"/>
      </w:rPr>
    </w:lvl>
    <w:lvl w:ilvl="1" w:tplc="3D5EB1AC" w:tentative="1">
      <w:start w:val="1"/>
      <w:numFmt w:val="lowerLetter"/>
      <w:lvlText w:val="%2."/>
      <w:lvlJc w:val="left"/>
      <w:pPr>
        <w:tabs>
          <w:tab w:val="num" w:pos="1440"/>
        </w:tabs>
        <w:ind w:left="1440" w:hanging="360"/>
      </w:pPr>
    </w:lvl>
    <w:lvl w:ilvl="2" w:tplc="BF049BEA" w:tentative="1">
      <w:start w:val="1"/>
      <w:numFmt w:val="lowerRoman"/>
      <w:lvlText w:val="%3."/>
      <w:lvlJc w:val="right"/>
      <w:pPr>
        <w:tabs>
          <w:tab w:val="num" w:pos="2160"/>
        </w:tabs>
        <w:ind w:left="2160" w:hanging="180"/>
      </w:pPr>
    </w:lvl>
    <w:lvl w:ilvl="3" w:tplc="CA6E93A2" w:tentative="1">
      <w:start w:val="1"/>
      <w:numFmt w:val="decimal"/>
      <w:lvlText w:val="%4."/>
      <w:lvlJc w:val="left"/>
      <w:pPr>
        <w:tabs>
          <w:tab w:val="num" w:pos="2880"/>
        </w:tabs>
        <w:ind w:left="2880" w:hanging="360"/>
      </w:pPr>
    </w:lvl>
    <w:lvl w:ilvl="4" w:tplc="4D9E3932" w:tentative="1">
      <w:start w:val="1"/>
      <w:numFmt w:val="lowerLetter"/>
      <w:lvlText w:val="%5."/>
      <w:lvlJc w:val="left"/>
      <w:pPr>
        <w:tabs>
          <w:tab w:val="num" w:pos="3600"/>
        </w:tabs>
        <w:ind w:left="3600" w:hanging="360"/>
      </w:pPr>
    </w:lvl>
    <w:lvl w:ilvl="5" w:tplc="A7DC141E" w:tentative="1">
      <w:start w:val="1"/>
      <w:numFmt w:val="lowerRoman"/>
      <w:lvlText w:val="%6."/>
      <w:lvlJc w:val="right"/>
      <w:pPr>
        <w:tabs>
          <w:tab w:val="num" w:pos="4320"/>
        </w:tabs>
        <w:ind w:left="4320" w:hanging="180"/>
      </w:pPr>
    </w:lvl>
    <w:lvl w:ilvl="6" w:tplc="314E0D04" w:tentative="1">
      <w:start w:val="1"/>
      <w:numFmt w:val="decimal"/>
      <w:lvlText w:val="%7."/>
      <w:lvlJc w:val="left"/>
      <w:pPr>
        <w:tabs>
          <w:tab w:val="num" w:pos="5040"/>
        </w:tabs>
        <w:ind w:left="5040" w:hanging="360"/>
      </w:pPr>
    </w:lvl>
    <w:lvl w:ilvl="7" w:tplc="99C6C0EA" w:tentative="1">
      <w:start w:val="1"/>
      <w:numFmt w:val="lowerLetter"/>
      <w:lvlText w:val="%8."/>
      <w:lvlJc w:val="left"/>
      <w:pPr>
        <w:tabs>
          <w:tab w:val="num" w:pos="5760"/>
        </w:tabs>
        <w:ind w:left="5760" w:hanging="360"/>
      </w:pPr>
    </w:lvl>
    <w:lvl w:ilvl="8" w:tplc="78CEFED2"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19"/>
  </w:num>
  <w:num w:numId="4">
    <w:abstractNumId w:val="27"/>
  </w:num>
  <w:num w:numId="5">
    <w:abstractNumId w:val="0"/>
  </w:num>
  <w:num w:numId="6">
    <w:abstractNumId w:val="12"/>
  </w:num>
  <w:num w:numId="7">
    <w:abstractNumId w:val="30"/>
  </w:num>
  <w:num w:numId="8">
    <w:abstractNumId w:val="25"/>
  </w:num>
  <w:num w:numId="9">
    <w:abstractNumId w:val="32"/>
  </w:num>
  <w:num w:numId="10">
    <w:abstractNumId w:val="13"/>
  </w:num>
  <w:num w:numId="11">
    <w:abstractNumId w:val="7"/>
  </w:num>
  <w:num w:numId="12">
    <w:abstractNumId w:val="35"/>
  </w:num>
  <w:num w:numId="13">
    <w:abstractNumId w:val="29"/>
  </w:num>
  <w:num w:numId="14">
    <w:abstractNumId w:val="20"/>
  </w:num>
  <w:num w:numId="15">
    <w:abstractNumId w:val="23"/>
  </w:num>
  <w:num w:numId="16">
    <w:abstractNumId w:val="8"/>
  </w:num>
  <w:num w:numId="17">
    <w:abstractNumId w:val="31"/>
  </w:num>
  <w:num w:numId="18">
    <w:abstractNumId w:val="5"/>
  </w:num>
  <w:num w:numId="19">
    <w:abstractNumId w:val="33"/>
  </w:num>
  <w:num w:numId="20">
    <w:abstractNumId w:val="10"/>
  </w:num>
  <w:num w:numId="21">
    <w:abstractNumId w:val="14"/>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1"/>
  </w:num>
  <w:num w:numId="25">
    <w:abstractNumId w:val="18"/>
  </w:num>
  <w:num w:numId="26">
    <w:abstractNumId w:val="2"/>
  </w:num>
  <w:num w:numId="27">
    <w:abstractNumId w:val="17"/>
  </w:num>
  <w:num w:numId="28">
    <w:abstractNumId w:val="1"/>
  </w:num>
  <w:num w:numId="29">
    <w:abstractNumId w:val="31"/>
  </w:num>
  <w:num w:numId="30">
    <w:abstractNumId w:val="11"/>
  </w:num>
  <w:num w:numId="31">
    <w:abstractNumId w:val="21"/>
  </w:num>
  <w:num w:numId="32">
    <w:abstractNumId w:val="34"/>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6"/>
  </w:num>
  <w:num w:numId="36">
    <w:abstractNumId w:val="26"/>
  </w:num>
  <w:num w:numId="37">
    <w:abstractNumId w:val="4"/>
  </w:num>
  <w:num w:numId="38">
    <w:abstractNumId w:val="6"/>
  </w:num>
  <w:num w:numId="39">
    <w:abstractNumId w:val="9"/>
  </w:num>
  <w:num w:numId="40">
    <w:abstractNumId w:val="31"/>
  </w:num>
  <w:num w:numId="41">
    <w:abstractNumId w:val="3"/>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8A"/>
    <w:rsid w:val="000005BD"/>
    <w:rsid w:val="000049D8"/>
    <w:rsid w:val="0000715D"/>
    <w:rsid w:val="000100EE"/>
    <w:rsid w:val="0001501E"/>
    <w:rsid w:val="00045B0C"/>
    <w:rsid w:val="0005010B"/>
    <w:rsid w:val="00051D3E"/>
    <w:rsid w:val="00053F1F"/>
    <w:rsid w:val="000731E4"/>
    <w:rsid w:val="00084858"/>
    <w:rsid w:val="00090383"/>
    <w:rsid w:val="000A3CEE"/>
    <w:rsid w:val="000A46C0"/>
    <w:rsid w:val="000B78C8"/>
    <w:rsid w:val="000C52D4"/>
    <w:rsid w:val="000D3DD4"/>
    <w:rsid w:val="000D6F14"/>
    <w:rsid w:val="000D7CC9"/>
    <w:rsid w:val="000E1A47"/>
    <w:rsid w:val="000F5FAE"/>
    <w:rsid w:val="00105E12"/>
    <w:rsid w:val="0011311A"/>
    <w:rsid w:val="00121B4D"/>
    <w:rsid w:val="00130DF6"/>
    <w:rsid w:val="00136447"/>
    <w:rsid w:val="001373D0"/>
    <w:rsid w:val="00147010"/>
    <w:rsid w:val="0014716A"/>
    <w:rsid w:val="001552C3"/>
    <w:rsid w:val="00167129"/>
    <w:rsid w:val="0019329C"/>
    <w:rsid w:val="001A36E0"/>
    <w:rsid w:val="001A5D36"/>
    <w:rsid w:val="001B120D"/>
    <w:rsid w:val="001B744B"/>
    <w:rsid w:val="001C2AEE"/>
    <w:rsid w:val="001D0C8F"/>
    <w:rsid w:val="001E3580"/>
    <w:rsid w:val="001F4E82"/>
    <w:rsid w:val="00204189"/>
    <w:rsid w:val="00206E85"/>
    <w:rsid w:val="00214F33"/>
    <w:rsid w:val="002224E5"/>
    <w:rsid w:val="00234017"/>
    <w:rsid w:val="00234A53"/>
    <w:rsid w:val="002453CC"/>
    <w:rsid w:val="002471FD"/>
    <w:rsid w:val="00251D3B"/>
    <w:rsid w:val="00252038"/>
    <w:rsid w:val="00257C80"/>
    <w:rsid w:val="00261137"/>
    <w:rsid w:val="00280D90"/>
    <w:rsid w:val="00281164"/>
    <w:rsid w:val="00294BE6"/>
    <w:rsid w:val="002A479A"/>
    <w:rsid w:val="002B6347"/>
    <w:rsid w:val="002C7060"/>
    <w:rsid w:val="002D4A41"/>
    <w:rsid w:val="002E107B"/>
    <w:rsid w:val="002E1679"/>
    <w:rsid w:val="002E3263"/>
    <w:rsid w:val="002F56E8"/>
    <w:rsid w:val="00301584"/>
    <w:rsid w:val="00306CD2"/>
    <w:rsid w:val="00306F1C"/>
    <w:rsid w:val="00316AB9"/>
    <w:rsid w:val="0032250A"/>
    <w:rsid w:val="00326A98"/>
    <w:rsid w:val="00332EB8"/>
    <w:rsid w:val="00355859"/>
    <w:rsid w:val="00355FBC"/>
    <w:rsid w:val="00380D5F"/>
    <w:rsid w:val="003901A1"/>
    <w:rsid w:val="00393492"/>
    <w:rsid w:val="00396B72"/>
    <w:rsid w:val="003A26B7"/>
    <w:rsid w:val="003A5DF0"/>
    <w:rsid w:val="003C0F2E"/>
    <w:rsid w:val="003D105C"/>
    <w:rsid w:val="003D6F88"/>
    <w:rsid w:val="003E1B1C"/>
    <w:rsid w:val="003F6388"/>
    <w:rsid w:val="00403361"/>
    <w:rsid w:val="00403B47"/>
    <w:rsid w:val="00406F13"/>
    <w:rsid w:val="004236F6"/>
    <w:rsid w:val="0042493E"/>
    <w:rsid w:val="00432234"/>
    <w:rsid w:val="00441D7B"/>
    <w:rsid w:val="00446353"/>
    <w:rsid w:val="00450501"/>
    <w:rsid w:val="00452864"/>
    <w:rsid w:val="004607F9"/>
    <w:rsid w:val="004757E5"/>
    <w:rsid w:val="004A32F2"/>
    <w:rsid w:val="004A43B7"/>
    <w:rsid w:val="004B4934"/>
    <w:rsid w:val="004C3F3A"/>
    <w:rsid w:val="004D0A5A"/>
    <w:rsid w:val="004D202A"/>
    <w:rsid w:val="004D2928"/>
    <w:rsid w:val="004D4B11"/>
    <w:rsid w:val="004E49CA"/>
    <w:rsid w:val="0050788B"/>
    <w:rsid w:val="005168D0"/>
    <w:rsid w:val="00517A06"/>
    <w:rsid w:val="005438C2"/>
    <w:rsid w:val="005501BF"/>
    <w:rsid w:val="00561996"/>
    <w:rsid w:val="00563C5C"/>
    <w:rsid w:val="00570534"/>
    <w:rsid w:val="00571653"/>
    <w:rsid w:val="00572A5D"/>
    <w:rsid w:val="00576C25"/>
    <w:rsid w:val="00583BB1"/>
    <w:rsid w:val="005A1D40"/>
    <w:rsid w:val="005A47D6"/>
    <w:rsid w:val="005B0189"/>
    <w:rsid w:val="005B1CB1"/>
    <w:rsid w:val="005B4B12"/>
    <w:rsid w:val="005B4FD6"/>
    <w:rsid w:val="005D7E0A"/>
    <w:rsid w:val="006044DC"/>
    <w:rsid w:val="00613617"/>
    <w:rsid w:val="00620684"/>
    <w:rsid w:val="00625107"/>
    <w:rsid w:val="00626F68"/>
    <w:rsid w:val="00637592"/>
    <w:rsid w:val="00637E6D"/>
    <w:rsid w:val="006445BB"/>
    <w:rsid w:val="00645977"/>
    <w:rsid w:val="00651315"/>
    <w:rsid w:val="006575D5"/>
    <w:rsid w:val="00661168"/>
    <w:rsid w:val="00670F77"/>
    <w:rsid w:val="00681752"/>
    <w:rsid w:val="00687000"/>
    <w:rsid w:val="006913F0"/>
    <w:rsid w:val="00694320"/>
    <w:rsid w:val="00695FDB"/>
    <w:rsid w:val="006A4F9D"/>
    <w:rsid w:val="006B2794"/>
    <w:rsid w:val="006C0C8B"/>
    <w:rsid w:val="006C353A"/>
    <w:rsid w:val="006F03B3"/>
    <w:rsid w:val="006F2FC6"/>
    <w:rsid w:val="006F3859"/>
    <w:rsid w:val="006F7E96"/>
    <w:rsid w:val="00713536"/>
    <w:rsid w:val="0072455E"/>
    <w:rsid w:val="00736548"/>
    <w:rsid w:val="0075105B"/>
    <w:rsid w:val="0077430E"/>
    <w:rsid w:val="00774E02"/>
    <w:rsid w:val="007812A1"/>
    <w:rsid w:val="007A0DFD"/>
    <w:rsid w:val="007A5AC7"/>
    <w:rsid w:val="007B4D72"/>
    <w:rsid w:val="007B5888"/>
    <w:rsid w:val="007C12C0"/>
    <w:rsid w:val="007C34A9"/>
    <w:rsid w:val="007C4EC5"/>
    <w:rsid w:val="007D0D5A"/>
    <w:rsid w:val="007D2A95"/>
    <w:rsid w:val="007D6A1D"/>
    <w:rsid w:val="007D789D"/>
    <w:rsid w:val="007E1044"/>
    <w:rsid w:val="007E6B34"/>
    <w:rsid w:val="007F2154"/>
    <w:rsid w:val="007F6B1D"/>
    <w:rsid w:val="007F6B88"/>
    <w:rsid w:val="0082518C"/>
    <w:rsid w:val="00841743"/>
    <w:rsid w:val="0084319C"/>
    <w:rsid w:val="00870739"/>
    <w:rsid w:val="00871FC3"/>
    <w:rsid w:val="00875AC5"/>
    <w:rsid w:val="008834B5"/>
    <w:rsid w:val="00887DE4"/>
    <w:rsid w:val="00892C02"/>
    <w:rsid w:val="0089362B"/>
    <w:rsid w:val="0089690F"/>
    <w:rsid w:val="00897821"/>
    <w:rsid w:val="008B382A"/>
    <w:rsid w:val="008C7AE0"/>
    <w:rsid w:val="008F3569"/>
    <w:rsid w:val="008F6868"/>
    <w:rsid w:val="00900190"/>
    <w:rsid w:val="00900C5C"/>
    <w:rsid w:val="00905FC4"/>
    <w:rsid w:val="00914577"/>
    <w:rsid w:val="009174AF"/>
    <w:rsid w:val="00921EC2"/>
    <w:rsid w:val="0092386E"/>
    <w:rsid w:val="00925046"/>
    <w:rsid w:val="00930F5D"/>
    <w:rsid w:val="009324E5"/>
    <w:rsid w:val="00934B3C"/>
    <w:rsid w:val="0093583B"/>
    <w:rsid w:val="0093688B"/>
    <w:rsid w:val="00941127"/>
    <w:rsid w:val="0094185F"/>
    <w:rsid w:val="00947A65"/>
    <w:rsid w:val="00952077"/>
    <w:rsid w:val="00975CC4"/>
    <w:rsid w:val="00995675"/>
    <w:rsid w:val="009B3291"/>
    <w:rsid w:val="009D4120"/>
    <w:rsid w:val="009D5CA4"/>
    <w:rsid w:val="009F2ED7"/>
    <w:rsid w:val="009F5527"/>
    <w:rsid w:val="00A00FDA"/>
    <w:rsid w:val="00A02763"/>
    <w:rsid w:val="00A03D69"/>
    <w:rsid w:val="00A04C18"/>
    <w:rsid w:val="00A07376"/>
    <w:rsid w:val="00A13CC7"/>
    <w:rsid w:val="00A20385"/>
    <w:rsid w:val="00A263D9"/>
    <w:rsid w:val="00A446FF"/>
    <w:rsid w:val="00A453DF"/>
    <w:rsid w:val="00A519B7"/>
    <w:rsid w:val="00A6133B"/>
    <w:rsid w:val="00A6248B"/>
    <w:rsid w:val="00A635CF"/>
    <w:rsid w:val="00A6556C"/>
    <w:rsid w:val="00A7462A"/>
    <w:rsid w:val="00A8169A"/>
    <w:rsid w:val="00A847D0"/>
    <w:rsid w:val="00A91555"/>
    <w:rsid w:val="00A97958"/>
    <w:rsid w:val="00AC3B15"/>
    <w:rsid w:val="00AE34A0"/>
    <w:rsid w:val="00AE4091"/>
    <w:rsid w:val="00AF0FFE"/>
    <w:rsid w:val="00B101E2"/>
    <w:rsid w:val="00B1543C"/>
    <w:rsid w:val="00B174DA"/>
    <w:rsid w:val="00B20F4D"/>
    <w:rsid w:val="00B27CEF"/>
    <w:rsid w:val="00B40A7F"/>
    <w:rsid w:val="00B61F72"/>
    <w:rsid w:val="00B62C10"/>
    <w:rsid w:val="00B63B38"/>
    <w:rsid w:val="00B84AE9"/>
    <w:rsid w:val="00B870D8"/>
    <w:rsid w:val="00BB1AE8"/>
    <w:rsid w:val="00BC15F9"/>
    <w:rsid w:val="00BC5BD3"/>
    <w:rsid w:val="00BD536A"/>
    <w:rsid w:val="00BE029E"/>
    <w:rsid w:val="00BE0C27"/>
    <w:rsid w:val="00BF72D4"/>
    <w:rsid w:val="00BF7743"/>
    <w:rsid w:val="00C010B4"/>
    <w:rsid w:val="00C01E59"/>
    <w:rsid w:val="00C20B10"/>
    <w:rsid w:val="00C23A8F"/>
    <w:rsid w:val="00C317C2"/>
    <w:rsid w:val="00C55108"/>
    <w:rsid w:val="00C55956"/>
    <w:rsid w:val="00C57669"/>
    <w:rsid w:val="00C779FD"/>
    <w:rsid w:val="00C92A4B"/>
    <w:rsid w:val="00C93407"/>
    <w:rsid w:val="00C93545"/>
    <w:rsid w:val="00C94952"/>
    <w:rsid w:val="00C95559"/>
    <w:rsid w:val="00C96DDE"/>
    <w:rsid w:val="00C972B3"/>
    <w:rsid w:val="00CA6094"/>
    <w:rsid w:val="00CB25C5"/>
    <w:rsid w:val="00CB76BE"/>
    <w:rsid w:val="00CD0A12"/>
    <w:rsid w:val="00CE45B8"/>
    <w:rsid w:val="00CE5E82"/>
    <w:rsid w:val="00CF0F57"/>
    <w:rsid w:val="00CF7B10"/>
    <w:rsid w:val="00D115EA"/>
    <w:rsid w:val="00D213AA"/>
    <w:rsid w:val="00D31974"/>
    <w:rsid w:val="00D32996"/>
    <w:rsid w:val="00D47AF5"/>
    <w:rsid w:val="00D5116E"/>
    <w:rsid w:val="00D644A4"/>
    <w:rsid w:val="00D73F0B"/>
    <w:rsid w:val="00D75A25"/>
    <w:rsid w:val="00D8772B"/>
    <w:rsid w:val="00DA0A07"/>
    <w:rsid w:val="00DA71A9"/>
    <w:rsid w:val="00DB050C"/>
    <w:rsid w:val="00DB2DB5"/>
    <w:rsid w:val="00DC024C"/>
    <w:rsid w:val="00DC0410"/>
    <w:rsid w:val="00DC799E"/>
    <w:rsid w:val="00DC7EBA"/>
    <w:rsid w:val="00DE11DB"/>
    <w:rsid w:val="00E04E56"/>
    <w:rsid w:val="00E06EC2"/>
    <w:rsid w:val="00E07E67"/>
    <w:rsid w:val="00E12E8A"/>
    <w:rsid w:val="00E17B1D"/>
    <w:rsid w:val="00E21B82"/>
    <w:rsid w:val="00E2532A"/>
    <w:rsid w:val="00E43C1C"/>
    <w:rsid w:val="00E4570C"/>
    <w:rsid w:val="00E47028"/>
    <w:rsid w:val="00E57FB2"/>
    <w:rsid w:val="00E62684"/>
    <w:rsid w:val="00E742DB"/>
    <w:rsid w:val="00E85E10"/>
    <w:rsid w:val="00E93285"/>
    <w:rsid w:val="00E9416F"/>
    <w:rsid w:val="00E94CD7"/>
    <w:rsid w:val="00EA0F6D"/>
    <w:rsid w:val="00EA5328"/>
    <w:rsid w:val="00EC0D36"/>
    <w:rsid w:val="00EC4025"/>
    <w:rsid w:val="00EE0751"/>
    <w:rsid w:val="00EF4594"/>
    <w:rsid w:val="00EF4AFC"/>
    <w:rsid w:val="00EF7B33"/>
    <w:rsid w:val="00F064B6"/>
    <w:rsid w:val="00F153F0"/>
    <w:rsid w:val="00F34EE0"/>
    <w:rsid w:val="00F361DE"/>
    <w:rsid w:val="00F612E2"/>
    <w:rsid w:val="00F67324"/>
    <w:rsid w:val="00F74CD5"/>
    <w:rsid w:val="00F81417"/>
    <w:rsid w:val="00FA41BE"/>
    <w:rsid w:val="00FB02D9"/>
    <w:rsid w:val="00FB3E25"/>
    <w:rsid w:val="00FC070B"/>
    <w:rsid w:val="00FC4527"/>
    <w:rsid w:val="00FD004F"/>
    <w:rsid w:val="00FD0419"/>
    <w:rsid w:val="00FD079E"/>
    <w:rsid w:val="00FD3065"/>
    <w:rsid w:val="00FE0590"/>
    <w:rsid w:val="00FF03B1"/>
    <w:rsid w:val="00FF5C9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DE46F"/>
  <w15:docId w15:val="{3C805311-94DC-4BBF-AAED-4CEB20C8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semiHidden="1" w:qFormat="1"/>
    <w:lsdException w:name="Strong" w:qFormat="1"/>
    <w:lsdException w:name="Emphasis" w:semiHidden="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62B"/>
    <w:pPr>
      <w:spacing w:before="120" w:after="120"/>
      <w:jc w:val="both"/>
    </w:pPr>
    <w:rPr>
      <w:sz w:val="22"/>
      <w:szCs w:val="24"/>
      <w:lang w:eastAsia="en-US"/>
    </w:rPr>
  </w:style>
  <w:style w:type="paragraph" w:styleId="Nadpis1">
    <w:name w:val="heading 1"/>
    <w:basedOn w:val="Normln"/>
    <w:next w:val="Clanek11"/>
    <w:qFormat/>
    <w:rsid w:val="00B870D8"/>
    <w:pPr>
      <w:keepNext/>
      <w:numPr>
        <w:numId w:val="17"/>
      </w:numPr>
      <w:spacing w:before="240" w:after="0"/>
      <w:outlineLvl w:val="0"/>
    </w:pPr>
    <w:rPr>
      <w:rFonts w:cs="Arial"/>
      <w:b/>
      <w:bCs/>
      <w:caps/>
      <w:kern w:val="32"/>
      <w:szCs w:val="32"/>
    </w:rPr>
  </w:style>
  <w:style w:type="paragraph" w:styleId="Nadpis2">
    <w:name w:val="heading 2"/>
    <w:basedOn w:val="Normln"/>
    <w:next w:val="Normln"/>
    <w:semiHidden/>
    <w:qFormat/>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qFormat/>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qFormat/>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rsid w:val="00B870D8"/>
    <w:pPr>
      <w:ind w:firstLine="0"/>
    </w:pPr>
  </w:style>
  <w:style w:type="paragraph" w:customStyle="1" w:styleId="Clanek11">
    <w:name w:val="Clanek 1.1"/>
    <w:basedOn w:val="Nadpis2"/>
    <w:qFormat/>
    <w:rsid w:val="00E07E67"/>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qFormat/>
    <w:rsid w:val="00E06EC2"/>
    <w:pPr>
      <w:keepNext/>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link w:val="Text11Char"/>
    <w:uiPriority w:val="99"/>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
    <w:name w:val="HH Title"/>
    <w:basedOn w:val="Normln"/>
    <w:next w:val="Normln"/>
    <w:rsid w:val="00090383"/>
    <w:pPr>
      <w:spacing w:before="1080" w:after="840"/>
      <w:jc w:val="center"/>
      <w:outlineLvl w:val="0"/>
    </w:pPr>
    <w:rPr>
      <w:rFonts w:cs="Arial"/>
      <w:b/>
      <w:bCs/>
      <w:caps/>
      <w:kern w:val="28"/>
      <w:sz w:val="44"/>
      <w:szCs w:val="32"/>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customStyle="1" w:styleId="Odrazkapro1a11">
    <w:name w:val="Odrazka pro 1 a 1.1"/>
    <w:basedOn w:val="Text11"/>
    <w:link w:val="Odrazkapro1a11Char"/>
    <w:qFormat/>
    <w:rsid w:val="00C93407"/>
    <w:pPr>
      <w:numPr>
        <w:numId w:val="35"/>
      </w:numPr>
      <w:tabs>
        <w:tab w:val="left" w:pos="992"/>
      </w:tabs>
      <w:ind w:left="992" w:hanging="425"/>
    </w:pPr>
  </w:style>
  <w:style w:type="paragraph" w:customStyle="1" w:styleId="HHTitle2">
    <w:name w:val="HH Title 2"/>
    <w:basedOn w:val="Normln"/>
    <w:rsid w:val="00090383"/>
    <w:pPr>
      <w:jc w:val="center"/>
    </w:pPr>
    <w:rPr>
      <w:b/>
      <w:caps/>
    </w:rPr>
  </w:style>
  <w:style w:type="paragraph" w:customStyle="1" w:styleId="Smluvnistranypreambule">
    <w:name w:val="Smluvni_strany_preambule"/>
    <w:basedOn w:val="Normln"/>
    <w:next w:val="Normln"/>
    <w:semiHidden/>
    <w:rsid w:val="0089362B"/>
    <w:pPr>
      <w:spacing w:before="480" w:after="240"/>
    </w:pPr>
    <w:rPr>
      <w:b/>
      <w:caps/>
    </w:rPr>
  </w:style>
  <w:style w:type="character" w:styleId="Sledovanodkaz">
    <w:name w:val="FollowedHyperlink"/>
    <w:basedOn w:val="Standardnpsmoodstavce"/>
    <w:semiHidden/>
    <w:rsid w:val="00F153F0"/>
    <w:rPr>
      <w:color w:val="800080"/>
      <w:u w:val="single"/>
    </w:rPr>
  </w:style>
  <w:style w:type="table" w:styleId="Mkatabulky">
    <w:name w:val="Table Grid"/>
    <w:basedOn w:val="Normlntabulka"/>
    <w:semiHidden/>
    <w:rsid w:val="00306F1C"/>
    <w:pPr>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character" w:customStyle="1" w:styleId="StyleBold">
    <w:name w:val="Style Bold"/>
    <w:basedOn w:val="Standardnpsmoodstavce"/>
    <w:semiHidden/>
    <w:rsid w:val="00995675"/>
    <w:rPr>
      <w:rFonts w:ascii="Times New Roman" w:hAnsi="Times New Roman"/>
      <w:b/>
      <w:bCs/>
    </w:rPr>
  </w:style>
  <w:style w:type="paragraph" w:customStyle="1" w:styleId="StyleTimesNewRomanBoldBoldAllcapsCentered">
    <w:name w:val="Style Times New Roman Bold Bold All caps Centered"/>
    <w:basedOn w:val="Normln"/>
    <w:semiHidden/>
    <w:rsid w:val="00995675"/>
    <w:pPr>
      <w:jc w:val="center"/>
    </w:pPr>
    <w:rPr>
      <w:b/>
      <w:bCs/>
      <w:caps/>
      <w:szCs w:val="20"/>
    </w:rPr>
  </w:style>
  <w:style w:type="paragraph" w:customStyle="1" w:styleId="StyleNadpis1CenteredLeft0cmFirstline0cm">
    <w:name w:val="Style Nadpis 1 + Centered Left:  0 cm First line:  0 cm"/>
    <w:basedOn w:val="Nadpis11"/>
    <w:semiHidden/>
    <w:rsid w:val="00995675"/>
    <w:pPr>
      <w:ind w:left="0"/>
      <w:jc w:val="center"/>
    </w:pPr>
    <w:rPr>
      <w:rFonts w:cs="Times New Roman"/>
      <w:szCs w:val="20"/>
    </w:rPr>
  </w:style>
  <w:style w:type="paragraph" w:customStyle="1" w:styleId="Odrazkaproa">
    <w:name w:val="Odrazka pro (a)"/>
    <w:basedOn w:val="Texta"/>
    <w:link w:val="OdrazkaproaChar"/>
    <w:qFormat/>
    <w:rsid w:val="00C93407"/>
    <w:pPr>
      <w:numPr>
        <w:numId w:val="36"/>
      </w:numPr>
      <w:tabs>
        <w:tab w:val="left" w:pos="1418"/>
      </w:tabs>
      <w:ind w:left="1417" w:hanging="425"/>
    </w:pPr>
  </w:style>
  <w:style w:type="character" w:customStyle="1" w:styleId="Text11Char">
    <w:name w:val="Text 1.1 Char"/>
    <w:basedOn w:val="Standardnpsmoodstavce"/>
    <w:link w:val="Text11"/>
    <w:uiPriority w:val="99"/>
    <w:rsid w:val="00C93407"/>
    <w:rPr>
      <w:sz w:val="22"/>
      <w:lang w:eastAsia="en-US"/>
    </w:rPr>
  </w:style>
  <w:style w:type="character" w:customStyle="1" w:styleId="Odrazkapro1a11Char">
    <w:name w:val="Odrazka pro 1 a 1.1 Char"/>
    <w:basedOn w:val="Text11Char"/>
    <w:link w:val="Odrazkapro1a11"/>
    <w:rsid w:val="00C93407"/>
    <w:rPr>
      <w:sz w:val="22"/>
      <w:lang w:eastAsia="en-US"/>
    </w:rPr>
  </w:style>
  <w:style w:type="paragraph" w:customStyle="1" w:styleId="Odrazkaproi">
    <w:name w:val="Odrazka pro (i)"/>
    <w:basedOn w:val="Texti"/>
    <w:link w:val="OdrazkaproiChar"/>
    <w:qFormat/>
    <w:rsid w:val="0014716A"/>
    <w:pPr>
      <w:numPr>
        <w:numId w:val="37"/>
      </w:numPr>
      <w:tabs>
        <w:tab w:val="left" w:pos="1843"/>
      </w:tabs>
      <w:ind w:left="1843" w:hanging="425"/>
    </w:pPr>
  </w:style>
  <w:style w:type="character" w:customStyle="1" w:styleId="TextaChar">
    <w:name w:val="Text (a) Char"/>
    <w:basedOn w:val="Standardnpsmoodstavce"/>
    <w:link w:val="Texta"/>
    <w:rsid w:val="00C93407"/>
    <w:rPr>
      <w:sz w:val="22"/>
      <w:lang w:eastAsia="en-US"/>
    </w:rPr>
  </w:style>
  <w:style w:type="character" w:customStyle="1" w:styleId="OdrazkaproaChar">
    <w:name w:val="Odrazka pro (a) Char"/>
    <w:basedOn w:val="TextaChar"/>
    <w:link w:val="Odrazkaproa"/>
    <w:rsid w:val="00C93407"/>
    <w:rPr>
      <w:sz w:val="22"/>
      <w:lang w:eastAsia="en-US"/>
    </w:rPr>
  </w:style>
  <w:style w:type="character" w:customStyle="1" w:styleId="TextiChar">
    <w:name w:val="Text (i) Char"/>
    <w:basedOn w:val="Standardnpsmoodstavce"/>
    <w:link w:val="Texti"/>
    <w:rsid w:val="0014716A"/>
    <w:rPr>
      <w:sz w:val="22"/>
      <w:lang w:eastAsia="en-US"/>
    </w:rPr>
  </w:style>
  <w:style w:type="character" w:customStyle="1" w:styleId="OdrazkaproiChar">
    <w:name w:val="Odrazka pro (i) Char"/>
    <w:basedOn w:val="TextiChar"/>
    <w:link w:val="Odrazkaproi"/>
    <w:rsid w:val="0014716A"/>
    <w:rPr>
      <w:sz w:val="22"/>
      <w:lang w:eastAsia="en-US"/>
    </w:rPr>
  </w:style>
  <w:style w:type="paragraph" w:styleId="Textbubliny">
    <w:name w:val="Balloon Text"/>
    <w:basedOn w:val="Normln"/>
    <w:link w:val="TextbublinyChar"/>
    <w:rsid w:val="00105E12"/>
    <w:pPr>
      <w:spacing w:before="0" w:after="0"/>
    </w:pPr>
    <w:rPr>
      <w:rFonts w:ascii="Tahoma" w:hAnsi="Tahoma" w:cs="Tahoma"/>
      <w:sz w:val="16"/>
      <w:szCs w:val="16"/>
    </w:rPr>
  </w:style>
  <w:style w:type="character" w:customStyle="1" w:styleId="TextbublinyChar">
    <w:name w:val="Text bubliny Char"/>
    <w:basedOn w:val="Standardnpsmoodstavce"/>
    <w:link w:val="Textbubliny"/>
    <w:rsid w:val="00105E12"/>
    <w:rPr>
      <w:rFonts w:ascii="Tahoma" w:hAnsi="Tahoma" w:cs="Tahoma"/>
      <w:sz w:val="16"/>
      <w:szCs w:val="16"/>
      <w:lang w:eastAsia="en-US"/>
    </w:rPr>
  </w:style>
  <w:style w:type="character" w:styleId="Odkaznakoment">
    <w:name w:val="annotation reference"/>
    <w:basedOn w:val="Standardnpsmoodstavce"/>
    <w:rsid w:val="00105E12"/>
    <w:rPr>
      <w:sz w:val="16"/>
      <w:szCs w:val="16"/>
    </w:rPr>
  </w:style>
  <w:style w:type="paragraph" w:styleId="Textkomente">
    <w:name w:val="annotation text"/>
    <w:basedOn w:val="Normln"/>
    <w:link w:val="TextkomenteChar"/>
    <w:rsid w:val="00105E12"/>
    <w:rPr>
      <w:sz w:val="20"/>
      <w:szCs w:val="20"/>
    </w:rPr>
  </w:style>
  <w:style w:type="character" w:customStyle="1" w:styleId="TextkomenteChar">
    <w:name w:val="Text komentáře Char"/>
    <w:basedOn w:val="Standardnpsmoodstavce"/>
    <w:link w:val="Textkomente"/>
    <w:rsid w:val="00105E12"/>
    <w:rPr>
      <w:lang w:eastAsia="en-US"/>
    </w:rPr>
  </w:style>
  <w:style w:type="paragraph" w:styleId="Pedmtkomente">
    <w:name w:val="annotation subject"/>
    <w:basedOn w:val="Textkomente"/>
    <w:next w:val="Textkomente"/>
    <w:link w:val="PedmtkomenteChar"/>
    <w:rsid w:val="00105E12"/>
    <w:rPr>
      <w:b/>
      <w:bCs/>
    </w:rPr>
  </w:style>
  <w:style w:type="character" w:customStyle="1" w:styleId="PedmtkomenteChar">
    <w:name w:val="Předmět komentáře Char"/>
    <w:basedOn w:val="TextkomenteChar"/>
    <w:link w:val="Pedmtkomente"/>
    <w:rsid w:val="00105E12"/>
    <w:rPr>
      <w:b/>
      <w:bCs/>
      <w:lang w:eastAsia="en-US"/>
    </w:rPr>
  </w:style>
  <w:style w:type="paragraph" w:styleId="Nzev">
    <w:name w:val="Title"/>
    <w:basedOn w:val="Normln"/>
    <w:next w:val="Normln"/>
    <w:link w:val="NzevChar"/>
    <w:semiHidden/>
    <w:qFormat/>
    <w:rsid w:val="00090383"/>
    <w:pPr>
      <w:spacing w:before="0" w:after="300"/>
      <w:contextualSpacing/>
      <w:jc w:val="left"/>
    </w:pPr>
    <w:rPr>
      <w:rFonts w:eastAsiaTheme="majorEastAsia" w:cstheme="majorBidi"/>
      <w:b/>
      <w:caps/>
      <w:kern w:val="28"/>
      <w:szCs w:val="52"/>
    </w:rPr>
  </w:style>
  <w:style w:type="character" w:customStyle="1" w:styleId="NzevChar">
    <w:name w:val="Název Char"/>
    <w:basedOn w:val="Standardnpsmoodstavce"/>
    <w:link w:val="Nzev"/>
    <w:semiHidden/>
    <w:rsid w:val="00090383"/>
    <w:rPr>
      <w:rFonts w:eastAsiaTheme="majorEastAsia" w:cstheme="majorBidi"/>
      <w:b/>
      <w:caps/>
      <w:kern w:val="28"/>
      <w:sz w:val="22"/>
      <w:szCs w:val="52"/>
      <w:lang w:eastAsia="en-US"/>
    </w:rPr>
  </w:style>
  <w:style w:type="paragraph" w:customStyle="1" w:styleId="Default">
    <w:name w:val="Default"/>
    <w:rsid w:val="009418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6965-3F70-408D-93E3-E2056E2B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8816</Characters>
  <Application>Microsoft Office Word</Application>
  <DocSecurity>0</DocSecurity>
  <Lines>73</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jarosovam</cp:lastModifiedBy>
  <cp:revision>2</cp:revision>
  <cp:lastPrinted>2014-01-16T10:33:00Z</cp:lastPrinted>
  <dcterms:created xsi:type="dcterms:W3CDTF">2025-11-04T13:52:00Z</dcterms:created>
  <dcterms:modified xsi:type="dcterms:W3CDTF">2025-11-04T13:52:00Z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2025-11-03T08:34:25Z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fc6113ba-3252-4be2-af64-000f715d8f1c</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