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69A1AC9A" w14:textId="77777777" w:rsidR="006A7B64" w:rsidRPr="002E36B7" w:rsidRDefault="006A7B64" w:rsidP="00773DB1">
      <w:pPr>
        <w:ind w:left="567" w:hanging="567"/>
        <w:rPr>
          <w:rFonts w:cs="Times New Roman"/>
        </w:rPr>
      </w:pPr>
      <w:r w:rsidRPr="002E36B7">
        <w:rPr>
          <w:rFonts w:cs="Times New Roman"/>
        </w:rPr>
        <w:t xml:space="preserve">zastoupený: Ing. Markem </w:t>
      </w:r>
      <w:proofErr w:type="spellStart"/>
      <w:r w:rsidRPr="002E36B7">
        <w:rPr>
          <w:rFonts w:cs="Times New Roman"/>
        </w:rPr>
        <w:t>Zděradičkou</w:t>
      </w:r>
      <w:proofErr w:type="spellEnd"/>
      <w:r w:rsidRPr="002E36B7">
        <w:rPr>
          <w:rFonts w:cs="Times New Roman"/>
        </w:rPr>
        <w:t>, zástupcem ředitele pro odbornou činnost</w:t>
      </w:r>
    </w:p>
    <w:p w14:paraId="035A470A" w14:textId="070675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 xml:space="preserve">57, </w:t>
      </w:r>
      <w:r w:rsidR="00287E1B">
        <w:rPr>
          <w:rFonts w:cs="Times New Roman"/>
          <w:bCs/>
        </w:rPr>
        <w:t>Nové Město</w:t>
      </w:r>
      <w:r w:rsidR="00287E1B">
        <w:rPr>
          <w:rFonts w:cs="Times New Roman"/>
          <w:bCs/>
        </w:rPr>
        <w:t xml:space="preserve">, </w:t>
      </w:r>
      <w:r w:rsidRPr="00A15479">
        <w:rPr>
          <w:rFonts w:cs="Times New Roman"/>
          <w:bCs/>
        </w:rPr>
        <w:t>128 00 Praha 2</w:t>
      </w:r>
      <w:r w:rsidR="00666180">
        <w:rPr>
          <w:rFonts w:cs="Times New Roman"/>
          <w:bCs/>
        </w:rPr>
        <w:t xml:space="preserve"> 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403938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F86C43">
        <w:rPr>
          <w:rFonts w:cs="Times New Roman"/>
          <w:bCs/>
        </w:rPr>
        <w:t>xxxxxxxxxxxxxx</w:t>
      </w:r>
      <w:proofErr w:type="spellEnd"/>
    </w:p>
    <w:p w14:paraId="1570BA0A" w14:textId="67E32BC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F86C43">
        <w:rPr>
          <w:rFonts w:cs="Times New Roman"/>
          <w:bCs/>
        </w:rPr>
        <w:t>xxxxxxxxxxxxxxxx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43FFE2DB" w:rsidR="00DA6E4E" w:rsidRPr="00077F28" w:rsidRDefault="00077F28" w:rsidP="00077F28">
      <w:pPr>
        <w:spacing w:line="276" w:lineRule="auto"/>
        <w:jc w:val="both"/>
        <w:rPr>
          <w:rFonts w:cs="Times New Roman"/>
          <w:b/>
        </w:rPr>
      </w:pPr>
      <w:r w:rsidRPr="00077F28">
        <w:rPr>
          <w:rFonts w:cs="Times New Roman"/>
          <w:b/>
        </w:rPr>
        <w:t>Společnost: MP+SP – Letňany – Nádraží Libeň</w:t>
      </w:r>
    </w:p>
    <w:p w14:paraId="2B673177" w14:textId="6590441F" w:rsidR="00077F28" w:rsidRPr="00077F28" w:rsidRDefault="00077F28" w:rsidP="00077F28">
      <w:pPr>
        <w:spacing w:line="276" w:lineRule="auto"/>
        <w:jc w:val="both"/>
        <w:rPr>
          <w:rFonts w:cs="Times New Roman"/>
          <w:b/>
        </w:rPr>
      </w:pPr>
      <w:r w:rsidRPr="00077F28">
        <w:rPr>
          <w:rFonts w:cs="Times New Roman"/>
          <w:b/>
        </w:rPr>
        <w:t>Společník 1:</w:t>
      </w:r>
    </w:p>
    <w:p w14:paraId="220883CD" w14:textId="6A9F1077" w:rsidR="00077F28" w:rsidRPr="00077F28" w:rsidRDefault="00077F28" w:rsidP="00077F28">
      <w:pPr>
        <w:spacing w:line="276" w:lineRule="auto"/>
        <w:jc w:val="both"/>
        <w:rPr>
          <w:rFonts w:cs="Times New Roman"/>
          <w:b/>
        </w:rPr>
      </w:pPr>
      <w:r w:rsidRPr="00077F28">
        <w:rPr>
          <w:rFonts w:cs="Times New Roman"/>
          <w:b/>
        </w:rPr>
        <w:t xml:space="preserve">METROPROJEKT </w:t>
      </w:r>
      <w:r w:rsidR="001B26F5">
        <w:rPr>
          <w:rFonts w:cs="Times New Roman"/>
          <w:b/>
        </w:rPr>
        <w:t>Praha</w:t>
      </w:r>
      <w:r w:rsidRPr="00077F28">
        <w:rPr>
          <w:rFonts w:cs="Times New Roman"/>
          <w:b/>
        </w:rPr>
        <w:t xml:space="preserve"> a.s.</w:t>
      </w:r>
    </w:p>
    <w:p w14:paraId="583C59F6" w14:textId="02F2D989" w:rsidR="00D353D9" w:rsidRPr="00077F28" w:rsidRDefault="00D353D9" w:rsidP="00077F28">
      <w:pPr>
        <w:spacing w:line="276" w:lineRule="auto"/>
        <w:jc w:val="both"/>
        <w:rPr>
          <w:rFonts w:cs="Times New Roman"/>
          <w:bCs/>
        </w:rPr>
      </w:pPr>
      <w:r w:rsidRPr="00077F28">
        <w:rPr>
          <w:rFonts w:cs="Times New Roman"/>
          <w:bCs/>
        </w:rPr>
        <w:t xml:space="preserve">zastoupený: </w:t>
      </w:r>
      <w:r w:rsidR="00077F28" w:rsidRPr="00077F28">
        <w:rPr>
          <w:rFonts w:cs="Times New Roman"/>
        </w:rPr>
        <w:t>Ing. Vladimírem Seidlem, předsedou představenstva a Ing. Petrem Vyskočilem, místopředsedou představenstva</w:t>
      </w:r>
    </w:p>
    <w:p w14:paraId="1E540C82" w14:textId="0104CF1F" w:rsidR="00D353D9" w:rsidRPr="00077F28" w:rsidRDefault="00D353D9" w:rsidP="00512330">
      <w:pPr>
        <w:spacing w:line="276" w:lineRule="auto"/>
        <w:rPr>
          <w:rFonts w:cs="Times New Roman"/>
          <w:b/>
          <w:bCs/>
        </w:rPr>
      </w:pPr>
      <w:r w:rsidRPr="00077F28">
        <w:rPr>
          <w:rFonts w:cs="Times New Roman"/>
          <w:bCs/>
        </w:rPr>
        <w:t xml:space="preserve">sídlo: </w:t>
      </w:r>
      <w:r w:rsidR="00077F28" w:rsidRPr="00077F28">
        <w:rPr>
          <w:rFonts w:cs="Times New Roman"/>
        </w:rPr>
        <w:t xml:space="preserve">Argentinská 1621/36, </w:t>
      </w:r>
      <w:r w:rsidR="00287E1B" w:rsidRPr="00077F28">
        <w:rPr>
          <w:rFonts w:cs="Times New Roman"/>
        </w:rPr>
        <w:t>Holešovice</w:t>
      </w:r>
      <w:r w:rsidR="00287E1B">
        <w:rPr>
          <w:rFonts w:cs="Times New Roman"/>
        </w:rPr>
        <w:t xml:space="preserve">, </w:t>
      </w:r>
      <w:r w:rsidR="00077F28" w:rsidRPr="00077F28">
        <w:rPr>
          <w:rFonts w:cs="Times New Roman"/>
        </w:rPr>
        <w:t xml:space="preserve">170 00 Praha 7 </w:t>
      </w:r>
    </w:p>
    <w:p w14:paraId="19709E69" w14:textId="5CE700A2" w:rsidR="00D353D9" w:rsidRPr="00077F28" w:rsidRDefault="00DA6E4E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>zaps</w:t>
      </w:r>
      <w:r w:rsidR="002263BD" w:rsidRPr="00077F28">
        <w:rPr>
          <w:rFonts w:cs="Times New Roman"/>
        </w:rPr>
        <w:t>a</w:t>
      </w:r>
      <w:r w:rsidRPr="00077F28">
        <w:rPr>
          <w:rFonts w:cs="Times New Roman"/>
        </w:rPr>
        <w:t>ný</w:t>
      </w:r>
      <w:r w:rsidR="00D353D9" w:rsidRPr="00077F28">
        <w:rPr>
          <w:rFonts w:cs="Times New Roman"/>
        </w:rPr>
        <w:t xml:space="preserve">: </w:t>
      </w:r>
      <w:r w:rsidR="00077F28" w:rsidRPr="00077F28">
        <w:rPr>
          <w:rFonts w:cs="Times New Roman"/>
        </w:rPr>
        <w:t xml:space="preserve">v obchodním rejstříku vedeném Městským soudem v Praze, </w:t>
      </w:r>
      <w:proofErr w:type="spellStart"/>
      <w:r w:rsidR="00077F28" w:rsidRPr="00077F28">
        <w:rPr>
          <w:rFonts w:cs="Times New Roman"/>
        </w:rPr>
        <w:t>sp</w:t>
      </w:r>
      <w:proofErr w:type="spellEnd"/>
      <w:r w:rsidR="00077F28" w:rsidRPr="00077F28">
        <w:rPr>
          <w:rFonts w:cs="Times New Roman"/>
        </w:rPr>
        <w:t>. zn. B 1418</w:t>
      </w:r>
    </w:p>
    <w:p w14:paraId="1079EB0E" w14:textId="321A547C" w:rsidR="00D353D9" w:rsidRPr="00077F28" w:rsidRDefault="00D353D9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IČO: </w:t>
      </w:r>
      <w:r w:rsidR="00077F28" w:rsidRPr="00077F28">
        <w:rPr>
          <w:rFonts w:cs="Times New Roman"/>
        </w:rPr>
        <w:t>45271895</w:t>
      </w:r>
    </w:p>
    <w:p w14:paraId="303B2173" w14:textId="531DFB10" w:rsidR="00D353D9" w:rsidRPr="00077F28" w:rsidRDefault="00D353D9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DIČ: </w:t>
      </w:r>
      <w:r w:rsidR="00077F28" w:rsidRPr="00077F28">
        <w:rPr>
          <w:rFonts w:cs="Times New Roman"/>
        </w:rPr>
        <w:t>CZ45271895</w:t>
      </w:r>
    </w:p>
    <w:p w14:paraId="677EF671" w14:textId="28D895B9" w:rsidR="00D353D9" w:rsidRPr="00077F28" w:rsidRDefault="00D353D9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bankovní spojení: </w:t>
      </w:r>
      <w:proofErr w:type="spellStart"/>
      <w:r w:rsidR="00F86C43">
        <w:rPr>
          <w:rFonts w:cs="Times New Roman"/>
        </w:rPr>
        <w:t>xxxxxxxxxxxxxx</w:t>
      </w:r>
      <w:proofErr w:type="spellEnd"/>
    </w:p>
    <w:p w14:paraId="0CC139B3" w14:textId="6B7B4F22" w:rsidR="00D353D9" w:rsidRPr="00077F28" w:rsidRDefault="00D353D9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číslo účtu: </w:t>
      </w:r>
      <w:proofErr w:type="spellStart"/>
      <w:r w:rsidR="00F86C43">
        <w:rPr>
          <w:rFonts w:cs="Times New Roman"/>
        </w:rPr>
        <w:t>xxxxxxxxxxxxx</w:t>
      </w:r>
      <w:proofErr w:type="spellEnd"/>
    </w:p>
    <w:p w14:paraId="6BCF4A09" w14:textId="3C7EED69" w:rsidR="00347907" w:rsidRDefault="00BB77D8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>plátce</w:t>
      </w:r>
      <w:r w:rsidR="00077F28" w:rsidRPr="00077F28">
        <w:rPr>
          <w:rFonts w:cs="Times New Roman"/>
        </w:rPr>
        <w:t xml:space="preserve"> </w:t>
      </w:r>
      <w:r w:rsidR="00347907" w:rsidRPr="00077F28">
        <w:rPr>
          <w:rFonts w:cs="Times New Roman"/>
        </w:rPr>
        <w:t>DPH</w:t>
      </w:r>
      <w:r w:rsidR="00560B19" w:rsidRPr="00077F28">
        <w:rPr>
          <w:rFonts w:cs="Times New Roman"/>
        </w:rPr>
        <w:t xml:space="preserve"> </w:t>
      </w:r>
    </w:p>
    <w:p w14:paraId="399BD37F" w14:textId="77777777" w:rsidR="00077F28" w:rsidRDefault="00077F28" w:rsidP="00512330">
      <w:pPr>
        <w:spacing w:line="276" w:lineRule="auto"/>
        <w:rPr>
          <w:rFonts w:cs="Times New Roman"/>
        </w:rPr>
      </w:pPr>
    </w:p>
    <w:p w14:paraId="63893949" w14:textId="2026B14A" w:rsidR="00077F28" w:rsidRPr="00077F28" w:rsidRDefault="00077F28" w:rsidP="00512330">
      <w:pPr>
        <w:spacing w:line="276" w:lineRule="auto"/>
        <w:rPr>
          <w:rFonts w:cs="Times New Roman"/>
          <w:b/>
          <w:bCs/>
        </w:rPr>
      </w:pPr>
      <w:r w:rsidRPr="00077F28">
        <w:rPr>
          <w:rFonts w:cs="Times New Roman"/>
          <w:b/>
          <w:bCs/>
        </w:rPr>
        <w:t>Společník 2:</w:t>
      </w:r>
    </w:p>
    <w:p w14:paraId="593BF0EB" w14:textId="61284425" w:rsidR="00077F28" w:rsidRDefault="00077F28" w:rsidP="00512330">
      <w:pPr>
        <w:spacing w:line="276" w:lineRule="auto"/>
        <w:rPr>
          <w:rFonts w:cs="Times New Roman"/>
          <w:b/>
          <w:bCs/>
        </w:rPr>
      </w:pPr>
      <w:r w:rsidRPr="00077F28">
        <w:rPr>
          <w:rFonts w:cs="Times New Roman"/>
          <w:b/>
          <w:bCs/>
        </w:rPr>
        <w:t>SUDOP PRAHA a.s.</w:t>
      </w:r>
    </w:p>
    <w:p w14:paraId="6A638B6A" w14:textId="43BE0CD5" w:rsidR="00077F28" w:rsidRPr="00077F28" w:rsidRDefault="00077F28" w:rsidP="00077F28">
      <w:pPr>
        <w:spacing w:line="276" w:lineRule="auto"/>
        <w:jc w:val="both"/>
        <w:rPr>
          <w:rFonts w:cs="Times New Roman"/>
          <w:bCs/>
        </w:rPr>
      </w:pPr>
      <w:r w:rsidRPr="00077F28">
        <w:rPr>
          <w:rFonts w:cs="Times New Roman"/>
          <w:bCs/>
        </w:rPr>
        <w:t xml:space="preserve">zastoupený: </w:t>
      </w:r>
      <w:r w:rsidRPr="00077F28">
        <w:rPr>
          <w:rFonts w:cs="Times New Roman"/>
        </w:rPr>
        <w:t xml:space="preserve">Ing. </w:t>
      </w:r>
      <w:r>
        <w:rPr>
          <w:rFonts w:cs="Times New Roman"/>
        </w:rPr>
        <w:t>Martinem Chrastilem</w:t>
      </w:r>
      <w:r w:rsidRPr="00077F28">
        <w:rPr>
          <w:rFonts w:cs="Times New Roman"/>
        </w:rPr>
        <w:t xml:space="preserve">, předsedou představenstva a Ing. </w:t>
      </w:r>
      <w:r>
        <w:rPr>
          <w:rFonts w:cs="Times New Roman"/>
        </w:rPr>
        <w:t>Oto Hellerem</w:t>
      </w:r>
      <w:r w:rsidRPr="00077F28">
        <w:rPr>
          <w:rFonts w:cs="Times New Roman"/>
        </w:rPr>
        <w:t xml:space="preserve">, </w:t>
      </w:r>
      <w:r>
        <w:rPr>
          <w:rFonts w:cs="Times New Roman"/>
        </w:rPr>
        <w:t xml:space="preserve">členem </w:t>
      </w:r>
      <w:r w:rsidRPr="00077F28">
        <w:rPr>
          <w:rFonts w:cs="Times New Roman"/>
        </w:rPr>
        <w:t>představenstva</w:t>
      </w:r>
    </w:p>
    <w:p w14:paraId="07E85BDF" w14:textId="5E8AF08D" w:rsidR="00077F28" w:rsidRPr="00077F28" w:rsidRDefault="00077F28" w:rsidP="00077F28">
      <w:pPr>
        <w:spacing w:line="276" w:lineRule="auto"/>
        <w:rPr>
          <w:rFonts w:cs="Times New Roman"/>
          <w:b/>
          <w:bCs/>
        </w:rPr>
      </w:pPr>
      <w:r w:rsidRPr="00077F28">
        <w:rPr>
          <w:rFonts w:cs="Times New Roman"/>
          <w:bCs/>
        </w:rPr>
        <w:t xml:space="preserve">sídlo: </w:t>
      </w:r>
      <w:r>
        <w:rPr>
          <w:rFonts w:cs="Times New Roman"/>
        </w:rPr>
        <w:t>Olšanská 2643/</w:t>
      </w:r>
      <w:proofErr w:type="gramStart"/>
      <w:r>
        <w:rPr>
          <w:rFonts w:cs="Times New Roman"/>
        </w:rPr>
        <w:t>1a</w:t>
      </w:r>
      <w:proofErr w:type="gramEnd"/>
      <w:r>
        <w:rPr>
          <w:rFonts w:cs="Times New Roman"/>
        </w:rPr>
        <w:t xml:space="preserve">, </w:t>
      </w:r>
      <w:r w:rsidR="00287E1B">
        <w:rPr>
          <w:rFonts w:cs="Times New Roman"/>
        </w:rPr>
        <w:t>Žižkov</w:t>
      </w:r>
      <w:r w:rsidR="00287E1B">
        <w:rPr>
          <w:rFonts w:cs="Times New Roman"/>
        </w:rPr>
        <w:t xml:space="preserve">, </w:t>
      </w:r>
      <w:r>
        <w:rPr>
          <w:rFonts w:cs="Times New Roman"/>
        </w:rPr>
        <w:t xml:space="preserve">130 00 Praha 3 </w:t>
      </w:r>
    </w:p>
    <w:p w14:paraId="78191EE0" w14:textId="69431354" w:rsidR="00077F28" w:rsidRPr="00077F28" w:rsidRDefault="00077F28" w:rsidP="00077F28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zapsaný: v obchodním rejstříku vedeném Městským soudem v Praze, </w:t>
      </w:r>
      <w:proofErr w:type="spellStart"/>
      <w:r w:rsidRPr="00077F28">
        <w:rPr>
          <w:rFonts w:cs="Times New Roman"/>
        </w:rPr>
        <w:t>sp</w:t>
      </w:r>
      <w:proofErr w:type="spellEnd"/>
      <w:r w:rsidRPr="00077F28">
        <w:rPr>
          <w:rFonts w:cs="Times New Roman"/>
        </w:rPr>
        <w:t xml:space="preserve">. zn. B </w:t>
      </w:r>
      <w:r>
        <w:rPr>
          <w:rFonts w:cs="Times New Roman"/>
        </w:rPr>
        <w:t>6088</w:t>
      </w:r>
    </w:p>
    <w:p w14:paraId="76C25F4C" w14:textId="070D8354" w:rsidR="00077F28" w:rsidRPr="00077F28" w:rsidRDefault="00077F28" w:rsidP="00077F28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IČO: </w:t>
      </w:r>
      <w:r>
        <w:rPr>
          <w:rFonts w:cs="Times New Roman"/>
        </w:rPr>
        <w:t>25793349</w:t>
      </w:r>
    </w:p>
    <w:p w14:paraId="19CEE46B" w14:textId="1BCF44DA" w:rsidR="00077F28" w:rsidRPr="00077F28" w:rsidRDefault="00077F28" w:rsidP="00077F28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>DIČ: CZ</w:t>
      </w:r>
      <w:r>
        <w:rPr>
          <w:rFonts w:cs="Times New Roman"/>
        </w:rPr>
        <w:t>25793349</w:t>
      </w:r>
    </w:p>
    <w:p w14:paraId="311D8F73" w14:textId="4334F3D2" w:rsidR="00077F28" w:rsidRPr="00077F28" w:rsidRDefault="00077F28" w:rsidP="00077F28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bankovní spojení: </w:t>
      </w:r>
      <w:proofErr w:type="spellStart"/>
      <w:r w:rsidR="00F86C43">
        <w:rPr>
          <w:rFonts w:cs="Times New Roman"/>
        </w:rPr>
        <w:t>xxxxxxxx</w:t>
      </w:r>
      <w:proofErr w:type="spellEnd"/>
    </w:p>
    <w:p w14:paraId="5614F98E" w14:textId="78D8DC31" w:rsidR="00077F28" w:rsidRPr="00077F28" w:rsidRDefault="00077F28" w:rsidP="00077F28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číslo účtu: </w:t>
      </w:r>
      <w:proofErr w:type="spellStart"/>
      <w:r w:rsidR="00F86C43">
        <w:rPr>
          <w:rFonts w:cs="Times New Roman"/>
        </w:rPr>
        <w:t>xxxxxxxxxxxxxxxx</w:t>
      </w:r>
      <w:proofErr w:type="spellEnd"/>
    </w:p>
    <w:p w14:paraId="6D223378" w14:textId="10D6E297" w:rsidR="00077F28" w:rsidRPr="00077F28" w:rsidRDefault="00077F28" w:rsidP="00512330">
      <w:pPr>
        <w:spacing w:line="276" w:lineRule="auto"/>
        <w:rPr>
          <w:rFonts w:cs="Times New Roman"/>
        </w:rPr>
      </w:pPr>
      <w:r w:rsidRPr="00077F28">
        <w:rPr>
          <w:rFonts w:cs="Times New Roman"/>
        </w:rPr>
        <w:t xml:space="preserve">plátce DPH </w:t>
      </w:r>
    </w:p>
    <w:p w14:paraId="0A583C73" w14:textId="713F49D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077F28">
        <w:rPr>
          <w:rFonts w:cs="Times New Roman"/>
        </w:rPr>
        <w:t>(dále jen „</w:t>
      </w:r>
      <w:r w:rsidRPr="00077F28">
        <w:rPr>
          <w:rFonts w:cs="Times New Roman"/>
          <w:b/>
        </w:rPr>
        <w:t>zhotovitel</w:t>
      </w:r>
      <w:r w:rsidRPr="00077F28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lastRenderedPageBreak/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3EB123CB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2E36B7">
        <w:rPr>
          <w:rFonts w:cs="Times New Roman"/>
          <w:b/>
        </w:rPr>
        <w:t>Zpracování studie „Technické prověření kolejového propojení Letňany – Nádraží Libeň“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4888618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2E36B7">
        <w:rPr>
          <w:rFonts w:cs="Times New Roman"/>
        </w:rPr>
        <w:t>Zpracování studie „Technické prověření kolejového propojení Letňany – Nádraží Libeň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2E36B7">
        <w:rPr>
          <w:rFonts w:cs="Times New Roman"/>
          <w:b/>
        </w:rPr>
        <w:t>25-0167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7B568AD8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2E36B7">
        <w:rPr>
          <w:rFonts w:cs="Times New Roman"/>
        </w:rPr>
        <w:t>Zadávací dokumentace</w:t>
      </w:r>
      <w:r w:rsidR="00EF2BD1" w:rsidRPr="002E36B7">
        <w:rPr>
          <w:rFonts w:cs="Times New Roman"/>
        </w:rPr>
        <w:t>, jež je závazná pro plnění smlouvy,</w:t>
      </w:r>
      <w:r w:rsidRPr="002E36B7">
        <w:rPr>
          <w:rFonts w:cs="Times New Roman"/>
        </w:rPr>
        <w:t xml:space="preserve"> je zveřejněna na profilu objednatele</w:t>
      </w:r>
      <w:r w:rsidR="005B5118" w:rsidRPr="002E36B7">
        <w:rPr>
          <w:rFonts w:cs="Times New Roman"/>
        </w:rPr>
        <w:t>:</w:t>
      </w:r>
      <w:r w:rsidR="00BB58CF" w:rsidRPr="002E36B7">
        <w:rPr>
          <w:rFonts w:cs="Times New Roman"/>
        </w:rPr>
        <w:t xml:space="preserve"> </w:t>
      </w:r>
      <w:r w:rsidR="00BB58CF" w:rsidRPr="002E36B7">
        <w:rPr>
          <w:rFonts w:cs="Times New Roman"/>
          <w:u w:val="single"/>
        </w:rPr>
        <w:t>https://www.tenderarena.cz/profily/IPRPraha</w:t>
      </w:r>
      <w:r w:rsidR="009D3A25" w:rsidRPr="002E36B7">
        <w:rPr>
          <w:rFonts w:cs="Times New Roman"/>
          <w:u w:val="single"/>
        </w:rPr>
        <w:t>.</w:t>
      </w:r>
    </w:p>
    <w:p w14:paraId="22396A99" w14:textId="74DDF19E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</w:t>
      </w:r>
      <w:r w:rsidR="009D3A25">
        <w:rPr>
          <w:rFonts w:cs="Times New Roman"/>
        </w:rPr>
        <w:t>a</w:t>
      </w:r>
      <w:r w:rsidR="001147E2" w:rsidRPr="00A15479">
        <w:rPr>
          <w:rFonts w:cs="Times New Roman"/>
        </w:rPr>
        <w:t xml:space="preserve">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50140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70ED6DA1" w:rsidR="00341B38" w:rsidRPr="00A15479" w:rsidRDefault="00D01187" w:rsidP="009D3A2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0E6C6F10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5909DEF6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2E36B7">
        <w:rPr>
          <w:rFonts w:cs="Times New Roman"/>
        </w:rPr>
        <w:t xml:space="preserve">technické studie proveditelnosti pro kolejové propojení mezi Terminálem sever, Letňany, Náměstím OSN a Nádražím Libeň s otevřeným výhledovým pokračováním do oblasti Jarova ve variantě </w:t>
      </w:r>
      <w:r w:rsidR="00244FF8">
        <w:rPr>
          <w:rFonts w:cs="Times New Roman"/>
        </w:rPr>
        <w:t xml:space="preserve">tramvaj, </w:t>
      </w:r>
      <w:r w:rsidR="002E36B7">
        <w:rPr>
          <w:rFonts w:cs="Times New Roman"/>
        </w:rPr>
        <w:t>rychlodrážní tramvaj a metro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</w:t>
      </w:r>
      <w:r w:rsidRPr="00A60C46">
        <w:rPr>
          <w:rFonts w:cs="Times New Roman"/>
        </w:rPr>
        <w:lastRenderedPageBreak/>
        <w:t>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5B03F8B6" w:rsidR="00DB0698" w:rsidRPr="002E36B7" w:rsidRDefault="00751023" w:rsidP="0075102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</w:t>
      </w:r>
      <w:r w:rsidR="002E36B7">
        <w:rPr>
          <w:rFonts w:cs="Times New Roman"/>
        </w:rPr>
        <w:t xml:space="preserve"> j</w:t>
      </w:r>
      <w:r w:rsidR="001D54B4" w:rsidRPr="002E36B7">
        <w:rPr>
          <w:rFonts w:cs="Times New Roman"/>
        </w:rPr>
        <w:t>e uvedena v</w:t>
      </w:r>
      <w:r w:rsidR="00D81B70" w:rsidRPr="002E36B7">
        <w:rPr>
          <w:rFonts w:cs="Times New Roman"/>
        </w:rPr>
        <w:t> </w:t>
      </w:r>
      <w:r w:rsidR="006B64EC" w:rsidRPr="002E36B7">
        <w:rPr>
          <w:rFonts w:cs="Times New Roman"/>
        </w:rPr>
        <w:t>p</w:t>
      </w:r>
      <w:r w:rsidR="001D54B4" w:rsidRPr="002E36B7">
        <w:rPr>
          <w:rFonts w:cs="Times New Roman"/>
        </w:rPr>
        <w:t xml:space="preserve">říloze č. 1, která tvoří nedílnou součást </w:t>
      </w:r>
      <w:r w:rsidR="001D54B4" w:rsidRPr="00707DF5">
        <w:t>této</w:t>
      </w:r>
      <w:r w:rsidR="00707DF5">
        <w:t> </w:t>
      </w:r>
      <w:r w:rsidR="001D54B4" w:rsidRPr="00707DF5">
        <w:t>smlouvy</w:t>
      </w:r>
      <w:r w:rsidR="003F6D6A" w:rsidRPr="002E36B7">
        <w:rPr>
          <w:rFonts w:cs="Times New Roman"/>
        </w:rPr>
        <w:t>.</w:t>
      </w:r>
    </w:p>
    <w:p w14:paraId="4F072886" w14:textId="77777777" w:rsidR="0081750C" w:rsidRPr="002E36B7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E36B7">
        <w:rPr>
          <w:rFonts w:cs="Times New Roman"/>
        </w:rPr>
        <w:t xml:space="preserve">Plnění předmětu smlouvy </w:t>
      </w:r>
      <w:bookmarkStart w:id="2" w:name="_Hlk168306389"/>
      <w:r w:rsidRPr="002E36B7">
        <w:rPr>
          <w:rFonts w:cs="Times New Roman"/>
        </w:rPr>
        <w:t xml:space="preserve">bude provedeno za podmínek stanovených v této smlouvě (včetně příloh), </w:t>
      </w:r>
      <w:r w:rsidRPr="002E36B7">
        <w:rPr>
          <w:rFonts w:cs="Times New Roman"/>
          <w:bCs/>
        </w:rPr>
        <w:t>dále pak za podmínek st</w:t>
      </w:r>
      <w:r w:rsidR="00283F23" w:rsidRPr="002E36B7">
        <w:rPr>
          <w:rFonts w:cs="Times New Roman"/>
          <w:bCs/>
        </w:rPr>
        <w:t>anovených v</w:t>
      </w:r>
      <w:r w:rsidR="0058623D" w:rsidRPr="002E36B7">
        <w:rPr>
          <w:rFonts w:cs="Times New Roman"/>
          <w:bCs/>
        </w:rPr>
        <w:t xml:space="preserve"> </w:t>
      </w:r>
      <w:r w:rsidR="00027440" w:rsidRPr="002E36B7">
        <w:rPr>
          <w:rFonts w:cs="Times New Roman"/>
          <w:bCs/>
        </w:rPr>
        <w:t>zadávací dokumentaci zakázky</w:t>
      </w:r>
      <w:r w:rsidR="00DA6E4E" w:rsidRPr="002E36B7">
        <w:rPr>
          <w:rFonts w:cs="Times New Roman"/>
          <w:bCs/>
        </w:rPr>
        <w:t>, včetně jejích příloh</w:t>
      </w:r>
      <w:r w:rsidR="006B64EC" w:rsidRPr="002E36B7">
        <w:rPr>
          <w:rFonts w:cs="Times New Roman"/>
          <w:bCs/>
        </w:rPr>
        <w:t>,</w:t>
      </w:r>
      <w:r w:rsidRPr="002E36B7">
        <w:rPr>
          <w:rFonts w:cs="Times New Roman"/>
          <w:bCs/>
        </w:rPr>
        <w:t xml:space="preserve"> a v nab</w:t>
      </w:r>
      <w:r w:rsidR="00283F23" w:rsidRPr="002E36B7">
        <w:rPr>
          <w:rFonts w:cs="Times New Roman"/>
          <w:bCs/>
        </w:rPr>
        <w:t>ídce zhotovitele</w:t>
      </w:r>
      <w:r w:rsidRPr="002E36B7">
        <w:rPr>
          <w:rFonts w:cs="Times New Roman"/>
          <w:bCs/>
        </w:rPr>
        <w:t>.</w:t>
      </w:r>
      <w:bookmarkEnd w:id="2"/>
    </w:p>
    <w:p w14:paraId="60AA7F95" w14:textId="50182525" w:rsidR="00FE2031" w:rsidRPr="000C18D1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C18D1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0C18D1">
        <w:rPr>
          <w:rFonts w:cs="Times New Roman"/>
        </w:rPr>
        <w:t>všech pracovních poradách svolaných objednatelem</w:t>
      </w:r>
      <w:bookmarkEnd w:id="3"/>
      <w:r w:rsidRPr="000C18D1">
        <w:rPr>
          <w:rFonts w:cs="Times New Roman"/>
        </w:rPr>
        <w:t xml:space="preserve"> či pracovních poradách a prezentacích</w:t>
      </w:r>
      <w:r w:rsidR="00041C27" w:rsidRPr="000C18D1">
        <w:rPr>
          <w:rFonts w:cs="Times New Roman"/>
        </w:rPr>
        <w:t xml:space="preserve"> </w:t>
      </w:r>
      <w:r w:rsidRPr="000C18D1">
        <w:rPr>
          <w:rFonts w:cs="Times New Roman"/>
        </w:rPr>
        <w:t>a zavazuje se</w:t>
      </w:r>
      <w:r w:rsidR="009E48D6" w:rsidRPr="000C18D1">
        <w:rPr>
          <w:rFonts w:cs="Times New Roman"/>
        </w:rPr>
        <w:t xml:space="preserve"> </w:t>
      </w:r>
      <w:r w:rsidRPr="000C18D1">
        <w:rPr>
          <w:rFonts w:cs="Times New Roman"/>
        </w:rPr>
        <w:t xml:space="preserve">k respektování závěrů na nich přijatých. </w:t>
      </w:r>
      <w:r w:rsidR="00041C27" w:rsidRPr="000C18D1">
        <w:rPr>
          <w:rFonts w:cs="Times New Roman"/>
        </w:rPr>
        <w:t>P</w:t>
      </w:r>
      <w:r w:rsidRPr="000C18D1">
        <w:rPr>
          <w:rFonts w:cs="Times New Roman"/>
        </w:rPr>
        <w:t xml:space="preserve">očet a termíny porad </w:t>
      </w:r>
      <w:r w:rsidR="00041C27" w:rsidRPr="000C18D1">
        <w:rPr>
          <w:rFonts w:cs="Times New Roman"/>
        </w:rPr>
        <w:t xml:space="preserve">stanoví </w:t>
      </w:r>
      <w:r w:rsidRPr="000C18D1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3B192CBA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>
        <w:rPr>
          <w:rFonts w:cs="Times New Roman"/>
        </w:rPr>
        <w:t xml:space="preserve">Dílo bude provedeno v etapách stanovených objednatelem v níže uvedené tabulce </w:t>
      </w:r>
      <w:bookmarkEnd w:id="4"/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1E" w14:textId="0E36DE91" w:rsidR="00BC6011" w:rsidRPr="000C18D1" w:rsidRDefault="000C18D1" w:rsidP="000C18D1">
            <w:pPr>
              <w:pStyle w:val="Zkladntext"/>
              <w:spacing w:after="120" w:line="276" w:lineRule="auto"/>
              <w:jc w:val="center"/>
            </w:pPr>
            <w:bookmarkStart w:id="5" w:name="_Hlk168306976"/>
            <w:r w:rsidRPr="000C18D1">
              <w:rPr>
                <w:rFonts w:cs="Times New Roman"/>
                <w:b/>
              </w:rPr>
              <w:t xml:space="preserve">Zpracování studie „Technické prověření kolejového propojení </w:t>
            </w:r>
            <w:proofErr w:type="gramStart"/>
            <w:r w:rsidRPr="000C18D1">
              <w:rPr>
                <w:rFonts w:cs="Times New Roman"/>
                <w:b/>
              </w:rPr>
              <w:t>Letňany -</w:t>
            </w:r>
            <w:r>
              <w:rPr>
                <w:rFonts w:cs="Times New Roman"/>
                <w:b/>
              </w:rPr>
              <w:t xml:space="preserve"> </w:t>
            </w:r>
            <w:r w:rsidRPr="000C18D1">
              <w:rPr>
                <w:rFonts w:cs="Times New Roman"/>
                <w:b/>
              </w:rPr>
              <w:t>Nádraží</w:t>
            </w:r>
            <w:proofErr w:type="gramEnd"/>
            <w:r w:rsidRPr="000C18D1">
              <w:rPr>
                <w:rFonts w:cs="Times New Roman"/>
                <w:b/>
              </w:rPr>
              <w:t xml:space="preserve"> Libeň“</w:t>
            </w:r>
          </w:p>
          <w:p w14:paraId="57E5BFDD" w14:textId="77777777" w:rsidR="00BC6011" w:rsidRPr="000C18D1" w:rsidRDefault="00BC6011" w:rsidP="000C18D1">
            <w:pPr>
              <w:pStyle w:val="Zkladntext"/>
              <w:spacing w:after="120" w:line="276" w:lineRule="auto"/>
              <w:ind w:left="1004"/>
              <w:jc w:val="center"/>
              <w:rPr>
                <w:rFonts w:cs="Times New Roman"/>
                <w:b/>
              </w:rPr>
            </w:pPr>
          </w:p>
        </w:tc>
      </w:tr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181F" w14:textId="057357B3" w:rsidR="00BC6011" w:rsidRPr="000C18D1" w:rsidRDefault="00BC6011" w:rsidP="00C105D7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0C18D1">
              <w:rPr>
                <w:rFonts w:cs="Times New Roman"/>
                <w:b/>
              </w:rPr>
              <w:t xml:space="preserve">Etapa 1 </w:t>
            </w:r>
          </w:p>
          <w:p w14:paraId="5D92F21B" w14:textId="77777777" w:rsidR="000C18D1" w:rsidRPr="000C18D1" w:rsidRDefault="000C18D1" w:rsidP="000C18D1">
            <w:pPr>
              <w:pStyle w:val="odrkyodstav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4"/>
              </w:rPr>
            </w:pPr>
            <w:r w:rsidRPr="000C18D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Prvotní návrh tras jednotlivých druhů kolejové dopravy:</w:t>
            </w:r>
            <w:r w:rsidRPr="000C18D1">
              <w:rPr>
                <w:rFonts w:ascii="Times New Roman" w:hAnsi="Times New Roman" w:cs="Times New Roman"/>
                <w:sz w:val="22"/>
                <w:szCs w:val="24"/>
              </w:rPr>
              <w:t xml:space="preserve"> 1 měsíc od zahájení zpracování studie</w:t>
            </w:r>
          </w:p>
          <w:p w14:paraId="5F36E2EE" w14:textId="207A2458" w:rsidR="00BC6011" w:rsidRPr="000C18D1" w:rsidRDefault="009206F1" w:rsidP="00C105D7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7417C0">
              <w:rPr>
                <w:rFonts w:cs="Times New Roman"/>
                <w:bCs/>
              </w:rPr>
              <w:t>(kontrolní, bez fakturace)</w:t>
            </w:r>
          </w:p>
        </w:tc>
      </w:tr>
      <w:tr w:rsidR="00BC6011" w:rsidRPr="000C18D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00EE" w14:textId="19672776" w:rsidR="00BC6011" w:rsidRPr="007417C0" w:rsidRDefault="00BC6011" w:rsidP="00C105D7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0C18D1">
              <w:rPr>
                <w:rFonts w:cs="Times New Roman"/>
                <w:b/>
              </w:rPr>
              <w:t xml:space="preserve">Etapa 2 </w:t>
            </w:r>
          </w:p>
          <w:p w14:paraId="34C2800F" w14:textId="77777777" w:rsidR="000C18D1" w:rsidRPr="000C18D1" w:rsidRDefault="000C18D1" w:rsidP="000C18D1">
            <w:pPr>
              <w:pStyle w:val="odrkyodstav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4"/>
              </w:rPr>
            </w:pPr>
            <w:r w:rsidRPr="000C18D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Koncept studie k připomínkám:</w:t>
            </w:r>
            <w:r w:rsidRPr="000C18D1">
              <w:rPr>
                <w:rFonts w:ascii="Times New Roman" w:hAnsi="Times New Roman" w:cs="Times New Roman"/>
                <w:sz w:val="22"/>
                <w:szCs w:val="24"/>
              </w:rPr>
              <w:t xml:space="preserve"> 3 měsíce od zahájení zpracování studie</w:t>
            </w:r>
          </w:p>
          <w:p w14:paraId="401ABE67" w14:textId="5E8987D9" w:rsidR="00BC6011" w:rsidRPr="000C18D1" w:rsidRDefault="00BC6011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  <w:tr w:rsidR="00BC6011" w14:paraId="26C52572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2D9E" w14:textId="1C1C7F7A" w:rsidR="000C18D1" w:rsidRPr="000C18D1" w:rsidRDefault="00BC6011" w:rsidP="000C18D1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0C18D1">
              <w:rPr>
                <w:rFonts w:cs="Times New Roman"/>
                <w:b/>
              </w:rPr>
              <w:t xml:space="preserve">Etapa 3 </w:t>
            </w:r>
          </w:p>
          <w:p w14:paraId="6DE231FC" w14:textId="77777777" w:rsidR="000C18D1" w:rsidRPr="000C18D1" w:rsidRDefault="000C18D1" w:rsidP="000C18D1">
            <w:pPr>
              <w:pStyle w:val="odrkyodstavc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4"/>
              </w:rPr>
            </w:pPr>
            <w:r w:rsidRPr="000C18D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Finalizace a odevzdání:</w:t>
            </w:r>
            <w:r w:rsidRPr="000C18D1">
              <w:rPr>
                <w:rFonts w:ascii="Times New Roman" w:hAnsi="Times New Roman" w:cs="Times New Roman"/>
                <w:sz w:val="22"/>
                <w:szCs w:val="24"/>
              </w:rPr>
              <w:t xml:space="preserve"> 5 měsíců od zahájení zpracování studie</w:t>
            </w:r>
          </w:p>
          <w:p w14:paraId="79F0D26A" w14:textId="6A0509E2" w:rsidR="00BC6011" w:rsidRPr="000C18D1" w:rsidRDefault="00BC6011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C8EF04F" w14:textId="23267950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7148"/>
      <w:r>
        <w:rPr>
          <w:rFonts w:cs="UnitPro"/>
        </w:rPr>
        <w:t>K plnění každé jednotlivé dílčí činnosti (</w:t>
      </w:r>
      <w:r w:rsidR="0054149D">
        <w:rPr>
          <w:rFonts w:cs="UnitPro"/>
        </w:rPr>
        <w:t>E</w:t>
      </w:r>
      <w:r>
        <w:rPr>
          <w:rFonts w:cs="UnitPro"/>
        </w:rPr>
        <w:t>tapy) bude zhotovitel objednatelem vyzván písemně, a</w:t>
      </w:r>
      <w:r w:rsidR="00063DEC">
        <w:rPr>
          <w:rFonts w:cs="UnitPro"/>
        </w:rPr>
        <w:t> </w:t>
      </w:r>
      <w:r>
        <w:rPr>
          <w:rFonts w:cs="UnitPro"/>
        </w:rPr>
        <w:t>to</w:t>
      </w:r>
      <w:r w:rsidR="00063DEC">
        <w:rPr>
          <w:rFonts w:cs="UnitPro"/>
        </w:rPr>
        <w:t> </w:t>
      </w:r>
      <w:r>
        <w:rPr>
          <w:rFonts w:cs="UnitPro"/>
        </w:rPr>
        <w:t>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bookmarkEnd w:id="6"/>
      <w:r>
        <w:rPr>
          <w:rFonts w:cs="UnitPro"/>
        </w:rPr>
        <w:t xml:space="preserve">uvedené v </w:t>
      </w:r>
      <w:r w:rsidRPr="00E361D2">
        <w:rPr>
          <w:rFonts w:cs="UnitPro"/>
        </w:rPr>
        <w:t>čl. XII odst. 2</w:t>
      </w:r>
      <w:r>
        <w:rPr>
          <w:rFonts w:cs="UnitPro"/>
        </w:rPr>
        <w:t xml:space="preserve"> této smlouvy. V každém zasílaném pokynu objednatele k zahájení činnosti bude uvedeno: „Objednatel tímto vyzývá zhotovitele k zahájení následující činnosti:“ a dále bude doplněna a uvedena konkrétní činnost předmětu veřejné zakázky, jejíž</w:t>
      </w:r>
      <w:r w:rsidR="002A2585">
        <w:rPr>
          <w:rFonts w:cs="UnitPro"/>
        </w:rPr>
        <w:t> </w:t>
      </w:r>
      <w:r>
        <w:rPr>
          <w:rFonts w:cs="UnitPro"/>
        </w:rPr>
        <w:t xml:space="preserve">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Pr="00F809AC">
        <w:rPr>
          <w:rFonts w:cs="UnitPro"/>
        </w:rPr>
        <w:t>v čl. III odst. 2</w:t>
      </w:r>
      <w:r>
        <w:rPr>
          <w:rFonts w:cs="UnitPro"/>
        </w:rPr>
        <w:t xml:space="preserve"> této smlouvy.</w:t>
      </w: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5A4F3656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68308907"/>
      <w:bookmarkStart w:id="8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7"/>
      <w:r w:rsidRPr="00A15479">
        <w:rPr>
          <w:rFonts w:cs="Times New Roman"/>
        </w:rPr>
        <w:t>smlouvy“.</w:t>
      </w:r>
    </w:p>
    <w:bookmarkEnd w:id="8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9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9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68309189"/>
      <w:bookmarkStart w:id="11" w:name="_Hlk161309905"/>
      <w:r w:rsidRPr="00A15479">
        <w:rPr>
          <w:rFonts w:cs="Times New Roman"/>
        </w:rPr>
        <w:t xml:space="preserve">Celková cena </w:t>
      </w:r>
      <w:bookmarkEnd w:id="10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184E0AEC" w:rsidR="00CE703C" w:rsidRPr="00A15479" w:rsidRDefault="00573D7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2" w:name="_Hlk145932325"/>
      <w:proofErr w:type="gramStart"/>
      <w:r>
        <w:rPr>
          <w:rFonts w:cs="Times New Roman"/>
          <w:b/>
          <w:bCs/>
        </w:rPr>
        <w:t>875.000,-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osmsetsedmdesátpěttisíc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24C96D50" w:rsidR="002D672A" w:rsidRDefault="00573D78" w:rsidP="00ED2257">
      <w:pPr>
        <w:spacing w:after="24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1.058.750,-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jedenmilionpadesátosmtisícsemsetpadesát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3" w:name="_Hlk169077634"/>
      <w:bookmarkEnd w:id="11"/>
      <w:bookmarkEnd w:id="12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3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179C5ABC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573D78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2AA8" w14:textId="77777777" w:rsidR="0047611E" w:rsidRDefault="005B2FB3" w:rsidP="00C105D7">
            <w:pPr>
              <w:pStyle w:val="Zkladntext"/>
              <w:spacing w:after="120" w:line="276" w:lineRule="auto"/>
            </w:pPr>
            <w:r>
              <w:t>Etapa 1</w:t>
            </w:r>
            <w:r w:rsidR="009206F1">
              <w:t xml:space="preserve"> </w:t>
            </w:r>
          </w:p>
          <w:p w14:paraId="292EDF22" w14:textId="11DA9A05" w:rsidR="005B2FB3" w:rsidRDefault="0047611E" w:rsidP="00C105D7">
            <w:pPr>
              <w:pStyle w:val="Zkladntext"/>
              <w:spacing w:after="120" w:line="276" w:lineRule="auto"/>
            </w:pPr>
            <w:r>
              <w:t>(</w:t>
            </w:r>
            <w:r w:rsidR="009206F1">
              <w:t>bez fakturace, pouze kontrolní</w:t>
            </w:r>
            <w: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052D754D" w:rsidR="005B2FB3" w:rsidRDefault="009206F1" w:rsidP="004C30E8">
            <w:pPr>
              <w:spacing w:after="120" w:line="276" w:lineRule="auto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0F4F2981" w:rsidR="005B2FB3" w:rsidRDefault="009206F1" w:rsidP="004C30E8">
            <w:pPr>
              <w:spacing w:after="120" w:line="276" w:lineRule="auto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40A3F2B8" w:rsidR="005B2FB3" w:rsidRDefault="009206F1" w:rsidP="004C30E8">
            <w:pPr>
              <w:spacing w:after="120" w:line="276" w:lineRule="auto"/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9206F1" w14:paraId="79EDB35F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2156F" w14:textId="6CA34ED0" w:rsidR="009206F1" w:rsidRDefault="009206F1" w:rsidP="009206F1">
            <w:pPr>
              <w:spacing w:after="120" w:line="276" w:lineRule="auto"/>
              <w:jc w:val="both"/>
            </w:pPr>
            <w:r>
              <w:t xml:space="preserve">Etapa 2 – </w:t>
            </w:r>
            <w:r w:rsidRPr="007417C0">
              <w:rPr>
                <w:rFonts w:cs="Times New Roman"/>
              </w:rPr>
              <w:t>(80 %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3704" w14:textId="14B7F682" w:rsidR="009206F1" w:rsidRDefault="00573D78" w:rsidP="00573D78">
            <w:pPr>
              <w:spacing w:after="120"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700.000,-</w:t>
            </w:r>
            <w:proofErr w:type="gramEnd"/>
            <w:r>
              <w:rPr>
                <w:rFonts w:cs="Times New Roman"/>
              </w:rPr>
              <w:t xml:space="preserve">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45951" w14:textId="1D942C18" w:rsidR="009206F1" w:rsidRDefault="00573D78" w:rsidP="00573D78">
            <w:pPr>
              <w:spacing w:after="120"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147.000,-</w:t>
            </w:r>
            <w:proofErr w:type="gramEnd"/>
            <w:r>
              <w:rPr>
                <w:rFonts w:cs="Times New Roman"/>
              </w:rPr>
              <w:t xml:space="preserve">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921" w14:textId="1C935C9C" w:rsidR="009206F1" w:rsidRDefault="00573D78" w:rsidP="00573D78">
            <w:pPr>
              <w:spacing w:after="120"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847.000,-</w:t>
            </w:r>
            <w:proofErr w:type="gramEnd"/>
            <w:r>
              <w:rPr>
                <w:rFonts w:cs="Times New Roman"/>
              </w:rPr>
              <w:t xml:space="preserve"> Kč</w:t>
            </w:r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32AF3EF1" w:rsidR="005B2FB3" w:rsidRDefault="007417C0" w:rsidP="00C105D7">
            <w:pPr>
              <w:spacing w:after="120" w:line="276" w:lineRule="auto"/>
              <w:jc w:val="both"/>
            </w:pPr>
            <w:r>
              <w:t xml:space="preserve">Etapa </w:t>
            </w:r>
            <w:r w:rsidRPr="007417C0">
              <w:t>3</w:t>
            </w:r>
            <w:r w:rsidR="0047611E">
              <w:t xml:space="preserve"> - </w:t>
            </w:r>
            <w:r w:rsidR="005B2FB3" w:rsidRPr="007417C0">
              <w:t>(</w:t>
            </w:r>
            <w:r w:rsidRPr="007417C0">
              <w:t>20 %</w:t>
            </w:r>
            <w:r w:rsidR="005B2FB3" w:rsidRPr="007417C0">
              <w:rPr>
                <w:rFonts w:cs="Times New Roman"/>
              </w:rPr>
              <w:t xml:space="preserve">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34696B33" w:rsidR="005B2FB3" w:rsidRDefault="00573D78" w:rsidP="00573D78">
            <w:pPr>
              <w:spacing w:after="120" w:line="276" w:lineRule="auto"/>
              <w:jc w:val="center"/>
            </w:pPr>
            <w:proofErr w:type="gramStart"/>
            <w:r>
              <w:t>175.000,-</w:t>
            </w:r>
            <w:proofErr w:type="gramEnd"/>
            <w:r>
              <w:t xml:space="preserve">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3F59E220" w:rsidR="005B2FB3" w:rsidRDefault="00573D78" w:rsidP="00573D78">
            <w:pPr>
              <w:spacing w:after="120" w:line="276" w:lineRule="auto"/>
              <w:jc w:val="center"/>
            </w:pPr>
            <w:proofErr w:type="gramStart"/>
            <w:r>
              <w:t>36.750,-</w:t>
            </w:r>
            <w:proofErr w:type="gramEnd"/>
            <w:r>
              <w:t xml:space="preserve">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69D3F0FE" w:rsidR="005B2FB3" w:rsidRDefault="00573D78" w:rsidP="00573D78">
            <w:pPr>
              <w:spacing w:after="120" w:line="276" w:lineRule="auto"/>
              <w:jc w:val="center"/>
            </w:pPr>
            <w:proofErr w:type="gramStart"/>
            <w:r>
              <w:t>211.750,-</w:t>
            </w:r>
            <w:proofErr w:type="gramEnd"/>
            <w:r>
              <w:t xml:space="preserve"> Kč</w:t>
            </w:r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43E5E7D1" w:rsidR="005B2FB3" w:rsidRPr="00573D78" w:rsidRDefault="00573D78" w:rsidP="00573D78">
            <w:pPr>
              <w:spacing w:after="120" w:line="276" w:lineRule="auto"/>
              <w:jc w:val="center"/>
              <w:rPr>
                <w:b/>
                <w:bCs/>
              </w:rPr>
            </w:pPr>
            <w:r w:rsidRPr="00573D78">
              <w:rPr>
                <w:b/>
                <w:bCs/>
              </w:rPr>
              <w:t>875.000.- Kč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574275A3" w:rsidR="005B2FB3" w:rsidRPr="00573D78" w:rsidRDefault="00573D78" w:rsidP="00573D78">
            <w:pPr>
              <w:spacing w:after="120" w:line="276" w:lineRule="auto"/>
              <w:jc w:val="center"/>
              <w:rPr>
                <w:b/>
                <w:bCs/>
              </w:rPr>
            </w:pPr>
            <w:proofErr w:type="gramStart"/>
            <w:r w:rsidRPr="00573D78">
              <w:rPr>
                <w:b/>
                <w:bCs/>
              </w:rPr>
              <w:t>183.750,-</w:t>
            </w:r>
            <w:proofErr w:type="gramEnd"/>
            <w:r w:rsidRPr="00573D78">
              <w:rPr>
                <w:b/>
                <w:bCs/>
              </w:rPr>
              <w:t xml:space="preserve">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3AFC4602" w:rsidR="005B2FB3" w:rsidRPr="00573D78" w:rsidRDefault="00573D78" w:rsidP="00573D78">
            <w:pPr>
              <w:spacing w:after="120" w:line="276" w:lineRule="auto"/>
              <w:jc w:val="center"/>
              <w:rPr>
                <w:b/>
                <w:bCs/>
              </w:rPr>
            </w:pPr>
            <w:proofErr w:type="gramStart"/>
            <w:r w:rsidRPr="00573D78">
              <w:rPr>
                <w:b/>
                <w:bCs/>
              </w:rPr>
              <w:t>1.058.750,-</w:t>
            </w:r>
            <w:proofErr w:type="gramEnd"/>
            <w:r w:rsidRPr="00573D78">
              <w:rPr>
                <w:b/>
                <w:bCs/>
              </w:rPr>
              <w:t xml:space="preserve"> Kč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3F3036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4C30E8">
        <w:rPr>
          <w:rFonts w:cs="Times New Roman"/>
          <w:b/>
        </w:rPr>
        <w:t>Zhotovitel je povinen zaslat fakturu ve formátu .</w:t>
      </w:r>
      <w:proofErr w:type="spellStart"/>
      <w:r w:rsidR="00B64D93" w:rsidRPr="004C30E8">
        <w:rPr>
          <w:rFonts w:cs="Times New Roman"/>
          <w:b/>
        </w:rPr>
        <w:t>pdf</w:t>
      </w:r>
      <w:proofErr w:type="spellEnd"/>
      <w:r w:rsidR="00B64D93" w:rsidRPr="004C30E8">
        <w:rPr>
          <w:rFonts w:cs="Times New Roman"/>
          <w:b/>
        </w:rPr>
        <w:t xml:space="preserve"> na e-mailovou adresu </w:t>
      </w:r>
      <w:hyperlink r:id="rId12" w:history="1">
        <w:r w:rsidR="00B64D93" w:rsidRPr="004C30E8">
          <w:rPr>
            <w:rStyle w:val="Hypertextovodkaz"/>
            <w:rFonts w:cs="Times New Roman"/>
            <w:b/>
          </w:rPr>
          <w:t>faktura</w:t>
        </w:r>
        <w:r w:rsidR="00B64D93" w:rsidRPr="004C30E8">
          <w:rPr>
            <w:rStyle w:val="Hypertextovodkaz"/>
            <w:rFonts w:cs="Times New Roman"/>
            <w:b/>
            <w:lang w:val="en-GB"/>
          </w:rPr>
          <w:t>@</w:t>
        </w:r>
        <w:r w:rsidR="00B64D93" w:rsidRPr="004C30E8">
          <w:rPr>
            <w:rStyle w:val="Hypertextovodkaz"/>
            <w:rFonts w:cs="Times New Roman"/>
            <w:b/>
          </w:rPr>
          <w:t>ipr.praha.eu</w:t>
        </w:r>
      </w:hyperlink>
      <w:r w:rsidR="00B64D93" w:rsidRPr="004C30E8">
        <w:rPr>
          <w:rFonts w:cs="Times New Roman"/>
          <w:b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A34D848" w14:textId="15B6F2C1" w:rsidR="00C1685F" w:rsidRDefault="00C1685F" w:rsidP="00C1685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EF6B9C">
        <w:rPr>
          <w:rFonts w:cs="Times New Roman"/>
        </w:rPr>
        <w:t>Z</w:t>
      </w:r>
      <w:r w:rsidRPr="00A15479">
        <w:rPr>
          <w:rFonts w:cs="Times New Roman"/>
        </w:rPr>
        <w:t xml:space="preserve">hotovitel se zavazuje dílo dokončit a jako řádně provedené kompletní dílo objednateli předat nejpozději do </w:t>
      </w:r>
      <w:r w:rsidR="009206F1">
        <w:rPr>
          <w:rFonts w:cs="Times New Roman"/>
        </w:rPr>
        <w:t xml:space="preserve">5 měsíců </w:t>
      </w:r>
      <w:r w:rsidRPr="00A15479">
        <w:rPr>
          <w:rFonts w:cs="Times New Roman"/>
        </w:rPr>
        <w:t xml:space="preserve">od podpisu smlouvy oběma smluvními stranami. 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1479DD17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507B98">
        <w:rPr>
          <w:rFonts w:cs="Times New Roman"/>
        </w:rPr>
        <w:t>1 měsíce</w:t>
      </w:r>
      <w:r w:rsidR="0054149D" w:rsidRPr="00D52C69">
        <w:rPr>
          <w:rFonts w:cs="Times New Roman"/>
        </w:rPr>
        <w:t xml:space="preserve"> od </w:t>
      </w:r>
      <w:r w:rsidR="00A6656A">
        <w:rPr>
          <w:rFonts w:cs="Times New Roman"/>
        </w:rPr>
        <w:t>zahájení zpracování studie, resp. od</w:t>
      </w:r>
      <w:r w:rsidR="00A6656A" w:rsidRPr="00D52C69">
        <w:rPr>
          <w:rFonts w:cs="Times New Roman"/>
        </w:rPr>
        <w:t xml:space="preserve"> </w:t>
      </w:r>
      <w:r w:rsidR="0054149D" w:rsidRPr="00D52C69">
        <w:rPr>
          <w:rFonts w:cs="Times New Roman"/>
        </w:rPr>
        <w:t>podpisu smlouvy a převzetí podkladů</w:t>
      </w:r>
      <w:r w:rsidR="00507B98">
        <w:rPr>
          <w:rFonts w:cs="Times New Roman"/>
        </w:rPr>
        <w:t>;</w:t>
      </w:r>
    </w:p>
    <w:p w14:paraId="73FCE940" w14:textId="0D707623" w:rsidR="0054149D" w:rsidRPr="00D52C69" w:rsidRDefault="0054149D" w:rsidP="00C1685F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507B98">
        <w:rPr>
          <w:rFonts w:cs="Times New Roman"/>
        </w:rPr>
        <w:t>3 měsíců</w:t>
      </w:r>
      <w:r w:rsidRPr="00D52C69">
        <w:rPr>
          <w:rFonts w:cs="Times New Roman"/>
        </w:rPr>
        <w:t xml:space="preserve"> od </w:t>
      </w:r>
      <w:r w:rsidR="00507B98">
        <w:rPr>
          <w:rFonts w:cs="Times New Roman"/>
        </w:rPr>
        <w:t>zahájení zpracování studie</w:t>
      </w:r>
      <w:r w:rsidRPr="00D52C69">
        <w:rPr>
          <w:rFonts w:cs="Times New Roman"/>
        </w:rPr>
        <w:t>;</w:t>
      </w:r>
      <w:r w:rsidR="00C1685F">
        <w:rPr>
          <w:rFonts w:cs="Times New Roman"/>
        </w:rPr>
        <w:t xml:space="preserve"> </w:t>
      </w:r>
      <w:r w:rsidR="00310AE5">
        <w:rPr>
          <w:rFonts w:cs="Times New Roman"/>
        </w:rPr>
        <w:t>n</w:t>
      </w:r>
      <w:r w:rsidR="00C1685F">
        <w:rPr>
          <w:rFonts w:cs="Times New Roman"/>
        </w:rPr>
        <w:t>a</w:t>
      </w:r>
      <w:r w:rsidR="00C1685F" w:rsidRPr="00D52C69">
        <w:rPr>
          <w:rFonts w:cs="Times New Roman"/>
        </w:rPr>
        <w:t> </w:t>
      </w:r>
      <w:r w:rsidR="00310AE5">
        <w:rPr>
          <w:rFonts w:cs="Times New Roman"/>
        </w:rPr>
        <w:t xml:space="preserve">základě </w:t>
      </w:r>
      <w:r w:rsidR="00C1685F" w:rsidRPr="00D52C69">
        <w:rPr>
          <w:rFonts w:cs="Times New Roman"/>
        </w:rPr>
        <w:t>pokyn</w:t>
      </w:r>
      <w:r w:rsidR="00C1685F">
        <w:rPr>
          <w:rFonts w:cs="Times New Roman"/>
        </w:rPr>
        <w:t>u</w:t>
      </w:r>
      <w:r w:rsidR="00C1685F" w:rsidRPr="00D52C69">
        <w:rPr>
          <w:rFonts w:cs="Times New Roman"/>
        </w:rPr>
        <w:t xml:space="preserve"> </w:t>
      </w:r>
      <w:r w:rsidR="00310AE5">
        <w:rPr>
          <w:rFonts w:cs="Times New Roman"/>
        </w:rPr>
        <w:t xml:space="preserve">objednatele </w:t>
      </w:r>
      <w:r w:rsidR="00C1685F" w:rsidRPr="00D52C69">
        <w:rPr>
          <w:rFonts w:cs="Times New Roman"/>
        </w:rPr>
        <w:t xml:space="preserve">k započetí </w:t>
      </w:r>
      <w:r w:rsidR="00C1685F">
        <w:rPr>
          <w:rFonts w:cs="Times New Roman"/>
        </w:rPr>
        <w:t>E</w:t>
      </w:r>
      <w:r w:rsidR="00C1685F" w:rsidRPr="00D52C69">
        <w:rPr>
          <w:rFonts w:cs="Times New Roman"/>
        </w:rPr>
        <w:t>tapy 2;</w:t>
      </w:r>
    </w:p>
    <w:p w14:paraId="4B944F77" w14:textId="75EE5C7D" w:rsidR="00ED2257" w:rsidRPr="0054149D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3 – nejpozději do </w:t>
      </w:r>
      <w:r w:rsidR="00507B98">
        <w:rPr>
          <w:rFonts w:cs="Times New Roman"/>
        </w:rPr>
        <w:t>5 měsíců</w:t>
      </w:r>
      <w:r w:rsidRPr="00D52C69">
        <w:rPr>
          <w:rFonts w:cs="Times New Roman"/>
        </w:rPr>
        <w:t xml:space="preserve"> od </w:t>
      </w:r>
      <w:r w:rsidR="00507B98">
        <w:rPr>
          <w:rFonts w:cs="Times New Roman"/>
        </w:rPr>
        <w:t>zahájení zpracování studie</w:t>
      </w:r>
      <w:r w:rsidR="000E137B">
        <w:rPr>
          <w:rFonts w:cs="Times New Roman"/>
        </w:rPr>
        <w:t xml:space="preserve">, </w:t>
      </w:r>
      <w:r w:rsidR="00310AE5">
        <w:rPr>
          <w:rFonts w:cs="Times New Roman"/>
        </w:rPr>
        <w:t xml:space="preserve">na základě </w:t>
      </w:r>
      <w:r w:rsidR="000E137B" w:rsidRPr="00D52C69">
        <w:rPr>
          <w:rFonts w:cs="Times New Roman"/>
        </w:rPr>
        <w:t>pokyn</w:t>
      </w:r>
      <w:r w:rsidR="000E137B">
        <w:rPr>
          <w:rFonts w:cs="Times New Roman"/>
        </w:rPr>
        <w:t>u</w:t>
      </w:r>
      <w:r w:rsidR="000E137B" w:rsidRPr="00D52C69">
        <w:rPr>
          <w:rFonts w:cs="Times New Roman"/>
        </w:rPr>
        <w:t xml:space="preserve"> </w:t>
      </w:r>
      <w:r w:rsidR="00310AE5">
        <w:rPr>
          <w:rFonts w:cs="Times New Roman"/>
        </w:rPr>
        <w:t xml:space="preserve">objednatele </w:t>
      </w:r>
      <w:r w:rsidR="000E137B" w:rsidRPr="00D52C69">
        <w:rPr>
          <w:rFonts w:cs="Times New Roman"/>
        </w:rPr>
        <w:t xml:space="preserve">k započetí </w:t>
      </w:r>
      <w:r w:rsidR="000E137B">
        <w:rPr>
          <w:rFonts w:cs="Times New Roman"/>
        </w:rPr>
        <w:t>E</w:t>
      </w:r>
      <w:r w:rsidR="000E137B" w:rsidRPr="00D52C69">
        <w:rPr>
          <w:rFonts w:cs="Times New Roman"/>
        </w:rPr>
        <w:t xml:space="preserve">tapy </w:t>
      </w:r>
      <w:r w:rsidR="000E137B" w:rsidRPr="0054149D">
        <w:rPr>
          <w:rFonts w:cs="Times New Roman"/>
        </w:rPr>
        <w:t>3</w:t>
      </w:r>
      <w:r w:rsidR="00310AE5">
        <w:rPr>
          <w:rFonts w:cs="Times New Roman"/>
        </w:rPr>
        <w:t>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310AE5">
        <w:rPr>
          <w:rFonts w:cs="Times New Roman"/>
        </w:rPr>
        <w:t>15</w:t>
      </w:r>
      <w:r w:rsidR="00BC08EB" w:rsidRPr="00310AE5">
        <w:rPr>
          <w:rFonts w:cs="Times New Roman"/>
        </w:rPr>
        <w:t> </w:t>
      </w:r>
      <w:r w:rsidRPr="00310AE5">
        <w:rPr>
          <w:rFonts w:cs="Times New Roman"/>
        </w:rPr>
        <w:t>dnů, je</w:t>
      </w:r>
      <w:r w:rsidRPr="00A15479">
        <w:rPr>
          <w:rFonts w:cs="Times New Roman"/>
        </w:rPr>
        <w:t xml:space="preserve">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4C30E8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C30E8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4C30E8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57F6C6B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5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5"/>
    </w:p>
    <w:p w14:paraId="247D7ECE" w14:textId="094F7B51" w:rsidR="009E4AB3" w:rsidRPr="009206F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06F1">
        <w:rPr>
          <w:rFonts w:cs="Times New Roman"/>
        </w:rPr>
        <w:t xml:space="preserve">Objednatel je </w:t>
      </w:r>
      <w:bookmarkStart w:id="16" w:name="_Hlk169084481"/>
      <w:r w:rsidRPr="009206F1">
        <w:rPr>
          <w:rFonts w:cs="Times New Roman"/>
        </w:rPr>
        <w:t xml:space="preserve">oprávněn </w:t>
      </w:r>
      <w:r w:rsidR="003E18D4" w:rsidRPr="009206F1">
        <w:rPr>
          <w:rFonts w:cs="Times New Roman"/>
        </w:rPr>
        <w:t>být informován průběžně o provádění díla (dále také „</w:t>
      </w:r>
      <w:r w:rsidR="003E18D4" w:rsidRPr="009206F1">
        <w:rPr>
          <w:rFonts w:cs="Times New Roman"/>
          <w:b/>
        </w:rPr>
        <w:t>report stavu</w:t>
      </w:r>
      <w:r w:rsidR="003E18D4" w:rsidRPr="009206F1">
        <w:rPr>
          <w:rFonts w:cs="Times New Roman"/>
        </w:rPr>
        <w:t>”). Orientační frekvence předávání informací je</w:t>
      </w:r>
      <w:r w:rsidR="003E18D4" w:rsidRPr="004C30E8">
        <w:rPr>
          <w:rFonts w:cs="Times New Roman"/>
        </w:rPr>
        <w:t xml:space="preserve"> 1 x za 14 dnů </w:t>
      </w:r>
      <w:r w:rsidR="003E18D4" w:rsidRPr="009206F1">
        <w:rPr>
          <w:rFonts w:cs="Times New Roman"/>
        </w:rPr>
        <w:t xml:space="preserve">(postačí elektronickou cestou). Objednatel má právo k předloženým materiálům dávat své připomínky. Objednatel se vyjádří k zhotovitelem předloženým materiálům </w:t>
      </w:r>
      <w:r w:rsidR="003E18D4" w:rsidRPr="004C30E8">
        <w:rPr>
          <w:rFonts w:cs="Times New Roman"/>
        </w:rPr>
        <w:t>do 5 pracovních dnů</w:t>
      </w:r>
      <w:r w:rsidR="003E18D4" w:rsidRPr="009206F1">
        <w:rPr>
          <w:rFonts w:cs="Times New Roman"/>
        </w:rPr>
        <w:t xml:space="preserve"> od jejich předložení</w:t>
      </w:r>
      <w:bookmarkEnd w:id="16"/>
      <w:r w:rsidRPr="009206F1">
        <w:rPr>
          <w:rFonts w:cs="Times New Roman"/>
        </w:rPr>
        <w:t xml:space="preserve">. Na základě tohoto vyjádření bude </w:t>
      </w:r>
      <w:r w:rsidR="00E733B4" w:rsidRPr="009206F1">
        <w:rPr>
          <w:rFonts w:cs="Times New Roman"/>
        </w:rPr>
        <w:t>d</w:t>
      </w:r>
      <w:r w:rsidRPr="009206F1">
        <w:rPr>
          <w:rFonts w:cs="Times New Roman"/>
        </w:rPr>
        <w:t>ílo upraveno, resp. dopracováno a dokončeno.</w:t>
      </w:r>
    </w:p>
    <w:p w14:paraId="7D7657EF" w14:textId="37B4ABC6" w:rsidR="0097395D" w:rsidRPr="009206F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06F1">
        <w:rPr>
          <w:rFonts w:cs="Times New Roman"/>
        </w:rPr>
        <w:t xml:space="preserve">Konzultace budou probíhat dle aktuálních potřeb a časových možností </w:t>
      </w:r>
      <w:r w:rsidR="00F45252" w:rsidRPr="009206F1">
        <w:rPr>
          <w:rFonts w:cs="Times New Roman"/>
        </w:rPr>
        <w:t>o</w:t>
      </w:r>
      <w:r w:rsidRPr="009206F1">
        <w:rPr>
          <w:rFonts w:cs="Times New Roman"/>
        </w:rPr>
        <w:t xml:space="preserve">bjednatele a </w:t>
      </w:r>
      <w:r w:rsidR="00F45252" w:rsidRPr="009206F1">
        <w:rPr>
          <w:rFonts w:cs="Times New Roman"/>
        </w:rPr>
        <w:t>z</w:t>
      </w:r>
      <w:r w:rsidRPr="009206F1">
        <w:rPr>
          <w:rFonts w:cs="Times New Roman"/>
        </w:rPr>
        <w:t>hotovitele, a</w:t>
      </w:r>
      <w:r w:rsidR="00BC08EB" w:rsidRPr="009206F1">
        <w:rPr>
          <w:rFonts w:cs="Times New Roman"/>
        </w:rPr>
        <w:t> </w:t>
      </w:r>
      <w:r w:rsidRPr="009206F1">
        <w:rPr>
          <w:rFonts w:cs="Times New Roman"/>
        </w:rPr>
        <w:t>to</w:t>
      </w:r>
      <w:r w:rsidR="00BC08EB" w:rsidRPr="009206F1">
        <w:rPr>
          <w:rFonts w:cs="Times New Roman"/>
        </w:rPr>
        <w:t> </w:t>
      </w:r>
      <w:r w:rsidRPr="009206F1">
        <w:rPr>
          <w:rFonts w:cs="Times New Roman"/>
        </w:rPr>
        <w:t xml:space="preserve">vždy na základě jejich společné dohody. Pokud bude </w:t>
      </w:r>
      <w:r w:rsidR="00F45252" w:rsidRPr="009206F1">
        <w:rPr>
          <w:rFonts w:cs="Times New Roman"/>
        </w:rPr>
        <w:t>z</w:t>
      </w:r>
      <w:r w:rsidRPr="009206F1">
        <w:rPr>
          <w:rFonts w:cs="Times New Roman"/>
        </w:rPr>
        <w:t xml:space="preserve">hotovitel nebo </w:t>
      </w:r>
      <w:r w:rsidR="00F45252" w:rsidRPr="009206F1">
        <w:rPr>
          <w:rFonts w:cs="Times New Roman"/>
        </w:rPr>
        <w:t>o</w:t>
      </w:r>
      <w:r w:rsidRPr="009206F1">
        <w:rPr>
          <w:rFonts w:cs="Times New Roman"/>
        </w:rPr>
        <w:t>bjednatel požadovat kontrolní den, vyzve k účasti zástupce druhé smluvní strany telefonicky nebo e</w:t>
      </w:r>
      <w:r w:rsidR="00703CDA" w:rsidRPr="009206F1">
        <w:rPr>
          <w:rFonts w:cs="Times New Roman"/>
        </w:rPr>
        <w:t>-</w:t>
      </w:r>
      <w:r w:rsidRPr="009206F1">
        <w:rPr>
          <w:rFonts w:cs="Times New Roman"/>
        </w:rPr>
        <w:t xml:space="preserve">mailem nejméně </w:t>
      </w:r>
      <w:r w:rsidRPr="004C30E8">
        <w:rPr>
          <w:rFonts w:cs="Times New Roman"/>
        </w:rPr>
        <w:t>7</w:t>
      </w:r>
      <w:r w:rsidR="00BC08EB" w:rsidRPr="004C30E8">
        <w:rPr>
          <w:rFonts w:cs="Times New Roman"/>
        </w:rPr>
        <w:t> </w:t>
      </w:r>
      <w:r w:rsidRPr="004C30E8">
        <w:rPr>
          <w:rFonts w:cs="Times New Roman"/>
        </w:rPr>
        <w:t>pracovních dnů předem</w:t>
      </w:r>
      <w:r w:rsidRPr="009206F1">
        <w:rPr>
          <w:rFonts w:cs="Times New Roman"/>
        </w:rPr>
        <w:t>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7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</w:p>
    <w:p w14:paraId="2BEEA87B" w14:textId="35AF7B18" w:rsidR="00741926" w:rsidRDefault="00741926" w:rsidP="00741926">
      <w:pPr>
        <w:pStyle w:val="odrkyodstavce"/>
        <w:numPr>
          <w:ilvl w:val="0"/>
          <w:numId w:val="33"/>
        </w:numPr>
        <w:ind w:left="284" w:hanging="284"/>
        <w:rPr>
          <w:rFonts w:ascii="Times New Roman" w:hAnsi="Times New Roman" w:cs="Times New Roman"/>
          <w:sz w:val="22"/>
        </w:rPr>
      </w:pPr>
      <w:r w:rsidRPr="00741926">
        <w:rPr>
          <w:rFonts w:ascii="Times New Roman" w:hAnsi="Times New Roman" w:cs="Times New Roman"/>
          <w:sz w:val="22"/>
        </w:rPr>
        <w:t xml:space="preserve">Studie nebo její dílčí části v jednotlivých fázích pořízení budou předány ve 2 tištěných </w:t>
      </w:r>
      <w:proofErr w:type="spellStart"/>
      <w:r w:rsidRPr="00741926">
        <w:rPr>
          <w:rFonts w:ascii="Times New Roman" w:hAnsi="Times New Roman" w:cs="Times New Roman"/>
          <w:sz w:val="22"/>
        </w:rPr>
        <w:t>paré</w:t>
      </w:r>
      <w:proofErr w:type="spellEnd"/>
      <w:r w:rsidRPr="00741926">
        <w:rPr>
          <w:rFonts w:ascii="Times New Roman" w:hAnsi="Times New Roman" w:cs="Times New Roman"/>
          <w:sz w:val="22"/>
        </w:rPr>
        <w:t xml:space="preserve"> a v elektronické podobě. </w:t>
      </w:r>
    </w:p>
    <w:p w14:paraId="7DC247AD" w14:textId="519501BD" w:rsidR="00741926" w:rsidRPr="00741926" w:rsidRDefault="00741926" w:rsidP="00741926">
      <w:pPr>
        <w:pStyle w:val="odrkyodstavce"/>
        <w:numPr>
          <w:ilvl w:val="0"/>
          <w:numId w:val="33"/>
        </w:numPr>
        <w:ind w:left="284" w:hanging="284"/>
        <w:rPr>
          <w:rFonts w:ascii="Times New Roman" w:hAnsi="Times New Roman" w:cs="Times New Roman"/>
          <w:sz w:val="22"/>
        </w:rPr>
      </w:pPr>
      <w:r w:rsidRPr="00741926">
        <w:rPr>
          <w:rFonts w:ascii="Times New Roman" w:hAnsi="Times New Roman" w:cs="Times New Roman"/>
          <w:sz w:val="22"/>
        </w:rPr>
        <w:t>Elektronická verze bude obsahovat přehlednou strukturu složek s textovými i grafickými soubory ve formátech PDF, dále též zdrojové soubory ve formátech DOCX (případně tabelární výstupy XLSX), jednotlivé soubory výkresů ve formátech DWG/DXF s napojenými vektorovými či rastrovými daty v odpovídající kvalitě a jednotlivé prostorově umístěné (</w:t>
      </w:r>
      <w:proofErr w:type="spellStart"/>
      <w:r w:rsidRPr="00741926">
        <w:rPr>
          <w:rFonts w:ascii="Times New Roman" w:hAnsi="Times New Roman" w:cs="Times New Roman"/>
          <w:sz w:val="22"/>
        </w:rPr>
        <w:t>georeferencované</w:t>
      </w:r>
      <w:proofErr w:type="spellEnd"/>
      <w:r w:rsidRPr="00741926">
        <w:rPr>
          <w:rFonts w:ascii="Times New Roman" w:hAnsi="Times New Roman" w:cs="Times New Roman"/>
          <w:sz w:val="22"/>
        </w:rPr>
        <w:t>) výkresy</w:t>
      </w:r>
      <w:r>
        <w:rPr>
          <w:rFonts w:ascii="Times New Roman" w:hAnsi="Times New Roman" w:cs="Times New Roman"/>
          <w:sz w:val="22"/>
        </w:rPr>
        <w:t>.</w:t>
      </w:r>
    </w:p>
    <w:p w14:paraId="03DB7ED9" w14:textId="77777777" w:rsidR="00310AE5" w:rsidRPr="00421B0A" w:rsidRDefault="00310AE5" w:rsidP="00310AE5">
      <w:pPr>
        <w:spacing w:after="120" w:line="276" w:lineRule="auto"/>
        <w:jc w:val="both"/>
        <w:rPr>
          <w:rFonts w:cs="Times New Roman"/>
        </w:rPr>
      </w:pPr>
    </w:p>
    <w:bookmarkEnd w:id="17"/>
    <w:p w14:paraId="18A5835C" w14:textId="59CC192E" w:rsidR="0026530D" w:rsidRPr="00741926" w:rsidRDefault="003A3BD5" w:rsidP="00741926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1926">
        <w:rPr>
          <w:rFonts w:cs="Times New Roman"/>
        </w:rPr>
        <w:t xml:space="preserve">Objednatel </w:t>
      </w:r>
      <w:bookmarkStart w:id="18" w:name="_Hlk169085257"/>
      <w:r w:rsidRPr="00741926">
        <w:rPr>
          <w:rFonts w:cs="Times New Roman"/>
        </w:rPr>
        <w:t xml:space="preserve">je povinen předané dílo </w:t>
      </w:r>
      <w:r w:rsidR="000949B7" w:rsidRPr="00741926">
        <w:rPr>
          <w:rFonts w:cs="Times New Roman"/>
        </w:rPr>
        <w:t xml:space="preserve">v každé </w:t>
      </w:r>
      <w:r w:rsidR="00A10CA0" w:rsidRPr="00741926">
        <w:rPr>
          <w:rFonts w:cs="Times New Roman"/>
        </w:rPr>
        <w:t>E</w:t>
      </w:r>
      <w:r w:rsidR="000949B7" w:rsidRPr="00741926">
        <w:rPr>
          <w:rFonts w:cs="Times New Roman"/>
        </w:rPr>
        <w:t xml:space="preserve">tapě </w:t>
      </w:r>
      <w:r w:rsidR="0026530D" w:rsidRPr="00741926">
        <w:rPr>
          <w:rFonts w:cs="Times New Roman"/>
        </w:rPr>
        <w:t>zkontrolovat a písemně zhotoviteli sdělit formou akceptačního protokolu, zda Etapu díla odsouhlasil, či nikoliv</w:t>
      </w:r>
      <w:r w:rsidR="00BB77D8" w:rsidRPr="00741926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9" w:name="_Hlk169085300"/>
      <w:bookmarkEnd w:id="18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9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67CF3FA" w:rsidR="00730826" w:rsidRPr="004B04F2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6B5DB8">
        <w:rPr>
          <w:rFonts w:cs="Times New Roman"/>
        </w:rPr>
        <w:t>Zhotovitel se zavazuje v souladu s podanou nabídkou</w:t>
      </w:r>
      <w:r w:rsidR="00023343" w:rsidRPr="006B5DB8">
        <w:rPr>
          <w:rFonts w:cs="Times New Roman"/>
        </w:rPr>
        <w:t xml:space="preserve"> na veřejnou zakázku „</w:t>
      </w:r>
      <w:r w:rsidR="00741926" w:rsidRPr="006B5DB8">
        <w:rPr>
          <w:rFonts w:cs="Times New Roman"/>
        </w:rPr>
        <w:t xml:space="preserve">Zpracování studie „Technické prověření kolejového propojení </w:t>
      </w:r>
      <w:proofErr w:type="gramStart"/>
      <w:r w:rsidR="00741926" w:rsidRPr="006B5DB8">
        <w:rPr>
          <w:rFonts w:cs="Times New Roman"/>
        </w:rPr>
        <w:t>Letňany - Nádraží</w:t>
      </w:r>
      <w:proofErr w:type="gramEnd"/>
      <w:r w:rsidR="00741926" w:rsidRPr="006B5DB8">
        <w:rPr>
          <w:rFonts w:cs="Times New Roman"/>
        </w:rPr>
        <w:t xml:space="preserve"> Libeň</w:t>
      </w:r>
      <w:r w:rsidR="00023343" w:rsidRPr="006B5DB8">
        <w:rPr>
          <w:rFonts w:cs="Times New Roman"/>
        </w:rPr>
        <w:t xml:space="preserve">“ </w:t>
      </w:r>
      <w:r w:rsidRPr="006B5DB8">
        <w:rPr>
          <w:rFonts w:cs="Times New Roman"/>
        </w:rPr>
        <w:t>zajišťovat veškeré smluvní povinnosti sám, tj. bez účasti poddodavatelů.</w:t>
      </w:r>
    </w:p>
    <w:p w14:paraId="1AADE81A" w14:textId="77777777" w:rsidR="006B5DB8" w:rsidRDefault="006B5DB8" w:rsidP="0007550F">
      <w:pPr>
        <w:pStyle w:val="Nadpis2"/>
        <w:spacing w:before="0" w:line="276" w:lineRule="auto"/>
        <w:rPr>
          <w:szCs w:val="22"/>
        </w:rPr>
      </w:pPr>
    </w:p>
    <w:p w14:paraId="700AC808" w14:textId="588FAB5D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0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4814AFD7" w14:textId="6ADC0CD5" w:rsidR="005F7C86" w:rsidRPr="00631568" w:rsidRDefault="00F63739" w:rsidP="00631568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1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0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bookmarkEnd w:id="21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2" w:name="_Hlk169085610"/>
      <w:r w:rsidRPr="00A15479">
        <w:rPr>
          <w:rFonts w:cs="Times New Roman"/>
        </w:rPr>
        <w:t>, zadávací dokumentace</w:t>
      </w:r>
      <w:bookmarkEnd w:id="22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3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4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0A3C9490" w:rsidR="00DC149F" w:rsidRPr="00631568" w:rsidRDefault="004A19B4" w:rsidP="00631568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  <w:bookmarkEnd w:id="24"/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5" w:name="_Hlk169085833"/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5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6" w:name="_Hlk169085903"/>
      <w:bookmarkStart w:id="27" w:name="_Hlk145937153"/>
      <w:r w:rsidRPr="00A15479">
        <w:rPr>
          <w:i/>
          <w:szCs w:val="22"/>
        </w:rPr>
        <w:lastRenderedPageBreak/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73DE98BA" w:rsidR="00BF472E" w:rsidRPr="00631568" w:rsidRDefault="00B422E2" w:rsidP="00631568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  <w:bookmarkEnd w:id="26"/>
    </w:p>
    <w:bookmarkEnd w:id="27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631568">
        <w:rPr>
          <w:szCs w:val="22"/>
        </w:rPr>
        <w:t>X</w:t>
      </w:r>
      <w:r w:rsidR="00883398" w:rsidRPr="00631568">
        <w:rPr>
          <w:szCs w:val="22"/>
        </w:rPr>
        <w:t xml:space="preserve">. </w:t>
      </w:r>
      <w:r w:rsidR="00B422E2" w:rsidRPr="00631568">
        <w:rPr>
          <w:szCs w:val="22"/>
        </w:rPr>
        <w:t>Smluvní pokuta</w:t>
      </w:r>
    </w:p>
    <w:p w14:paraId="3327DD9B" w14:textId="5B801812" w:rsidR="00B422E2" w:rsidRPr="00741926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741926">
        <w:rPr>
          <w:rFonts w:cs="Times New Roman"/>
        </w:rPr>
        <w:t xml:space="preserve">ve výši </w:t>
      </w:r>
      <w:r w:rsidR="00741926" w:rsidRPr="00741926">
        <w:rPr>
          <w:rFonts w:cs="Times New Roman"/>
        </w:rPr>
        <w:t>1.0</w:t>
      </w:r>
      <w:r w:rsidRPr="00741926">
        <w:rPr>
          <w:rFonts w:cs="Times New Roman"/>
        </w:rPr>
        <w:t>00 Kč za každý započatý den prodlení.</w:t>
      </w:r>
    </w:p>
    <w:p w14:paraId="06DFDE88" w14:textId="4D13CA9C" w:rsidR="008D29FC" w:rsidRPr="008D29FC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D29FC">
        <w:rPr>
          <w:rFonts w:cs="Times New Roman"/>
        </w:rPr>
        <w:t xml:space="preserve">V případě, že zhotovitel bude provádět plnění předmětu smlouvy prostřednictvím osob, které nejsou poddodavateli uvedenými v </w:t>
      </w:r>
      <w:r w:rsidRPr="00E70811">
        <w:rPr>
          <w:rFonts w:cs="Times New Roman"/>
        </w:rPr>
        <w:t>čl.</w:t>
      </w:r>
      <w:r w:rsidRPr="008D29FC">
        <w:rPr>
          <w:rFonts w:cs="Times New Roman"/>
        </w:rPr>
        <w:t xml:space="preserve"> V odst. 1 této smlouvy či odsouhlasenými objednatelem dle čl. V odst. 4 této smlouvy, zaplatí zhotovitel za každou takovou osobu, která se bude podílet na plnění předmětu smlouvy, objednateli smluvní po</w:t>
      </w:r>
      <w:r w:rsidR="000256E8">
        <w:rPr>
          <w:rFonts w:cs="Times New Roman"/>
        </w:rPr>
        <w:t>k</w:t>
      </w:r>
      <w:r w:rsidRPr="008D29FC">
        <w:rPr>
          <w:rFonts w:cs="Times New Roman"/>
        </w:rPr>
        <w:t>utu ve výši 10.000 Kč (slovy: deset tisíc korun českých) za každé jednotlivé porušení.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098E8A00" w:rsidR="00B422E2" w:rsidRPr="001A5DA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5DAB">
        <w:rPr>
          <w:rFonts w:cs="Times New Roman"/>
        </w:rPr>
        <w:t xml:space="preserve">Za každé jednotlivé porušení povinnosti uvedené v čl. </w:t>
      </w:r>
      <w:r w:rsidR="00BF3B91" w:rsidRPr="001A5DAB">
        <w:rPr>
          <w:rFonts w:cs="Times New Roman"/>
        </w:rPr>
        <w:t>VIII</w:t>
      </w:r>
      <w:r w:rsidRPr="001A5DAB">
        <w:rPr>
          <w:rFonts w:cs="Times New Roman"/>
        </w:rPr>
        <w:t xml:space="preserve"> odst. 1, 3 nebo 5 této smlouvy je zhotovitel povinen zaplatit objednateli smluvní pokutu ve výši </w:t>
      </w:r>
      <w:r w:rsidR="001A5DAB" w:rsidRPr="001A5DAB">
        <w:rPr>
          <w:rFonts w:cs="Times New Roman"/>
        </w:rPr>
        <w:t>100</w:t>
      </w:r>
      <w:r w:rsidRPr="001A5DAB">
        <w:rPr>
          <w:rFonts w:cs="Times New Roman"/>
        </w:rPr>
        <w:t xml:space="preserve">.000 Kč (slovy: </w:t>
      </w:r>
      <w:r w:rsidR="001A5DAB" w:rsidRPr="001A5DAB">
        <w:rPr>
          <w:rFonts w:cs="Times New Roman"/>
        </w:rPr>
        <w:t>jedno sto</w:t>
      </w:r>
      <w:r w:rsidRPr="001A5DAB">
        <w:rPr>
          <w:rFonts w:cs="Times New Roman"/>
        </w:rPr>
        <w:t xml:space="preserve"> tisíc korun českých).</w:t>
      </w:r>
    </w:p>
    <w:p w14:paraId="0E651C03" w14:textId="4E77E0BB" w:rsidR="00B422E2" w:rsidRPr="001A5DAB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5DAB">
        <w:rPr>
          <w:rFonts w:cs="Times New Roman"/>
          <w:iCs/>
        </w:rPr>
        <w:t xml:space="preserve">Za každé jednotlivé porušení povinností uvedených v čl. </w:t>
      </w:r>
      <w:r w:rsidR="00BF3B91" w:rsidRPr="001A5DAB">
        <w:rPr>
          <w:rFonts w:cs="Times New Roman"/>
          <w:iCs/>
        </w:rPr>
        <w:t>I</w:t>
      </w:r>
      <w:r w:rsidRPr="001A5DAB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100.000 Kč </w:t>
      </w:r>
      <w:r w:rsidRPr="001A5DAB">
        <w:rPr>
          <w:rFonts w:cs="Times New Roman"/>
        </w:rPr>
        <w:t>(slovy: sto tisíc korun českých)</w:t>
      </w:r>
    </w:p>
    <w:p w14:paraId="61B8A84D" w14:textId="08B5580D" w:rsidR="00627351" w:rsidRPr="001A5DAB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5DAB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1A5DAB">
        <w:rPr>
          <w:rFonts w:cs="Times New Roman"/>
        </w:rPr>
        <w:t>5</w:t>
      </w:r>
      <w:r w:rsidRPr="001A5DAB">
        <w:rPr>
          <w:rFonts w:cs="Times New Roman"/>
        </w:rPr>
        <w:t xml:space="preserve"> této smlouvy, zaplatí objednateli smluvní pokutu ve výši 10</w:t>
      </w:r>
      <w:r w:rsidR="003B080F">
        <w:rPr>
          <w:rFonts w:cs="Times New Roman"/>
        </w:rPr>
        <w:t>.</w:t>
      </w:r>
      <w:r w:rsidRPr="001A5DAB">
        <w:rPr>
          <w:rFonts w:cs="Times New Roman"/>
        </w:rPr>
        <w:t>000 Kč (slovy: deset tisíc korun českých) za každou jednotlivou neúčast.</w:t>
      </w:r>
    </w:p>
    <w:p w14:paraId="57F050FE" w14:textId="77777777" w:rsidR="00B422E2" w:rsidRPr="001A5DA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5DAB">
        <w:rPr>
          <w:rFonts w:cs="Times New Roman"/>
        </w:rPr>
        <w:lastRenderedPageBreak/>
        <w:t xml:space="preserve">V případě, že zhotovitel neposkytne přes výzvu objednatele report stavu dle </w:t>
      </w:r>
      <w:proofErr w:type="spellStart"/>
      <w:r w:rsidRPr="001A5DAB">
        <w:rPr>
          <w:rFonts w:cs="Times New Roman"/>
        </w:rPr>
        <w:t>ust</w:t>
      </w:r>
      <w:proofErr w:type="spellEnd"/>
      <w:r w:rsidRPr="001A5DAB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16F44718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1A5DAB">
        <w:rPr>
          <w:rFonts w:cs="Times New Roman"/>
        </w:rPr>
        <w:t>1.000 Kč</w:t>
      </w:r>
      <w:r w:rsidRPr="00A15479">
        <w:rPr>
          <w:rFonts w:cs="Times New Roman"/>
        </w:rPr>
        <w:t xml:space="preserve"> </w:t>
      </w:r>
      <w:r w:rsidR="001A5DAB">
        <w:rPr>
          <w:rFonts w:cs="Times New Roman"/>
        </w:rPr>
        <w:br/>
      </w:r>
      <w:r w:rsidRPr="00A15479">
        <w:rPr>
          <w:rFonts w:cs="Times New Roman"/>
        </w:rPr>
        <w:t>za každý</w:t>
      </w:r>
      <w:r w:rsidR="001A5DAB">
        <w:rPr>
          <w:rFonts w:cs="Times New Roman"/>
        </w:rPr>
        <w:t xml:space="preserve"> započatý</w:t>
      </w:r>
      <w:r w:rsidRPr="00A15479">
        <w:rPr>
          <w:rFonts w:cs="Times New Roman"/>
        </w:rPr>
        <w:t xml:space="preserve">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8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8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1A5DAB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A5DAB">
        <w:rPr>
          <w:rFonts w:cs="Times New Roman"/>
        </w:rPr>
        <w:t>písemnou výpovědí za podmínek uvedených v odst. 3 tohoto článku</w:t>
      </w:r>
      <w:r w:rsidR="001D54B4" w:rsidRPr="001A5DAB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A5DAB">
        <w:rPr>
          <w:rFonts w:cs="Times New Roman"/>
        </w:rPr>
        <w:t>Smluvní strany mohou podat výpověď i bez udání důvodu. Výpovědní lhůta činí 3 měsíc</w:t>
      </w:r>
      <w:r w:rsidR="00D37798" w:rsidRPr="001A5DAB">
        <w:rPr>
          <w:rFonts w:cs="Times New Roman"/>
        </w:rPr>
        <w:t>e</w:t>
      </w:r>
      <w:r w:rsidRPr="001A5DAB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9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29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0FF0A409" w14:textId="01FCB366" w:rsidR="00DA6E09" w:rsidRPr="009206F1" w:rsidRDefault="00DA6E09" w:rsidP="00631568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06F1">
        <w:rPr>
          <w:rFonts w:cs="Times New Roman"/>
        </w:rPr>
        <w:t>Vzhledem</w:t>
      </w:r>
      <w:r w:rsidRPr="004C30E8">
        <w:rPr>
          <w:rFonts w:cs="Times New Roman"/>
        </w:rPr>
        <w:t xml:space="preserve"> k tomu, že plnění, poskytnutá jako postupná dílčí plnění, v rámci etap, stanovených v čl.</w:t>
      </w:r>
      <w:r w:rsidR="00EF6B9C" w:rsidRPr="004C30E8">
        <w:rPr>
          <w:rFonts w:cs="Times New Roman"/>
        </w:rPr>
        <w:t> </w:t>
      </w:r>
      <w:r w:rsidRPr="004C30E8">
        <w:rPr>
          <w:rFonts w:cs="Times New Roman"/>
        </w:rPr>
        <w:t>II</w:t>
      </w:r>
      <w:r w:rsidR="00EF6B9C" w:rsidRPr="004C30E8">
        <w:rPr>
          <w:rFonts w:cs="Times New Roman"/>
        </w:rPr>
        <w:t> </w:t>
      </w:r>
      <w:r w:rsidRPr="004C30E8">
        <w:rPr>
          <w:rFonts w:cs="Times New Roman"/>
        </w:rPr>
        <w:t>odst. 1 této smlouvy, jež objednatel jako řádná převzal a akceptoval, mají sama o sobě pro</w:t>
      </w:r>
      <w:r w:rsidR="00EF6B9C" w:rsidRPr="004C30E8">
        <w:rPr>
          <w:rFonts w:cs="Times New Roman"/>
        </w:rPr>
        <w:t> </w:t>
      </w:r>
      <w:r w:rsidRPr="004C30E8">
        <w:rPr>
          <w:rFonts w:cs="Times New Roman"/>
        </w:rPr>
        <w:t>objednatele význam, má odstoupení objednatele od smlouvy, upravené v tomto ustanovení smlouvy, účinky do budoucna.</w:t>
      </w: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E60256B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30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6B5DB8">
        <w:rPr>
          <w:rFonts w:cs="Times New Roman"/>
        </w:rPr>
        <w:t>ejde68g</w:t>
      </w:r>
      <w:r w:rsidRPr="00C541C1">
        <w:rPr>
          <w:rStyle w:val="Siln"/>
          <w:rFonts w:cs="Times New Roman"/>
          <w:b w:val="0"/>
          <w:shd w:val="clear" w:color="auto" w:fill="FFFFFF"/>
        </w:rPr>
        <w:t>)</w:t>
      </w:r>
      <w:r w:rsidR="001A5DAB">
        <w:rPr>
          <w:rStyle w:val="Siln"/>
          <w:rFonts w:cs="Times New Roman"/>
          <w:b w:val="0"/>
          <w:shd w:val="clear" w:color="auto" w:fill="FFFFFF"/>
        </w:rPr>
        <w:t>.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</w:t>
      </w:r>
      <w:bookmarkEnd w:id="30"/>
    </w:p>
    <w:p w14:paraId="4EA324EA" w14:textId="646BCA85" w:rsidR="00F74C17" w:rsidRPr="004C30E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06F1">
        <w:rPr>
          <w:rFonts w:cs="Times New Roman"/>
        </w:rPr>
        <w:t xml:space="preserve">Kontaktní osobou na straně objednatele je </w:t>
      </w:r>
      <w:proofErr w:type="spellStart"/>
      <w:r w:rsidR="00F86C43">
        <w:rPr>
          <w:rFonts w:cs="Times New Roman"/>
        </w:rPr>
        <w:t>xxxxxxxxxxxxxx</w:t>
      </w:r>
      <w:proofErr w:type="spellEnd"/>
    </w:p>
    <w:p w14:paraId="63CC12DA" w14:textId="145FBE45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F86C43">
        <w:rPr>
          <w:rFonts w:cs="Times New Roman"/>
        </w:rPr>
        <w:t>xxxxxxxxxxxxxxxxxxxx</w:t>
      </w:r>
      <w:proofErr w:type="spellEnd"/>
    </w:p>
    <w:p w14:paraId="033D8D04" w14:textId="39FB361B" w:rsidR="002C0BFC" w:rsidRDefault="00D55625" w:rsidP="0063156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3AB579B7" w14:textId="77777777" w:rsidR="00631568" w:rsidRPr="00631568" w:rsidRDefault="00631568" w:rsidP="00631568">
      <w:pPr>
        <w:spacing w:after="120" w:line="276" w:lineRule="auto"/>
        <w:jc w:val="both"/>
        <w:rPr>
          <w:rFonts w:cs="Times New Roman"/>
        </w:rPr>
      </w:pPr>
    </w:p>
    <w:p w14:paraId="6B578002" w14:textId="1F5993DE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1" w:name="_Hlk169097072"/>
      <w:bookmarkStart w:id="32" w:name="_Hlk145937672"/>
      <w:r w:rsidRPr="00A15479">
        <w:rPr>
          <w:szCs w:val="22"/>
        </w:rPr>
        <w:t>XI</w:t>
      </w:r>
      <w:r w:rsidR="00631568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1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631568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31568">
        <w:rPr>
          <w:rFonts w:cs="Times New Roman"/>
          <w:color w:val="auto"/>
          <w:sz w:val="22"/>
        </w:rPr>
        <w:t>Zhotovitel</w:t>
      </w:r>
      <w:r w:rsidR="002C0BFC" w:rsidRPr="0063156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631568">
        <w:rPr>
          <w:rFonts w:cs="Times New Roman"/>
          <w:color w:val="auto"/>
          <w:sz w:val="22"/>
        </w:rPr>
        <w:t> </w:t>
      </w:r>
      <w:r w:rsidR="002C0BFC" w:rsidRPr="0063156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A1547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31568">
        <w:rPr>
          <w:rFonts w:cs="Times New Roman"/>
          <w:color w:val="auto"/>
          <w:sz w:val="22"/>
        </w:rPr>
        <w:t>Zhotovitel</w:t>
      </w:r>
      <w:r w:rsidR="002C0BFC" w:rsidRPr="0063156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</w:t>
      </w:r>
      <w:r w:rsidR="002C0BFC" w:rsidRPr="00A15479">
        <w:rPr>
          <w:rFonts w:cs="Times New Roman"/>
          <w:color w:val="auto"/>
          <w:sz w:val="22"/>
        </w:rPr>
        <w:t xml:space="preserve"> přímo ani nepřímo nezpřístupní fyzickým nebo právnickým osobám, subjektům či orgánům s</w:t>
      </w:r>
      <w:r w:rsidR="00BC08EB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3993858D" w:rsidR="00435AF5" w:rsidRPr="00631568" w:rsidRDefault="002C0BFC" w:rsidP="00631568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3156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31568">
        <w:rPr>
          <w:rFonts w:cs="Times New Roman"/>
          <w:color w:val="auto"/>
          <w:sz w:val="22"/>
        </w:rPr>
        <w:t>zhotovitel</w:t>
      </w:r>
      <w:r w:rsidRPr="0063156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31568">
        <w:rPr>
          <w:rFonts w:cs="Times New Roman"/>
          <w:color w:val="auto"/>
          <w:sz w:val="22"/>
        </w:rPr>
        <w:t>zhotovitel</w:t>
      </w:r>
      <w:r w:rsidRPr="00631568">
        <w:rPr>
          <w:rFonts w:cs="Times New Roman"/>
          <w:color w:val="auto"/>
          <w:sz w:val="22"/>
        </w:rPr>
        <w:t xml:space="preserve"> stal určenou osobou, je povinen o</w:t>
      </w:r>
      <w:r w:rsidR="00BC08EB" w:rsidRPr="00631568">
        <w:rPr>
          <w:rFonts w:cs="Times New Roman"/>
          <w:color w:val="auto"/>
          <w:sz w:val="22"/>
        </w:rPr>
        <w:t> </w:t>
      </w:r>
      <w:r w:rsidRPr="00631568">
        <w:rPr>
          <w:rFonts w:cs="Times New Roman"/>
          <w:color w:val="auto"/>
          <w:sz w:val="22"/>
        </w:rPr>
        <w:t xml:space="preserve">takové </w:t>
      </w:r>
      <w:r w:rsidRPr="00631568">
        <w:rPr>
          <w:rFonts w:cs="Times New Roman"/>
          <w:color w:val="auto"/>
          <w:sz w:val="22"/>
        </w:rPr>
        <w:lastRenderedPageBreak/>
        <w:t>skutečnosti objednatele bez zbytečného odkladu, nejpozději do dvou (2) pracovních dnů od</w:t>
      </w:r>
      <w:r w:rsidR="00BC08EB" w:rsidRPr="00631568">
        <w:rPr>
          <w:rFonts w:cs="Times New Roman"/>
          <w:color w:val="auto"/>
          <w:sz w:val="22"/>
        </w:rPr>
        <w:t> </w:t>
      </w:r>
      <w:r w:rsidRPr="0063156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631568">
        <w:rPr>
          <w:rFonts w:cs="Times New Roman"/>
          <w:color w:val="auto"/>
          <w:sz w:val="22"/>
        </w:rPr>
        <w:t>o</w:t>
      </w:r>
      <w:r w:rsidRPr="00631568">
        <w:rPr>
          <w:rFonts w:cs="Times New Roman"/>
          <w:color w:val="auto"/>
          <w:sz w:val="22"/>
        </w:rPr>
        <w:t>bjednateli v souvislosti s</w:t>
      </w:r>
      <w:r w:rsidR="00BC08EB" w:rsidRPr="00631568">
        <w:rPr>
          <w:rFonts w:cs="Times New Roman"/>
          <w:color w:val="auto"/>
          <w:sz w:val="22"/>
        </w:rPr>
        <w:t> </w:t>
      </w:r>
      <w:r w:rsidRPr="00631568">
        <w:rPr>
          <w:rFonts w:cs="Times New Roman"/>
          <w:color w:val="auto"/>
          <w:sz w:val="22"/>
        </w:rPr>
        <w:t>porušením této</w:t>
      </w:r>
      <w:r w:rsidR="0048274C" w:rsidRPr="00631568">
        <w:rPr>
          <w:rFonts w:cs="Times New Roman"/>
          <w:color w:val="auto"/>
          <w:sz w:val="22"/>
        </w:rPr>
        <w:t> </w:t>
      </w:r>
      <w:r w:rsidRPr="00631568">
        <w:rPr>
          <w:rFonts w:cs="Times New Roman"/>
          <w:color w:val="auto"/>
          <w:sz w:val="22"/>
        </w:rPr>
        <w:t xml:space="preserve">povinnosti jakákoliv škoda, je </w:t>
      </w:r>
      <w:r w:rsidR="008C2948" w:rsidRPr="00631568">
        <w:rPr>
          <w:rFonts w:cs="Times New Roman"/>
          <w:color w:val="auto"/>
          <w:sz w:val="22"/>
        </w:rPr>
        <w:t>zhotovitel</w:t>
      </w:r>
      <w:r w:rsidRPr="00631568">
        <w:rPr>
          <w:rFonts w:cs="Times New Roman"/>
          <w:color w:val="auto"/>
          <w:sz w:val="22"/>
        </w:rPr>
        <w:t xml:space="preserve"> tuto škodu </w:t>
      </w:r>
      <w:r w:rsidR="008C2948" w:rsidRPr="00631568">
        <w:rPr>
          <w:rFonts w:cs="Times New Roman"/>
          <w:color w:val="auto"/>
          <w:sz w:val="22"/>
        </w:rPr>
        <w:t>o</w:t>
      </w:r>
      <w:r w:rsidRPr="0063156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631568">
        <w:rPr>
          <w:rFonts w:cs="Times New Roman"/>
          <w:color w:val="auto"/>
          <w:sz w:val="22"/>
        </w:rPr>
        <w:t>o</w:t>
      </w:r>
      <w:r w:rsidRPr="00631568">
        <w:rPr>
          <w:rFonts w:cs="Times New Roman"/>
          <w:color w:val="auto"/>
          <w:sz w:val="22"/>
        </w:rPr>
        <w:t>bjednatele.</w:t>
      </w:r>
      <w:bookmarkEnd w:id="32"/>
    </w:p>
    <w:p w14:paraId="5BE44584" w14:textId="77777777" w:rsidR="00631568" w:rsidRPr="00631568" w:rsidRDefault="00631568" w:rsidP="00631568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3CB1BACB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3" w:name="_Hlk169097399"/>
      <w:r w:rsidRPr="00A15479">
        <w:rPr>
          <w:szCs w:val="22"/>
        </w:rPr>
        <w:t>X</w:t>
      </w:r>
      <w:r w:rsidR="00631568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3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5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6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6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7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8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 xml:space="preserve">této smlouvy. </w:t>
      </w:r>
      <w:r w:rsidRPr="00A15479">
        <w:rPr>
          <w:rFonts w:cs="Times New Roman"/>
        </w:rPr>
        <w:lastRenderedPageBreak/>
        <w:t>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9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631568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40" w:name="_Hlk169097802"/>
      <w:r w:rsidRPr="00631568">
        <w:rPr>
          <w:rFonts w:cs="Times New Roman"/>
          <w:u w:val="single"/>
        </w:rPr>
        <w:t>Příloh</w:t>
      </w:r>
      <w:r w:rsidR="006C1EDF" w:rsidRPr="00631568">
        <w:rPr>
          <w:rFonts w:cs="Times New Roman"/>
          <w:u w:val="single"/>
        </w:rPr>
        <w:t>a</w:t>
      </w:r>
      <w:r w:rsidRPr="00631568">
        <w:rPr>
          <w:rFonts w:cs="Times New Roman"/>
          <w:u w:val="single"/>
        </w:rPr>
        <w:t xml:space="preserve">: </w:t>
      </w:r>
    </w:p>
    <w:p w14:paraId="5BE5437A" w14:textId="77777777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31568">
        <w:rPr>
          <w:rFonts w:cs="Times New Roman"/>
        </w:rPr>
        <w:t>č. 1 –</w:t>
      </w:r>
      <w:r w:rsidRPr="00631568">
        <w:rPr>
          <w:rFonts w:cs="Times New Roman"/>
          <w:i/>
        </w:rPr>
        <w:t xml:space="preserve"> </w:t>
      </w:r>
      <w:r w:rsidR="003C7CA5" w:rsidRPr="00631568">
        <w:rPr>
          <w:rFonts w:cs="Times New Roman"/>
        </w:rPr>
        <w:t>Specifikace předmětu smlouvy</w:t>
      </w:r>
    </w:p>
    <w:p w14:paraId="66C46975" w14:textId="77777777" w:rsidR="00631568" w:rsidRDefault="00631568" w:rsidP="00F85CAB">
      <w:pPr>
        <w:spacing w:after="120" w:line="276" w:lineRule="auto"/>
        <w:ind w:hanging="284"/>
        <w:rPr>
          <w:rFonts w:cs="Times New Roman"/>
          <w:i/>
        </w:rPr>
      </w:pPr>
    </w:p>
    <w:p w14:paraId="51F66CE7" w14:textId="77777777" w:rsidR="00631568" w:rsidRPr="00A15479" w:rsidRDefault="00631568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7A842" w14:textId="67DF9C1D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A23057">
        <w:rPr>
          <w:rFonts w:cs="Times New Roman"/>
        </w:rPr>
        <w:t xml:space="preserve"> 04.11.2025</w:t>
      </w:r>
      <w:r w:rsidR="00A23057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3B6898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F70FA92" w14:textId="316599B8" w:rsidR="00EA3A9D" w:rsidRDefault="003B6898" w:rsidP="003B6898">
      <w:pPr>
        <w:spacing w:after="120" w:line="276" w:lineRule="auto"/>
        <w:ind w:left="4950"/>
        <w:rPr>
          <w:rFonts w:cs="Times New Roman"/>
        </w:rPr>
      </w:pPr>
      <w:r>
        <w:rPr>
          <w:rFonts w:cs="Times New Roman"/>
        </w:rPr>
        <w:t>za společnost „MP+SP – Letňany – Nádraží Libeň“ na základě plné moci</w:t>
      </w:r>
    </w:p>
    <w:p w14:paraId="657F31AB" w14:textId="77777777" w:rsidR="00631568" w:rsidRDefault="00631568" w:rsidP="0007550F">
      <w:pPr>
        <w:spacing w:after="120" w:line="276" w:lineRule="auto"/>
        <w:rPr>
          <w:rFonts w:cs="Times New Roman"/>
        </w:rPr>
      </w:pPr>
    </w:p>
    <w:p w14:paraId="1AEAA461" w14:textId="77777777" w:rsidR="00631568" w:rsidRPr="00A15479" w:rsidRDefault="00631568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0B56005" w:rsidR="00512330" w:rsidRPr="003B6898" w:rsidRDefault="00631568" w:rsidP="00F818B2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>
        <w:rPr>
          <w:rFonts w:cs="Times New Roman"/>
          <w:b/>
        </w:rPr>
        <w:t>Ing. Marek Zděradička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3B6898" w:rsidRPr="003B6898">
        <w:rPr>
          <w:rFonts w:cs="Times New Roman"/>
          <w:b/>
          <w:bCs/>
        </w:rPr>
        <w:t>Ing. Vladimír Seidl</w:t>
      </w:r>
    </w:p>
    <w:p w14:paraId="1790695B" w14:textId="22BDEC3B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631568">
        <w:rPr>
          <w:rFonts w:cs="Times New Roman"/>
        </w:rPr>
        <w:t xml:space="preserve">zástupce ředitele pro </w:t>
      </w:r>
      <w:r w:rsidR="00631568" w:rsidRPr="00631568">
        <w:rPr>
          <w:rFonts w:cs="Times New Roman"/>
        </w:rPr>
        <w:t>odbornou</w:t>
      </w:r>
      <w:r w:rsidRPr="00631568">
        <w:rPr>
          <w:rFonts w:cs="Times New Roman"/>
        </w:rPr>
        <w:t xml:space="preserve"> činnost</w:t>
      </w:r>
      <w:r w:rsidR="00631568" w:rsidRPr="00631568">
        <w:rPr>
          <w:rFonts w:cs="Times New Roman"/>
        </w:rPr>
        <w:tab/>
      </w:r>
      <w:r w:rsidR="00631568" w:rsidRPr="00631568">
        <w:rPr>
          <w:rFonts w:cs="Times New Roman"/>
        </w:rPr>
        <w:tab/>
      </w:r>
      <w:r w:rsidRPr="00631568">
        <w:rPr>
          <w:rFonts w:cs="Times New Roman"/>
        </w:rPr>
        <w:tab/>
      </w:r>
      <w:r w:rsidR="003B6898">
        <w:rPr>
          <w:rFonts w:cs="Times New Roman"/>
        </w:rPr>
        <w:t>předseda představenstva</w:t>
      </w:r>
    </w:p>
    <w:p w14:paraId="1A267791" w14:textId="6716096E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898">
        <w:rPr>
          <w:rFonts w:cs="Times New Roman"/>
        </w:rPr>
        <w:t xml:space="preserve">METROPROJEKT </w:t>
      </w:r>
      <w:r w:rsidR="001B26F5">
        <w:rPr>
          <w:rFonts w:cs="Times New Roman"/>
        </w:rPr>
        <w:t>Praha</w:t>
      </w:r>
      <w:r w:rsidR="003B6898">
        <w:rPr>
          <w:rFonts w:cs="Times New Roman"/>
        </w:rPr>
        <w:t xml:space="preserve"> </w:t>
      </w:r>
      <w:proofErr w:type="spellStart"/>
      <w:r w:rsidR="003B6898">
        <w:rPr>
          <w:rFonts w:cs="Times New Roman"/>
        </w:rPr>
        <w:t>a.s</w:t>
      </w:r>
      <w:proofErr w:type="spellEnd"/>
      <w:r w:rsidR="003B6898">
        <w:rPr>
          <w:rFonts w:cs="Times New Roman"/>
        </w:rPr>
        <w:t>,</w:t>
      </w:r>
    </w:p>
    <w:p w14:paraId="4AE2C43C" w14:textId="703E1512" w:rsidR="006C1EDF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0"/>
    </w:p>
    <w:p w14:paraId="23E84DBB" w14:textId="77777777" w:rsidR="003B6898" w:rsidRDefault="003B6898" w:rsidP="000C3E19">
      <w:pPr>
        <w:spacing w:after="120" w:line="276" w:lineRule="auto"/>
        <w:ind w:hanging="284"/>
        <w:rPr>
          <w:rFonts w:cs="Times New Roman"/>
        </w:rPr>
      </w:pPr>
    </w:p>
    <w:p w14:paraId="2D558CE2" w14:textId="151E7DF8" w:rsidR="003B6898" w:rsidRDefault="003B6898" w:rsidP="000C3E1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…………………………………………..</w:t>
      </w:r>
    </w:p>
    <w:p w14:paraId="3F71E7C0" w14:textId="69E1800B" w:rsidR="003B6898" w:rsidRPr="003B6898" w:rsidRDefault="003B6898" w:rsidP="003B6898">
      <w:pPr>
        <w:spacing w:line="276" w:lineRule="auto"/>
        <w:ind w:hanging="284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B6898">
        <w:rPr>
          <w:rFonts w:cs="Times New Roman"/>
          <w:b/>
          <w:bCs/>
        </w:rPr>
        <w:t>Ing. Petr Vyskočil</w:t>
      </w:r>
    </w:p>
    <w:p w14:paraId="39112A47" w14:textId="384047EA" w:rsidR="003B6898" w:rsidRDefault="003B6898" w:rsidP="003B6898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místopředseda představenstva</w:t>
      </w:r>
    </w:p>
    <w:p w14:paraId="50DAE53A" w14:textId="77777777" w:rsidR="003B6898" w:rsidRDefault="003B6898" w:rsidP="003B6898">
      <w:pPr>
        <w:spacing w:line="276" w:lineRule="auto"/>
        <w:ind w:hanging="284"/>
        <w:rPr>
          <w:rFonts w:cs="Times New Roman"/>
        </w:rPr>
      </w:pPr>
    </w:p>
    <w:p w14:paraId="511D3C56" w14:textId="0FD3E794" w:rsidR="003B6898" w:rsidRPr="00A15479" w:rsidRDefault="003B6898" w:rsidP="000C3E1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METROPROJEKT </w:t>
      </w:r>
      <w:r w:rsidR="001B26F5">
        <w:rPr>
          <w:rFonts w:cs="Times New Roman"/>
        </w:rPr>
        <w:t>Praha</w:t>
      </w:r>
      <w:r>
        <w:rPr>
          <w:rFonts w:cs="Times New Roman"/>
        </w:rPr>
        <w:t xml:space="preserve"> a.s.</w:t>
      </w:r>
    </w:p>
    <w:sectPr w:rsidR="003B6898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DD3F" w14:textId="77777777" w:rsidR="00A4455C" w:rsidRDefault="00A4455C">
      <w:r>
        <w:separator/>
      </w:r>
    </w:p>
  </w:endnote>
  <w:endnote w:type="continuationSeparator" w:id="0">
    <w:p w14:paraId="39F7A1F5" w14:textId="77777777" w:rsidR="00A4455C" w:rsidRDefault="00A4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963F" w14:textId="77777777" w:rsidR="00A4455C" w:rsidRDefault="00A4455C">
      <w:r>
        <w:separator/>
      </w:r>
    </w:p>
  </w:footnote>
  <w:footnote w:type="continuationSeparator" w:id="0">
    <w:p w14:paraId="32773E3B" w14:textId="77777777" w:rsidR="00A4455C" w:rsidRDefault="00A4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E3C23C5" w:rsidR="00A94B18" w:rsidRPr="002E36B7" w:rsidRDefault="00A94B18">
    <w:pPr>
      <w:pStyle w:val="Standardnte"/>
      <w:tabs>
        <w:tab w:val="left" w:pos="828"/>
      </w:tabs>
      <w:rPr>
        <w:sz w:val="22"/>
      </w:rPr>
    </w:pPr>
    <w:r w:rsidRPr="002E36B7">
      <w:rPr>
        <w:sz w:val="22"/>
      </w:rPr>
      <w:t>č. smlouvy objednatele: ZAK</w:t>
    </w:r>
    <w:r w:rsidR="00512330" w:rsidRPr="002E36B7">
      <w:rPr>
        <w:sz w:val="22"/>
      </w:rPr>
      <w:t xml:space="preserve"> </w:t>
    </w:r>
    <w:r w:rsidR="002E36B7" w:rsidRPr="002E36B7">
      <w:rPr>
        <w:sz w:val="22"/>
      </w:rPr>
      <w:t>25-0167</w:t>
    </w:r>
  </w:p>
  <w:p w14:paraId="40A69BC9" w14:textId="1D38E884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2E36B7">
      <w:t>č. smlouvy zhotovitele</w:t>
    </w:r>
    <w:r w:rsidR="00D81B70" w:rsidRPr="002E36B7">
      <w:t>:</w:t>
    </w:r>
    <w:r w:rsidR="000F1784">
      <w:t xml:space="preserve"> </w:t>
    </w:r>
    <w:r w:rsidR="00D73589">
      <w:t>8739/MP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022067"/>
    <w:multiLevelType w:val="hybridMultilevel"/>
    <w:tmpl w:val="9410C2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D06DC"/>
    <w:multiLevelType w:val="hybridMultilevel"/>
    <w:tmpl w:val="E5FA501A"/>
    <w:lvl w:ilvl="0" w:tplc="2362D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6F37ACA"/>
    <w:multiLevelType w:val="hybridMultilevel"/>
    <w:tmpl w:val="E24890A8"/>
    <w:lvl w:ilvl="0" w:tplc="307A2508">
      <w:start w:val="1"/>
      <w:numFmt w:val="decimal"/>
      <w:pStyle w:val="odrkyodstavce"/>
      <w:lvlText w:val="(%1)"/>
      <w:lvlJc w:val="left"/>
      <w:pPr>
        <w:ind w:left="50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4"/>
  </w:num>
  <w:num w:numId="5" w16cid:durableId="1607230625">
    <w:abstractNumId w:val="32"/>
  </w:num>
  <w:num w:numId="6" w16cid:durableId="191771308">
    <w:abstractNumId w:val="47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5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7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6"/>
  </w:num>
  <w:num w:numId="17" w16cid:durableId="1628467188">
    <w:abstractNumId w:val="48"/>
  </w:num>
  <w:num w:numId="18" w16cid:durableId="103229322">
    <w:abstractNumId w:val="43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2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1183477420">
    <w:abstractNumId w:val="41"/>
  </w:num>
  <w:num w:numId="32" w16cid:durableId="374165429">
    <w:abstractNumId w:val="40"/>
  </w:num>
  <w:num w:numId="33" w16cid:durableId="182127052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77F28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18D1"/>
    <w:rsid w:val="000C32A5"/>
    <w:rsid w:val="000C3E19"/>
    <w:rsid w:val="000D1F05"/>
    <w:rsid w:val="000D2FEF"/>
    <w:rsid w:val="000D5071"/>
    <w:rsid w:val="000D58FD"/>
    <w:rsid w:val="000E137B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5DAB"/>
    <w:rsid w:val="001A6322"/>
    <w:rsid w:val="001A63F1"/>
    <w:rsid w:val="001B26F5"/>
    <w:rsid w:val="001C2399"/>
    <w:rsid w:val="001C4E25"/>
    <w:rsid w:val="001D2F35"/>
    <w:rsid w:val="001D370F"/>
    <w:rsid w:val="001D54B4"/>
    <w:rsid w:val="001D6671"/>
    <w:rsid w:val="001D7FD9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44FF8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87E1B"/>
    <w:rsid w:val="00291EB8"/>
    <w:rsid w:val="00293614"/>
    <w:rsid w:val="002953D6"/>
    <w:rsid w:val="002A0854"/>
    <w:rsid w:val="002A1B71"/>
    <w:rsid w:val="002A23D2"/>
    <w:rsid w:val="002A2585"/>
    <w:rsid w:val="002A6C4C"/>
    <w:rsid w:val="002B29A8"/>
    <w:rsid w:val="002B7539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36B7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AE5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11C9"/>
    <w:rsid w:val="003A3BD5"/>
    <w:rsid w:val="003A4191"/>
    <w:rsid w:val="003B080F"/>
    <w:rsid w:val="003B6334"/>
    <w:rsid w:val="003B6695"/>
    <w:rsid w:val="003B6898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3F6FDD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54F4"/>
    <w:rsid w:val="0047611E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04F2"/>
    <w:rsid w:val="004B583F"/>
    <w:rsid w:val="004C1B7C"/>
    <w:rsid w:val="004C2FC2"/>
    <w:rsid w:val="004C30E8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07B98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573A5"/>
    <w:rsid w:val="00560B19"/>
    <w:rsid w:val="0056225B"/>
    <w:rsid w:val="00573D78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1D3C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56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71E"/>
    <w:rsid w:val="00680E1A"/>
    <w:rsid w:val="006841CF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5DB8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0E6F"/>
    <w:rsid w:val="0070215C"/>
    <w:rsid w:val="00703CDA"/>
    <w:rsid w:val="0070436F"/>
    <w:rsid w:val="007062CA"/>
    <w:rsid w:val="00707DF5"/>
    <w:rsid w:val="0071238C"/>
    <w:rsid w:val="00713149"/>
    <w:rsid w:val="00720AA3"/>
    <w:rsid w:val="00723E8C"/>
    <w:rsid w:val="00725CD0"/>
    <w:rsid w:val="00726004"/>
    <w:rsid w:val="00727204"/>
    <w:rsid w:val="00730826"/>
    <w:rsid w:val="0073252E"/>
    <w:rsid w:val="00735E37"/>
    <w:rsid w:val="0073686B"/>
    <w:rsid w:val="00740905"/>
    <w:rsid w:val="00741052"/>
    <w:rsid w:val="007417C0"/>
    <w:rsid w:val="00741926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64C7B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0460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4AEC"/>
    <w:rsid w:val="00895D6C"/>
    <w:rsid w:val="00897289"/>
    <w:rsid w:val="008A1F28"/>
    <w:rsid w:val="008A7B5D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06F1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3057"/>
    <w:rsid w:val="00A25914"/>
    <w:rsid w:val="00A31D79"/>
    <w:rsid w:val="00A34771"/>
    <w:rsid w:val="00A4062C"/>
    <w:rsid w:val="00A41A35"/>
    <w:rsid w:val="00A4455C"/>
    <w:rsid w:val="00A464CE"/>
    <w:rsid w:val="00A5143A"/>
    <w:rsid w:val="00A56938"/>
    <w:rsid w:val="00A60C46"/>
    <w:rsid w:val="00A60DC1"/>
    <w:rsid w:val="00A63B63"/>
    <w:rsid w:val="00A64E25"/>
    <w:rsid w:val="00A65F52"/>
    <w:rsid w:val="00A6656A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A76C2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75014"/>
    <w:rsid w:val="00B84A8D"/>
    <w:rsid w:val="00B90596"/>
    <w:rsid w:val="00B914A9"/>
    <w:rsid w:val="00B91DA2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2CC0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1685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0D4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198B"/>
    <w:rsid w:val="00D0229D"/>
    <w:rsid w:val="00D044BC"/>
    <w:rsid w:val="00D04DC2"/>
    <w:rsid w:val="00D10419"/>
    <w:rsid w:val="00D108F7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3589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D4D"/>
    <w:rsid w:val="00DC0F52"/>
    <w:rsid w:val="00DC149F"/>
    <w:rsid w:val="00DC25B2"/>
    <w:rsid w:val="00DC348C"/>
    <w:rsid w:val="00DC34B3"/>
    <w:rsid w:val="00DC7D3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4F1C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378D9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6C43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1C6D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customStyle="1" w:styleId="odrkyodstavce">
    <w:name w:val="odrážky_odstavce"/>
    <w:basedOn w:val="Normln"/>
    <w:link w:val="odrkyodstavceChar"/>
    <w:qFormat/>
    <w:rsid w:val="000C18D1"/>
    <w:pPr>
      <w:numPr>
        <w:numId w:val="31"/>
      </w:numPr>
      <w:spacing w:before="120" w:after="60" w:line="259" w:lineRule="auto"/>
      <w:jc w:val="both"/>
    </w:pPr>
    <w:rPr>
      <w:rFonts w:ascii="Arial" w:eastAsiaTheme="minorHAnsi" w:hAnsi="Arial" w:cstheme="minorBidi"/>
      <w:sz w:val="20"/>
      <w:lang w:eastAsia="en-US"/>
    </w:rPr>
  </w:style>
  <w:style w:type="character" w:customStyle="1" w:styleId="odrkyodstavceChar">
    <w:name w:val="odrážky_odstavce Char"/>
    <w:basedOn w:val="Standardnpsmoodstavce"/>
    <w:link w:val="odrkyodstavce"/>
    <w:rsid w:val="000C18D1"/>
    <w:rPr>
      <w:rFonts w:ascii="Arial" w:eastAsiaTheme="minorHAnsi" w:hAnsi="Arial" w:cstheme="minorBidi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4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5665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7</cp:revision>
  <cp:lastPrinted>2025-10-29T13:29:00Z</cp:lastPrinted>
  <dcterms:created xsi:type="dcterms:W3CDTF">2025-10-31T13:19:00Z</dcterms:created>
  <dcterms:modified xsi:type="dcterms:W3CDTF">2025-11-04T13:22:00Z</dcterms:modified>
</cp:coreProperties>
</file>