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E4AC8F" w:rsidR="00726B26" w:rsidRPr="00726B26" w:rsidRDefault="007A4E2B" w:rsidP="00726B26">
      <w:pPr>
        <w:rPr>
          <w:b/>
        </w:rPr>
      </w:pPr>
      <w:proofErr w:type="spellStart"/>
      <w:r>
        <w:rPr>
          <w:b/>
        </w:rPr>
        <w:t>BussMed</w:t>
      </w:r>
      <w:proofErr w:type="spellEnd"/>
      <w:r>
        <w:rPr>
          <w:b/>
        </w:rPr>
        <w:t xml:space="preserve"> s.r.o. </w:t>
      </w:r>
    </w:p>
    <w:p w14:paraId="11EC8AB2" w14:textId="11DC1EE1" w:rsidR="00726B26" w:rsidRDefault="00726B26" w:rsidP="00726B26">
      <w:r>
        <w:t xml:space="preserve">IČ: </w:t>
      </w:r>
      <w:r w:rsidR="007A4E2B">
        <w:t>09549340</w:t>
      </w:r>
    </w:p>
    <w:p w14:paraId="3A9189DC" w14:textId="16284617" w:rsidR="00726B26" w:rsidRPr="00512AB9" w:rsidRDefault="00726B26" w:rsidP="00726B26">
      <w:r>
        <w:t xml:space="preserve">DIČ: </w:t>
      </w:r>
      <w:r w:rsidR="007A4E2B">
        <w:t>CZ09549340</w:t>
      </w:r>
    </w:p>
    <w:p w14:paraId="7C62836D" w14:textId="73371466" w:rsidR="00726B26" w:rsidRPr="00512AB9" w:rsidRDefault="00726B26" w:rsidP="00726B26">
      <w:r>
        <w:t xml:space="preserve">se </w:t>
      </w:r>
      <w:r w:rsidR="00443629">
        <w:t>sídlem</w:t>
      </w:r>
      <w:r w:rsidR="00443629" w:rsidRPr="00512AB9">
        <w:t>: Rybná</w:t>
      </w:r>
      <w:r w:rsidR="00443629" w:rsidRPr="00443629">
        <w:t xml:space="preserve"> 682/14, Staré Město, 110 00 Praha 1</w:t>
      </w:r>
    </w:p>
    <w:p w14:paraId="6A58E9E0" w14:textId="79A2736A" w:rsidR="00726B26" w:rsidRPr="00512AB9" w:rsidRDefault="00726B26" w:rsidP="00726B26">
      <w:r>
        <w:t>zastoupena</w:t>
      </w:r>
      <w:r w:rsidRPr="00512AB9">
        <w:t>:</w:t>
      </w:r>
      <w:r w:rsidR="007A4E2B">
        <w:t xml:space="preserve"> </w:t>
      </w:r>
      <w:r w:rsidR="00443629">
        <w:t xml:space="preserve">Michalem </w:t>
      </w:r>
      <w:proofErr w:type="spellStart"/>
      <w:r w:rsidR="00443629">
        <w:t>Vikusem</w:t>
      </w:r>
      <w:proofErr w:type="spellEnd"/>
      <w:r w:rsidR="007A4E2B">
        <w:t>, jednatel</w:t>
      </w:r>
      <w:r w:rsidR="00443629">
        <w:t>em</w:t>
      </w:r>
    </w:p>
    <w:p w14:paraId="70112B30" w14:textId="454352DD" w:rsidR="00726B26" w:rsidRPr="00512AB9" w:rsidRDefault="00726B26" w:rsidP="00726B26">
      <w:r w:rsidRPr="00512AB9">
        <w:t xml:space="preserve">bankovní spojení: </w:t>
      </w:r>
      <w:r w:rsidR="007A4E2B">
        <w:t>ČSOB a.s.</w:t>
      </w:r>
    </w:p>
    <w:p w14:paraId="5DB2B118" w14:textId="246A0390" w:rsidR="00726B26" w:rsidRPr="00512AB9" w:rsidRDefault="00726B26" w:rsidP="00726B26">
      <w:r w:rsidRPr="00512AB9">
        <w:t xml:space="preserve">číslo účtu: </w:t>
      </w:r>
      <w:r w:rsidR="007A4E2B">
        <w:t>295216342/0300</w:t>
      </w:r>
    </w:p>
    <w:p w14:paraId="2B40CBD9" w14:textId="01F03DD3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7A4E2B">
        <w:t>Městským</w:t>
      </w:r>
      <w:r>
        <w:t xml:space="preserve"> </w:t>
      </w:r>
      <w:r w:rsidRPr="00652864">
        <w:t>soudem v </w:t>
      </w:r>
      <w:r w:rsidR="007A4E2B">
        <w:t>Praze</w:t>
      </w:r>
      <w:r w:rsidRPr="00652864">
        <w:t>, oddíl</w:t>
      </w:r>
      <w:r w:rsidR="007A4E2B">
        <w:t xml:space="preserve"> C</w:t>
      </w:r>
      <w:r w:rsidRPr="00652864">
        <w:t xml:space="preserve">, vložka </w:t>
      </w:r>
      <w:r w:rsidR="007A4E2B">
        <w:t>337981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BC27AD3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A154BC">
        <w:t>Spotřební materiál pro plazmaferézy</w:t>
      </w:r>
      <w:proofErr w:type="gramStart"/>
      <w:r>
        <w:t>“(</w:t>
      </w:r>
      <w:proofErr w:type="gramEnd"/>
      <w:r>
        <w:t>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5720131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12090A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37056B9C" w:rsidR="00014CFB" w:rsidRDefault="00014CFB" w:rsidP="00014CFB">
      <w:pPr>
        <w:pStyle w:val="Psmenoodstavce"/>
      </w:pPr>
      <w:r>
        <w:t>e-mailem na adresu</w:t>
      </w:r>
      <w:r w:rsidR="00413AF3">
        <w:t xml:space="preserve">: </w:t>
      </w:r>
      <w:hyperlink r:id="rId9" w:history="1">
        <w:r w:rsidR="00413AF3" w:rsidRPr="004D5F25">
          <w:rPr>
            <w:rStyle w:val="Hypertextovodkaz"/>
          </w:rPr>
          <w:t>bussmed@bussmed.cz</w:t>
        </w:r>
      </w:hyperlink>
      <w:r w:rsidR="00413AF3">
        <w:t xml:space="preserve"> </w:t>
      </w:r>
    </w:p>
    <w:p w14:paraId="529C2256" w14:textId="420E0A74" w:rsidR="00014CFB" w:rsidRDefault="00014CFB" w:rsidP="00014CFB">
      <w:pPr>
        <w:pStyle w:val="Psmenoodstavce"/>
      </w:pPr>
      <w:r w:rsidRPr="00413AF3">
        <w:rPr>
          <w:strike/>
        </w:rPr>
        <w:t>faxem na telefonní číslo</w:t>
      </w:r>
      <w:r>
        <w:t>;</w:t>
      </w:r>
    </w:p>
    <w:p w14:paraId="47BD748E" w14:textId="3F139D4F" w:rsidR="00014CFB" w:rsidRPr="00413AF3" w:rsidRDefault="00014CFB" w:rsidP="00413AF3">
      <w:pPr>
        <w:pStyle w:val="Psmenoodstavce"/>
        <w:rPr>
          <w:strike/>
        </w:rPr>
      </w:pPr>
      <w:r w:rsidRPr="00413AF3">
        <w:rPr>
          <w:strike/>
        </w:rPr>
        <w:t xml:space="preserve">v internetovém systému Prodávajícího na adrese </w:t>
      </w:r>
    </w:p>
    <w:p w14:paraId="5EB037F4" w14:textId="77777777" w:rsidR="00413AF3" w:rsidRDefault="00413AF3" w:rsidP="00BB2BAB">
      <w:pPr>
        <w:pStyle w:val="Psmenoodstavce"/>
        <w:numPr>
          <w:ilvl w:val="0"/>
          <w:numId w:val="0"/>
        </w:numPr>
        <w:ind w:left="567"/>
      </w:pPr>
    </w:p>
    <w:p w14:paraId="4A2D5037" w14:textId="4F8E10B5" w:rsidR="00014CFB" w:rsidRDefault="00014CFB" w:rsidP="00014CFB">
      <w:pPr>
        <w:pStyle w:val="Odstavecsmlouvy"/>
      </w:pPr>
      <w:r>
        <w:t>V naléhavých případech je Kupující oprávněn učinit Objednávku rovněž telefonicky na čísle</w:t>
      </w:r>
      <w:r w:rsidR="00413AF3">
        <w:t>:</w:t>
      </w:r>
      <w:r>
        <w:t xml:space="preserve"> </w:t>
      </w:r>
      <w:r w:rsidR="00413AF3">
        <w:t>702 137 650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5EA20995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A6572F">
        <w:t>XXXXXXXXX</w:t>
      </w:r>
      <w:r w:rsidR="00F94508">
        <w:t>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Default="00BE451F" w:rsidP="000C1FD1">
      <w:pPr>
        <w:jc w:val="center"/>
        <w:rPr>
          <w:b/>
          <w:bCs/>
        </w:rPr>
      </w:pPr>
    </w:p>
    <w:p w14:paraId="56B5EC8C" w14:textId="77777777" w:rsidR="00A6572F" w:rsidRDefault="00A6572F" w:rsidP="000C1FD1">
      <w:pPr>
        <w:jc w:val="center"/>
        <w:rPr>
          <w:b/>
          <w:bCs/>
        </w:rPr>
      </w:pPr>
    </w:p>
    <w:p w14:paraId="743851FB" w14:textId="77777777" w:rsidR="00A6572F" w:rsidRPr="002B77A6" w:rsidRDefault="00A6572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1A652287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0F2FA828" w14:textId="70EDA2A9" w:rsidR="00EA4C8B" w:rsidRDefault="00EA4C8B" w:rsidP="0024628E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 w:rsidR="0024628E">
        <w:t xml:space="preserve">, přičemž </w:t>
      </w:r>
      <w:r w:rsidR="0024628E" w:rsidRPr="0024628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>
        <w:t>;</w:t>
      </w:r>
    </w:p>
    <w:p w14:paraId="2A0A3829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0FB6F4F2" w14:textId="77777777" w:rsidR="001A3175" w:rsidRDefault="00754D50" w:rsidP="001A3175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2427E30" w14:textId="78DFA919" w:rsidR="00B57703" w:rsidRDefault="002E49B8" w:rsidP="001A3175">
      <w:pPr>
        <w:pStyle w:val="Psmenoodstavce"/>
        <w:ind w:left="1418" w:firstLine="0"/>
      </w:pPr>
      <w:r w:rsidRPr="001A3175">
        <w:t>u tzv. ZM (zdravotnický materiál) a LP (léčivé přípravky) kód Státního ústavu pro kontrolu léčiv (dále jen „</w:t>
      </w:r>
      <w:r w:rsidRPr="001A3175">
        <w:rPr>
          <w:b/>
        </w:rPr>
        <w:t>SÚKL</w:t>
      </w:r>
      <w:r w:rsidRPr="001A3175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</w:t>
      </w:r>
      <w:r w:rsidRPr="00512AB9">
        <w:lastRenderedPageBreak/>
        <w:t xml:space="preserve">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50C6E1C" w14:textId="77777777" w:rsidR="00743A0B" w:rsidRDefault="00743A0B" w:rsidP="00743A0B">
      <w:pPr>
        <w:pStyle w:val="Odstavecsmlouvy"/>
      </w:pPr>
      <w:r>
        <w:t xml:space="preserve">V případě, že </w:t>
      </w:r>
      <w:r w:rsidR="00923251">
        <w:rPr>
          <w:b/>
          <w:bCs/>
        </w:rPr>
        <w:t>VZP</w:t>
      </w:r>
      <w:r w:rsidRPr="002C69B1">
        <w:rPr>
          <w:b/>
          <w:bCs/>
        </w:rPr>
        <w:t xml:space="preserve"> sníží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>
        <w:rPr>
          <w:b/>
        </w:rPr>
        <w:t>byla před tímto jejím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 </w:t>
      </w:r>
      <w:r w:rsidRPr="00115F51">
        <w:t xml:space="preserve">a </w:t>
      </w:r>
      <w:r w:rsidRPr="00974896">
        <w:rPr>
          <w:b/>
        </w:rPr>
        <w:t xml:space="preserve">současně se </w:t>
      </w:r>
      <w:r>
        <w:rPr>
          <w:b/>
        </w:rPr>
        <w:t xml:space="preserve">tím </w:t>
      </w:r>
      <w:r w:rsidRPr="00974896">
        <w:rPr>
          <w:b/>
        </w:rPr>
        <w:t>tato úhrada snížila pod tuto jednotkovou kupní cenu</w:t>
      </w:r>
      <w:r>
        <w:t xml:space="preserve">, snižuje se tato jednotková kupní cena </w:t>
      </w:r>
      <w:r w:rsidRPr="002C69B1">
        <w:rPr>
          <w:b/>
          <w:bCs/>
        </w:rPr>
        <w:t>na tuto výši úhrady</w:t>
      </w:r>
      <w:r>
        <w:t xml:space="preserve"> Všeobecné zdravotní pojišťovny po tomto jejím snížení. Prodávající je povinen v takovém případě na výzvu Kupujícího uzavřít dodatek k této Smlouvě, jehož předmětem bude toto snížení jednotkové kupní ceny položky Zboží.</w:t>
      </w:r>
    </w:p>
    <w:p w14:paraId="58E91185" w14:textId="77777777" w:rsidR="00743A0B" w:rsidRDefault="00743A0B" w:rsidP="00743A0B">
      <w:pPr>
        <w:pStyle w:val="Odstavecsmlouvy"/>
        <w:numPr>
          <w:ilvl w:val="0"/>
          <w:numId w:val="0"/>
        </w:numPr>
        <w:ind w:left="567"/>
      </w:pPr>
    </w:p>
    <w:p w14:paraId="005203FF" w14:textId="77777777" w:rsidR="00743A0B" w:rsidRDefault="00743A0B" w:rsidP="00743A0B">
      <w:pPr>
        <w:pStyle w:val="Odstavecsmlouvy"/>
      </w:pPr>
      <w:bookmarkStart w:id="9" w:name="_Ref13486690"/>
      <w:r>
        <w:t xml:space="preserve">V případě, že </w:t>
      </w:r>
      <w:r w:rsidR="00923251">
        <w:rPr>
          <w:b/>
          <w:bCs/>
        </w:rPr>
        <w:t>VZP</w:t>
      </w:r>
      <w:r w:rsidRPr="002C69B1">
        <w:rPr>
          <w:b/>
          <w:bCs/>
        </w:rPr>
        <w:t xml:space="preserve"> sníží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>přičemž</w:t>
      </w:r>
      <w:r w:rsidRPr="00C63592">
        <w:rPr>
          <w:b/>
        </w:rPr>
        <w:t xml:space="preserve"> výše této úhrady </w:t>
      </w:r>
      <w:r>
        <w:rPr>
          <w:b/>
        </w:rPr>
        <w:t>byla před tímto jejím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tato jednotková kupní cena se </w:t>
      </w:r>
      <w:r w:rsidRPr="00BA6E39">
        <w:rPr>
          <w:b/>
        </w:rPr>
        <w:t>snižuje o</w:t>
      </w:r>
      <w:r w:rsidRPr="00C63592">
        <w:rPr>
          <w:b/>
        </w:rPr>
        <w:t xml:space="preserve"> částku, o kterou se snížila tato úhrada</w:t>
      </w:r>
      <w:r w:rsidRPr="001E4F33">
        <w:t xml:space="preserve"> Všeobecné zdravotní pojišťovny</w:t>
      </w:r>
      <w:r>
        <w:t xml:space="preserve">. </w:t>
      </w:r>
      <w:bookmarkEnd w:id="9"/>
      <w:r>
        <w:t>Prodávající je povinen v takovém případě na výzvu Kupujícího uzavřít dodatek k této Smlouvě, jehož předmětem bude toto snížení jednotkové kupní ceny položky Zboží.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5C7584" w14:textId="5F3A81CD" w:rsidR="000C1FD1" w:rsidRDefault="000C1FD1" w:rsidP="00413AF3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13AF3">
        <w:t>k jednotlivým Objednávkám</w:t>
      </w:r>
      <w:r w:rsidR="00413AF3">
        <w:t>.</w:t>
      </w:r>
    </w:p>
    <w:p w14:paraId="46E80306" w14:textId="77777777" w:rsidR="00413AF3" w:rsidRDefault="00413AF3" w:rsidP="007A0F90">
      <w:pPr>
        <w:pStyle w:val="Odstavecsmlouvy"/>
        <w:numPr>
          <w:ilvl w:val="0"/>
          <w:numId w:val="0"/>
        </w:numPr>
        <w:ind w:left="567"/>
      </w:pPr>
    </w:p>
    <w:p w14:paraId="2E11E74F" w14:textId="6F08FD3D" w:rsidR="000C1FD1" w:rsidRDefault="00825B3C" w:rsidP="007A0F90">
      <w:pPr>
        <w:pStyle w:val="Odstavecsmlouvy"/>
        <w:numPr>
          <w:ilvl w:val="0"/>
          <w:numId w:val="0"/>
        </w:numPr>
        <w:ind w:left="567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7A0F90">
        <w:t xml:space="preserve">vystavení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lastRenderedPageBreak/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lastRenderedPageBreak/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5F5C889A" w:rsidR="005B36F6" w:rsidRDefault="005B36F6" w:rsidP="005B36F6">
      <w:pPr>
        <w:pStyle w:val="Odstavecsmlouvy"/>
      </w:pPr>
      <w:r>
        <w:lastRenderedPageBreak/>
        <w:t xml:space="preserve">Tato smlouva nabývá platnosti dnem podpisu obou smluvních stran a </w:t>
      </w:r>
      <w:r w:rsidRPr="00620E77">
        <w:rPr>
          <w:b/>
        </w:rPr>
        <w:t xml:space="preserve">účinnosti </w:t>
      </w:r>
      <w:r>
        <w:rPr>
          <w:b/>
        </w:rPr>
        <w:t xml:space="preserve">pátým kalendářním dnem po </w:t>
      </w:r>
      <w:r w:rsidRPr="001B1B66">
        <w:rPr>
          <w:b/>
        </w:rPr>
        <w:t>uveřejnění</w:t>
      </w:r>
      <w:r>
        <w:t xml:space="preserve"> v registru smluv podle zákona o registru smluv a </w:t>
      </w:r>
      <w:r w:rsidRPr="009F5A27">
        <w:t xml:space="preserve">je uzavřena na dobu </w:t>
      </w:r>
      <w:r w:rsidR="00A154BC">
        <w:rPr>
          <w:b/>
        </w:rPr>
        <w:t>8</w:t>
      </w:r>
      <w:r>
        <w:t xml:space="preserve"> </w:t>
      </w:r>
      <w:r>
        <w:rPr>
          <w:b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0D34E3F0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8944D4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470AA1">
        <w:rPr>
          <w:snapToGrid w:val="0"/>
        </w:rPr>
        <w:t>po jednom pro každou smluvní stranu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</w:tcPr>
          <w:p w14:paraId="5D1A80AC" w14:textId="7C6FCF99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413AF3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07DADF1E" w14:textId="2E2B0B4B" w:rsidR="004A45B0" w:rsidRPr="00D722DC" w:rsidRDefault="00413AF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BussMed</w:t>
            </w:r>
            <w:proofErr w:type="spellEnd"/>
            <w:r>
              <w:rPr>
                <w:b/>
                <w:sz w:val="22"/>
                <w:szCs w:val="22"/>
              </w:rPr>
              <w:t xml:space="preserve"> s.r.o. </w:t>
            </w:r>
          </w:p>
          <w:p w14:paraId="72AE30CD" w14:textId="6894EAE8" w:rsidR="004A45B0" w:rsidRPr="00D722DC" w:rsidRDefault="0044362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Vikus</w:t>
            </w:r>
            <w:proofErr w:type="spellEnd"/>
            <w:r w:rsidR="00413AF3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0"/>
          <w:headerReference w:type="first" r:id="rId11"/>
          <w:footerReference w:type="first" r:id="rId12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3147"/>
        <w:gridCol w:w="2827"/>
        <w:gridCol w:w="1175"/>
        <w:gridCol w:w="1146"/>
        <w:gridCol w:w="900"/>
        <w:gridCol w:w="870"/>
        <w:gridCol w:w="1252"/>
        <w:gridCol w:w="863"/>
        <w:gridCol w:w="1341"/>
      </w:tblGrid>
      <w:tr w:rsidR="008620EA" w:rsidRPr="008620EA" w14:paraId="64A7521B" w14:textId="77777777" w:rsidTr="008620EA">
        <w:trPr>
          <w:trHeight w:val="24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6517" w14:textId="77777777" w:rsidR="008620EA" w:rsidRPr="008620EA" w:rsidRDefault="008620EA" w:rsidP="008620E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04C3" w14:textId="77777777" w:rsidR="008620EA" w:rsidRPr="008620EA" w:rsidRDefault="008620EA" w:rsidP="008620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8BC6" w14:textId="77777777" w:rsidR="008620EA" w:rsidRPr="008620EA" w:rsidRDefault="008620EA" w:rsidP="008620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0A16" w14:textId="77777777" w:rsidR="008620EA" w:rsidRPr="008620EA" w:rsidRDefault="008620EA" w:rsidP="008620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E20E" w14:textId="77777777" w:rsidR="008620EA" w:rsidRPr="008620EA" w:rsidRDefault="008620EA" w:rsidP="008620E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1ACA" w14:textId="77777777" w:rsidR="008620EA" w:rsidRPr="008620EA" w:rsidRDefault="008620EA" w:rsidP="008620E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79D8" w14:textId="77777777" w:rsidR="008620EA" w:rsidRPr="008620EA" w:rsidRDefault="008620EA" w:rsidP="008620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31BB" w14:textId="77777777" w:rsidR="008620EA" w:rsidRPr="008620EA" w:rsidRDefault="008620EA" w:rsidP="008620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99BF" w14:textId="77777777" w:rsidR="008620EA" w:rsidRPr="008620EA" w:rsidRDefault="008620EA" w:rsidP="008620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DA73" w14:textId="77777777" w:rsidR="008620EA" w:rsidRPr="008620EA" w:rsidRDefault="008620EA" w:rsidP="008620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0EA" w:rsidRPr="008620EA" w14:paraId="0E52DF00" w14:textId="77777777" w:rsidTr="008620EA">
        <w:trPr>
          <w:trHeight w:val="31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05B7F8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6F569F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5AEE14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 xml:space="preserve">Název 2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6C375A" w14:textId="7EE5F854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 xml:space="preserve">Cena za 1 kus </w:t>
            </w:r>
            <w:r w:rsidR="00E90E69">
              <w:rPr>
                <w:b/>
                <w:bCs/>
                <w:sz w:val="20"/>
                <w:szCs w:val="20"/>
              </w:rPr>
              <w:t>bez</w:t>
            </w:r>
            <w:r w:rsidRPr="008620EA">
              <w:rPr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94597A" w14:textId="5CE772CA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 xml:space="preserve">Cena </w:t>
            </w:r>
            <w:r w:rsidR="00E90E69">
              <w:rPr>
                <w:b/>
                <w:bCs/>
                <w:sz w:val="20"/>
                <w:szCs w:val="20"/>
              </w:rPr>
              <w:t xml:space="preserve">za 1 ks </w:t>
            </w:r>
            <w:r w:rsidRPr="008620EA">
              <w:rPr>
                <w:b/>
                <w:bCs/>
                <w:sz w:val="20"/>
                <w:szCs w:val="20"/>
              </w:rPr>
              <w:t>včetně DPH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3978BC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Sazba DPH v %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D98ED9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Kód VZP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4A10C5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Klasifikační třída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722BAA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Sériové číslo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01C0EB" w14:textId="77777777" w:rsidR="008620EA" w:rsidRPr="008620EA" w:rsidRDefault="008620EA" w:rsidP="008620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Charakter zboží</w:t>
            </w:r>
          </w:p>
        </w:tc>
      </w:tr>
      <w:tr w:rsidR="00BA110B" w:rsidRPr="008620EA" w14:paraId="6BE67D89" w14:textId="77777777" w:rsidTr="00BA110B">
        <w:trPr>
          <w:trHeight w:val="1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BE92" w14:textId="77777777" w:rsidR="00BA110B" w:rsidRPr="008620EA" w:rsidRDefault="00BA110B" w:rsidP="00BA110B">
            <w:pPr>
              <w:spacing w:line="240" w:lineRule="auto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2101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AA07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Centrifugal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blood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processing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bowl</w:t>
            </w:r>
            <w:proofErr w:type="spell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90DB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Odstředivá nádoba ke zpracování krve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4F1E2" w14:textId="13433DD1" w:rsidR="00BA110B" w:rsidRPr="008620EA" w:rsidRDefault="00900895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213,-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3A26" w14:textId="24538FA6" w:rsidR="00BA110B" w:rsidRPr="008620EA" w:rsidRDefault="00BA110B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3B5D8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620EA">
              <w:rPr>
                <w:b/>
                <w:bCs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0AD7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NENÍ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BF1B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6952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2196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SZM_OSTAT</w:t>
            </w:r>
          </w:p>
        </w:tc>
      </w:tr>
      <w:tr w:rsidR="00BA110B" w:rsidRPr="008620EA" w14:paraId="029B6277" w14:textId="77777777" w:rsidTr="00BA110B">
        <w:trPr>
          <w:trHeight w:val="62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EF54" w14:textId="77777777" w:rsidR="00BA110B" w:rsidRPr="008620EA" w:rsidRDefault="00BA110B" w:rsidP="00BA110B">
            <w:pPr>
              <w:spacing w:line="240" w:lineRule="auto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2127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150D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Apheresis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Tubing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Systeme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for</w:t>
            </w:r>
            <w:proofErr w:type="spellEnd"/>
            <w:r w:rsidRPr="008620EA">
              <w:rPr>
                <w:sz w:val="20"/>
                <w:szCs w:val="20"/>
              </w:rPr>
              <w:t xml:space="preserve"> SPC6+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5BA7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 xml:space="preserve">Souprava vstupních hadiček pro </w:t>
            </w:r>
            <w:proofErr w:type="spellStart"/>
            <w:r w:rsidRPr="008620EA">
              <w:rPr>
                <w:sz w:val="20"/>
                <w:szCs w:val="20"/>
              </w:rPr>
              <w:t>aferézu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8FDE4" w14:textId="519EB04E" w:rsidR="00BA110B" w:rsidRPr="008620EA" w:rsidRDefault="00900895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10725" w14:textId="3A8B9F47" w:rsidR="00BA110B" w:rsidRPr="008620EA" w:rsidRDefault="00BA110B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BDED2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620EA">
              <w:rPr>
                <w:b/>
                <w:bCs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09F6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NENÍ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FCE2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2DC4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NE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6C81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SZM_OSTAT</w:t>
            </w:r>
          </w:p>
        </w:tc>
      </w:tr>
      <w:tr w:rsidR="00BA110B" w:rsidRPr="008620EA" w14:paraId="6B8F5E45" w14:textId="77777777" w:rsidTr="00BA110B">
        <w:trPr>
          <w:trHeight w:val="416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1B4A" w14:textId="77777777" w:rsidR="00BA110B" w:rsidRPr="008620EA" w:rsidRDefault="00BA110B" w:rsidP="00BA110B">
            <w:pPr>
              <w:spacing w:line="240" w:lineRule="auto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2140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B83B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8620EA">
              <w:rPr>
                <w:sz w:val="20"/>
                <w:szCs w:val="20"/>
              </w:rPr>
              <w:t>Plasma</w:t>
            </w:r>
            <w:proofErr w:type="gram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Collecting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bag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91D0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Vak k odběru plazmy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AC55D" w14:textId="6ED85CB8" w:rsidR="00BA110B" w:rsidRPr="008620EA" w:rsidRDefault="00900895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22A5F" w14:textId="3298F678" w:rsidR="00BA110B" w:rsidRPr="008620EA" w:rsidRDefault="00BA110B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5116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620EA">
              <w:rPr>
                <w:b/>
                <w:bCs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372E9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NENÍ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3E24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E1B1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NE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0B75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SZM_OSTAT</w:t>
            </w:r>
          </w:p>
        </w:tc>
      </w:tr>
      <w:tr w:rsidR="00BA110B" w:rsidRPr="008620EA" w14:paraId="55445955" w14:textId="77777777" w:rsidTr="00BA110B">
        <w:trPr>
          <w:trHeight w:val="564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63F1" w14:textId="77777777" w:rsidR="00BA110B" w:rsidRPr="008620EA" w:rsidRDefault="00BA110B" w:rsidP="00BA110B">
            <w:pPr>
              <w:spacing w:line="240" w:lineRule="auto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S8621614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FD86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Sysloc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Needle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Arterial</w:t>
            </w:r>
            <w:proofErr w:type="spellEnd"/>
            <w:r w:rsidRPr="008620EA">
              <w:rPr>
                <w:sz w:val="20"/>
                <w:szCs w:val="20"/>
              </w:rPr>
              <w:t xml:space="preserve"> 1,6x25mmx30cm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E9F3" w14:textId="2DB2C08E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Odběrová j</w:t>
            </w:r>
            <w:r w:rsidRPr="008620EA">
              <w:rPr>
                <w:sz w:val="20"/>
                <w:szCs w:val="20"/>
              </w:rPr>
              <w:t>ehla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3FB2D" w14:textId="15BD3241" w:rsidR="00BA110B" w:rsidRPr="008620EA" w:rsidRDefault="00900895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B668" w14:textId="2785C42E" w:rsidR="00BA110B" w:rsidRPr="008620EA" w:rsidRDefault="00BA110B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D6B14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620EA">
              <w:rPr>
                <w:b/>
                <w:bCs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BA0D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NENÍ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721E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CA3B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NE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1166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SZM_OSTAT</w:t>
            </w:r>
          </w:p>
        </w:tc>
      </w:tr>
      <w:tr w:rsidR="00BA110B" w:rsidRPr="008620EA" w14:paraId="0DD7FE51" w14:textId="77777777" w:rsidTr="00BA110B">
        <w:trPr>
          <w:trHeight w:val="1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0592" w14:textId="77777777" w:rsidR="00BA110B" w:rsidRPr="008620EA" w:rsidRDefault="00BA110B" w:rsidP="00BA110B">
            <w:pPr>
              <w:spacing w:line="240" w:lineRule="auto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10407197-V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76E7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8620EA">
              <w:rPr>
                <w:sz w:val="20"/>
                <w:szCs w:val="20"/>
              </w:rPr>
              <w:t>4%</w:t>
            </w:r>
            <w:proofErr w:type="gram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Sodium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spellStart"/>
            <w:r w:rsidRPr="008620EA">
              <w:rPr>
                <w:sz w:val="20"/>
                <w:szCs w:val="20"/>
              </w:rPr>
              <w:t>Citrate</w:t>
            </w:r>
            <w:proofErr w:type="spellEnd"/>
            <w:r w:rsidRPr="008620EA">
              <w:rPr>
                <w:sz w:val="20"/>
                <w:szCs w:val="20"/>
              </w:rPr>
              <w:t xml:space="preserve">, 250mls in LDPE </w:t>
            </w:r>
            <w:proofErr w:type="spellStart"/>
            <w:r w:rsidRPr="008620EA">
              <w:rPr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2CA0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 xml:space="preserve">Roztok Natrium </w:t>
            </w:r>
            <w:proofErr w:type="spellStart"/>
            <w:r w:rsidRPr="008620EA">
              <w:rPr>
                <w:sz w:val="20"/>
                <w:szCs w:val="20"/>
              </w:rPr>
              <w:t>Citricum</w:t>
            </w:r>
            <w:proofErr w:type="spellEnd"/>
            <w:r w:rsidRPr="008620EA">
              <w:rPr>
                <w:sz w:val="20"/>
                <w:szCs w:val="20"/>
              </w:rPr>
              <w:t xml:space="preserve"> </w:t>
            </w:r>
            <w:proofErr w:type="gramStart"/>
            <w:r w:rsidRPr="008620EA">
              <w:rPr>
                <w:sz w:val="20"/>
                <w:szCs w:val="20"/>
              </w:rPr>
              <w:t>4%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8AC25" w14:textId="00544AF5" w:rsidR="00BA110B" w:rsidRPr="008620EA" w:rsidRDefault="00900895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10639" w14:textId="463EFCAB" w:rsidR="00BA110B" w:rsidRPr="008620EA" w:rsidRDefault="00BA110B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7913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620EA">
              <w:rPr>
                <w:b/>
                <w:bCs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8280" w14:textId="77777777" w:rsidR="00BA110B" w:rsidRPr="008620EA" w:rsidRDefault="00BA110B" w:rsidP="00BA11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NENÍ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55F9" w14:textId="77777777" w:rsidR="00BA110B" w:rsidRPr="008620EA" w:rsidRDefault="00BA110B" w:rsidP="00BA11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620EA">
              <w:rPr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F378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NE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1D69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SZM_OSTAT</w:t>
            </w:r>
          </w:p>
        </w:tc>
      </w:tr>
      <w:tr w:rsidR="00BA110B" w:rsidRPr="008620EA" w14:paraId="6B67768A" w14:textId="77777777" w:rsidTr="008620EA">
        <w:trPr>
          <w:trHeight w:val="650"/>
        </w:trPr>
        <w:tc>
          <w:tcPr>
            <w:tcW w:w="8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456B39" w14:textId="77777777" w:rsidR="00BA110B" w:rsidRPr="008620EA" w:rsidRDefault="00BA110B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620EA">
              <w:rPr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4E09" w14:textId="71872ADC" w:rsidR="00BA110B" w:rsidRPr="008620EA" w:rsidRDefault="00BA110B" w:rsidP="00BA110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558,88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916C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DA7E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C9B9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8FA8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E484" w14:textId="77777777" w:rsidR="00BA110B" w:rsidRPr="008620EA" w:rsidRDefault="00BA110B" w:rsidP="00BA11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20EA">
              <w:rPr>
                <w:sz w:val="20"/>
                <w:szCs w:val="20"/>
              </w:rPr>
              <w:t> </w:t>
            </w:r>
          </w:p>
        </w:tc>
      </w:tr>
    </w:tbl>
    <w:p w14:paraId="6B5F403C" w14:textId="4ABE2CC0" w:rsidR="00AA34DF" w:rsidRDefault="00AA34DF" w:rsidP="008620EA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B117" w14:textId="1C2208A7" w:rsidR="00443629" w:rsidRDefault="00443629">
    <w:pPr>
      <w:pStyle w:val="Zhlav"/>
    </w:pPr>
    <w:r>
      <w:t xml:space="preserve">                                                                                                                               KP/3448/2025/La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8675797">
    <w:abstractNumId w:val="13"/>
  </w:num>
  <w:num w:numId="2" w16cid:durableId="1043477925">
    <w:abstractNumId w:val="8"/>
  </w:num>
  <w:num w:numId="3" w16cid:durableId="757143650">
    <w:abstractNumId w:val="0"/>
  </w:num>
  <w:num w:numId="4" w16cid:durableId="1869296733">
    <w:abstractNumId w:val="9"/>
  </w:num>
  <w:num w:numId="5" w16cid:durableId="1082722657">
    <w:abstractNumId w:val="4"/>
  </w:num>
  <w:num w:numId="6" w16cid:durableId="1849254243">
    <w:abstractNumId w:val="10"/>
  </w:num>
  <w:num w:numId="7" w16cid:durableId="1231161012">
    <w:abstractNumId w:val="8"/>
  </w:num>
  <w:num w:numId="8" w16cid:durableId="790779076">
    <w:abstractNumId w:val="8"/>
  </w:num>
  <w:num w:numId="9" w16cid:durableId="289630591">
    <w:abstractNumId w:val="8"/>
  </w:num>
  <w:num w:numId="10" w16cid:durableId="379280615">
    <w:abstractNumId w:val="8"/>
  </w:num>
  <w:num w:numId="11" w16cid:durableId="1325359507">
    <w:abstractNumId w:val="7"/>
  </w:num>
  <w:num w:numId="12" w16cid:durableId="628821734">
    <w:abstractNumId w:val="3"/>
  </w:num>
  <w:num w:numId="13" w16cid:durableId="1302881151">
    <w:abstractNumId w:val="12"/>
  </w:num>
  <w:num w:numId="14" w16cid:durableId="1531214294">
    <w:abstractNumId w:val="2"/>
  </w:num>
  <w:num w:numId="15" w16cid:durableId="896891275">
    <w:abstractNumId w:val="14"/>
  </w:num>
  <w:num w:numId="16" w16cid:durableId="749424623">
    <w:abstractNumId w:val="5"/>
  </w:num>
  <w:num w:numId="17" w16cid:durableId="1763331104">
    <w:abstractNumId w:val="11"/>
  </w:num>
  <w:num w:numId="18" w16cid:durableId="824592491">
    <w:abstractNumId w:val="6"/>
  </w:num>
  <w:num w:numId="19" w16cid:durableId="1064571036">
    <w:abstractNumId w:val="8"/>
  </w:num>
  <w:num w:numId="20" w16cid:durableId="559831223">
    <w:abstractNumId w:val="8"/>
  </w:num>
  <w:num w:numId="21" w16cid:durableId="1407605752">
    <w:abstractNumId w:val="1"/>
  </w:num>
  <w:num w:numId="22" w16cid:durableId="1199972897">
    <w:abstractNumId w:val="8"/>
  </w:num>
  <w:num w:numId="23" w16cid:durableId="1709261562">
    <w:abstractNumId w:val="8"/>
  </w:num>
  <w:num w:numId="24" w16cid:durableId="1051348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1580871">
    <w:abstractNumId w:val="8"/>
  </w:num>
  <w:num w:numId="26" w16cid:durableId="889416186">
    <w:abstractNumId w:val="8"/>
  </w:num>
  <w:num w:numId="27" w16cid:durableId="933167592">
    <w:abstractNumId w:val="8"/>
  </w:num>
  <w:num w:numId="28" w16cid:durableId="195822815">
    <w:abstractNumId w:val="8"/>
  </w:num>
  <w:num w:numId="29" w16cid:durableId="1748786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27920"/>
    <w:rsid w:val="00030B09"/>
    <w:rsid w:val="0003714D"/>
    <w:rsid w:val="0003716A"/>
    <w:rsid w:val="00055A9C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383E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090A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65D0E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1C44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1A69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4F28"/>
    <w:rsid w:val="003F567B"/>
    <w:rsid w:val="003F5CF4"/>
    <w:rsid w:val="00403A28"/>
    <w:rsid w:val="0040619A"/>
    <w:rsid w:val="004066A0"/>
    <w:rsid w:val="00411036"/>
    <w:rsid w:val="0041220C"/>
    <w:rsid w:val="00413AF3"/>
    <w:rsid w:val="00414ABF"/>
    <w:rsid w:val="00416208"/>
    <w:rsid w:val="004165DB"/>
    <w:rsid w:val="00422172"/>
    <w:rsid w:val="00430BDA"/>
    <w:rsid w:val="00432606"/>
    <w:rsid w:val="00434D5D"/>
    <w:rsid w:val="00437306"/>
    <w:rsid w:val="00443629"/>
    <w:rsid w:val="004444EB"/>
    <w:rsid w:val="00451B43"/>
    <w:rsid w:val="00453ACB"/>
    <w:rsid w:val="00456DFF"/>
    <w:rsid w:val="004601D0"/>
    <w:rsid w:val="0046392A"/>
    <w:rsid w:val="00465985"/>
    <w:rsid w:val="004672FC"/>
    <w:rsid w:val="00470AA1"/>
    <w:rsid w:val="004756DA"/>
    <w:rsid w:val="004924D3"/>
    <w:rsid w:val="00492818"/>
    <w:rsid w:val="00494744"/>
    <w:rsid w:val="004953EF"/>
    <w:rsid w:val="0049720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64CE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C68E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0A54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46DE2"/>
    <w:rsid w:val="0075495D"/>
    <w:rsid w:val="00754D50"/>
    <w:rsid w:val="00763381"/>
    <w:rsid w:val="00763C47"/>
    <w:rsid w:val="0076415C"/>
    <w:rsid w:val="00765CC7"/>
    <w:rsid w:val="00774539"/>
    <w:rsid w:val="00774DE7"/>
    <w:rsid w:val="00776CB0"/>
    <w:rsid w:val="00776DBD"/>
    <w:rsid w:val="00786DD8"/>
    <w:rsid w:val="007930D9"/>
    <w:rsid w:val="00797312"/>
    <w:rsid w:val="007A0F90"/>
    <w:rsid w:val="007A32F9"/>
    <w:rsid w:val="007A3EDD"/>
    <w:rsid w:val="007A4E2B"/>
    <w:rsid w:val="007B0F14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0EA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4D4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0895"/>
    <w:rsid w:val="009071B1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154B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572F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AFD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31EE"/>
    <w:rsid w:val="00B86A07"/>
    <w:rsid w:val="00B92D38"/>
    <w:rsid w:val="00B936A8"/>
    <w:rsid w:val="00B945BB"/>
    <w:rsid w:val="00B9584D"/>
    <w:rsid w:val="00B96027"/>
    <w:rsid w:val="00BA110B"/>
    <w:rsid w:val="00BA20F2"/>
    <w:rsid w:val="00BA7DC7"/>
    <w:rsid w:val="00BB29E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2713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0C99"/>
    <w:rsid w:val="00D01704"/>
    <w:rsid w:val="00D04AD5"/>
    <w:rsid w:val="00D050E6"/>
    <w:rsid w:val="00D0617B"/>
    <w:rsid w:val="00D064ED"/>
    <w:rsid w:val="00D14C81"/>
    <w:rsid w:val="00D15E7A"/>
    <w:rsid w:val="00D17C9B"/>
    <w:rsid w:val="00D20310"/>
    <w:rsid w:val="00D221A4"/>
    <w:rsid w:val="00D27798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3B7A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9ED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0E69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338"/>
    <w:rsid w:val="00F93A20"/>
    <w:rsid w:val="00F94508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12D7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Nevyeenzmnka">
    <w:name w:val="Unresolved Mention"/>
    <w:basedOn w:val="Standardnpsmoodstavce"/>
    <w:uiPriority w:val="99"/>
    <w:semiHidden/>
    <w:unhideWhenUsed/>
    <w:rsid w:val="0041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bussmed@bussme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2025-11-04T07:54:00Z</dcterms:created>
  <dcterms:modified xsi:type="dcterms:W3CDTF">2025-11-04T07:57:00Z</dcterms:modified>
</cp:coreProperties>
</file>