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DDB1" w14:textId="4444689D" w:rsidR="00B91DB2" w:rsidRPr="00E95567" w:rsidRDefault="006F03EB" w:rsidP="00DB1C4C">
      <w:pPr>
        <w:spacing w:after="120"/>
        <w:jc w:val="center"/>
        <w:rPr>
          <w:rFonts w:ascii="Verdana" w:hAnsi="Verdana"/>
          <w:b/>
          <w:sz w:val="24"/>
        </w:rPr>
      </w:pPr>
      <w:bookmarkStart w:id="0" w:name="_Hlk188444742"/>
      <w:r>
        <w:rPr>
          <w:rFonts w:ascii="Verdana" w:hAnsi="Verdana"/>
          <w:b/>
          <w:sz w:val="24"/>
        </w:rPr>
        <w:t xml:space="preserve">Dodatek č. 1 k </w:t>
      </w:r>
      <w:r w:rsidR="00BD26A1" w:rsidRPr="00E95567">
        <w:rPr>
          <w:rFonts w:ascii="Verdana" w:hAnsi="Verdana"/>
          <w:b/>
          <w:sz w:val="24"/>
        </w:rPr>
        <w:t>Dohod</w:t>
      </w:r>
      <w:r>
        <w:rPr>
          <w:rFonts w:ascii="Verdana" w:hAnsi="Verdana"/>
          <w:b/>
          <w:sz w:val="24"/>
        </w:rPr>
        <w:t>ě</w:t>
      </w:r>
      <w:r w:rsidR="00BE5BB3">
        <w:rPr>
          <w:rFonts w:ascii="Verdana" w:hAnsi="Verdana"/>
          <w:b/>
          <w:sz w:val="24"/>
        </w:rPr>
        <w:t xml:space="preserve"> </w:t>
      </w:r>
      <w:r w:rsidR="00BD26A1" w:rsidRPr="00E95567">
        <w:rPr>
          <w:rFonts w:ascii="Verdana" w:hAnsi="Verdana"/>
          <w:b/>
          <w:sz w:val="24"/>
        </w:rPr>
        <w:t>o</w:t>
      </w:r>
      <w:r w:rsidR="005A6168">
        <w:rPr>
          <w:rFonts w:ascii="Verdana" w:hAnsi="Verdana"/>
          <w:b/>
          <w:sz w:val="24"/>
        </w:rPr>
        <w:t> </w:t>
      </w:r>
      <w:r w:rsidR="00BD26A1" w:rsidRPr="00E95567">
        <w:rPr>
          <w:rFonts w:ascii="Verdana" w:hAnsi="Verdana"/>
          <w:b/>
          <w:sz w:val="24"/>
        </w:rPr>
        <w:t xml:space="preserve">spolupráci při realizaci </w:t>
      </w:r>
      <w:r w:rsidR="00DB1C4C" w:rsidRPr="00E95567">
        <w:rPr>
          <w:rFonts w:ascii="Verdana" w:hAnsi="Verdana"/>
          <w:b/>
          <w:sz w:val="24"/>
        </w:rPr>
        <w:t xml:space="preserve">projektu </w:t>
      </w:r>
    </w:p>
    <w:p w14:paraId="4143D091" w14:textId="17ADFF24" w:rsidR="00DB1C4C" w:rsidRDefault="00B91DB2" w:rsidP="00DB1C4C">
      <w:pPr>
        <w:spacing w:after="120"/>
        <w:jc w:val="center"/>
        <w:rPr>
          <w:rFonts w:ascii="Verdana" w:hAnsi="Verdana"/>
          <w:b/>
          <w:sz w:val="24"/>
        </w:rPr>
      </w:pPr>
      <w:r w:rsidRPr="00E95567">
        <w:rPr>
          <w:rFonts w:ascii="Verdana" w:hAnsi="Verdana"/>
          <w:b/>
          <w:sz w:val="24"/>
        </w:rPr>
        <w:t xml:space="preserve">„Zhotovení </w:t>
      </w:r>
      <w:r w:rsidR="00494C7E">
        <w:rPr>
          <w:rFonts w:ascii="Verdana" w:hAnsi="Verdana"/>
          <w:b/>
          <w:sz w:val="24"/>
        </w:rPr>
        <w:t>Databáze energetické náročnosti</w:t>
      </w:r>
      <w:r w:rsidRPr="00E95567">
        <w:rPr>
          <w:rFonts w:ascii="Verdana" w:hAnsi="Verdana"/>
          <w:b/>
          <w:sz w:val="24"/>
        </w:rPr>
        <w:t xml:space="preserve"> </w:t>
      </w:r>
      <w:bookmarkEnd w:id="0"/>
      <w:r w:rsidRPr="00E95567">
        <w:rPr>
          <w:rFonts w:ascii="Verdana" w:hAnsi="Verdana"/>
          <w:b/>
          <w:sz w:val="24"/>
        </w:rPr>
        <w:t>“</w:t>
      </w:r>
      <w:r w:rsidR="00DB1C4C" w:rsidRPr="00E95567">
        <w:rPr>
          <w:rFonts w:ascii="Verdana" w:hAnsi="Verdana"/>
          <w:b/>
          <w:sz w:val="24"/>
        </w:rPr>
        <w:t xml:space="preserve"> </w:t>
      </w:r>
    </w:p>
    <w:p w14:paraId="1BB7B703" w14:textId="364C0BF9" w:rsidR="008E0ACF" w:rsidRPr="00E95567" w:rsidRDefault="008E0ACF" w:rsidP="00DB1C4C">
      <w:pPr>
        <w:spacing w:after="120"/>
        <w:jc w:val="center"/>
        <w:rPr>
          <w:rFonts w:ascii="Verdana" w:hAnsi="Verdana"/>
          <w:b/>
          <w:sz w:val="24"/>
        </w:rPr>
      </w:pPr>
      <w:bookmarkStart w:id="1" w:name="_Hlk188444754"/>
      <w:r>
        <w:rPr>
          <w:rFonts w:ascii="Verdana" w:hAnsi="Verdana"/>
          <w:b/>
          <w:sz w:val="24"/>
        </w:rPr>
        <w:t>(Projekt DEN)</w:t>
      </w:r>
    </w:p>
    <w:bookmarkEnd w:id="1"/>
    <w:p w14:paraId="18F4FC6D" w14:textId="77777777" w:rsidR="00BD26A1" w:rsidRPr="00E95567" w:rsidRDefault="00BD26A1" w:rsidP="00FB0598">
      <w:pPr>
        <w:spacing w:after="120"/>
        <w:jc w:val="center"/>
        <w:rPr>
          <w:rFonts w:ascii="Verdana" w:hAnsi="Verdana"/>
        </w:rPr>
      </w:pPr>
    </w:p>
    <w:p w14:paraId="0984AFFA" w14:textId="197A00FA" w:rsidR="00BD26A1" w:rsidRPr="00E95567" w:rsidRDefault="00AC4C83" w:rsidP="00AC4C83">
      <w:pPr>
        <w:spacing w:after="120"/>
        <w:rPr>
          <w:rFonts w:ascii="Verdana" w:hAnsi="Verdana"/>
        </w:rPr>
      </w:pPr>
      <w:r>
        <w:rPr>
          <w:rFonts w:ascii="Verdana" w:hAnsi="Verdana"/>
        </w:rPr>
        <w:t>Smluvní strany</w:t>
      </w:r>
      <w:r w:rsidR="00BD26A1" w:rsidRPr="00E95567">
        <w:rPr>
          <w:rFonts w:ascii="Verdana" w:hAnsi="Verdana"/>
        </w:rPr>
        <w:t xml:space="preserve"> </w:t>
      </w:r>
    </w:p>
    <w:p w14:paraId="425FBD25" w14:textId="77777777" w:rsidR="00BD26A1" w:rsidRPr="00E95567" w:rsidRDefault="00BD26A1" w:rsidP="00A03394">
      <w:pPr>
        <w:spacing w:after="120"/>
        <w:jc w:val="center"/>
        <w:rPr>
          <w:rFonts w:ascii="Verdana" w:hAnsi="Verdana"/>
        </w:rPr>
      </w:pPr>
    </w:p>
    <w:p w14:paraId="6DE81E8A" w14:textId="7CE3E135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(1) </w:t>
      </w:r>
      <w:bookmarkStart w:id="2" w:name="_Hlk188444696"/>
      <w:r w:rsidRPr="00E95567">
        <w:rPr>
          <w:rFonts w:ascii="Verdana" w:hAnsi="Verdana"/>
          <w:b/>
        </w:rPr>
        <w:t>Ministerstvo průmyslu a</w:t>
      </w:r>
      <w:r w:rsidR="005A6168">
        <w:rPr>
          <w:rFonts w:ascii="Verdana" w:hAnsi="Verdana"/>
          <w:b/>
        </w:rPr>
        <w:t> </w:t>
      </w:r>
      <w:r w:rsidRPr="00E95567">
        <w:rPr>
          <w:rFonts w:ascii="Verdana" w:hAnsi="Verdana"/>
          <w:b/>
        </w:rPr>
        <w:t>obchodu</w:t>
      </w:r>
      <w:bookmarkEnd w:id="2"/>
    </w:p>
    <w:p w14:paraId="7CE875C3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sídlo: 110 15 Praha 1, Na Františku 32</w:t>
      </w:r>
    </w:p>
    <w:p w14:paraId="7CFAADC0" w14:textId="346B5FE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zastoupené: </w:t>
      </w:r>
      <w:r w:rsidR="00985EAD">
        <w:rPr>
          <w:rFonts w:ascii="Verdana" w:hAnsi="Verdana"/>
        </w:rPr>
        <w:t>Ing. et Ing. René</w:t>
      </w:r>
      <w:r w:rsidR="008E324E">
        <w:rPr>
          <w:rFonts w:ascii="Verdana" w:hAnsi="Verdana"/>
        </w:rPr>
        <w:t>m</w:t>
      </w:r>
      <w:r w:rsidR="00985EAD">
        <w:rPr>
          <w:rFonts w:ascii="Verdana" w:hAnsi="Verdana"/>
        </w:rPr>
        <w:t xml:space="preserve"> </w:t>
      </w:r>
      <w:r w:rsidR="00E664A0">
        <w:rPr>
          <w:rFonts w:ascii="Verdana" w:hAnsi="Verdana"/>
        </w:rPr>
        <w:t>Nedělou</w:t>
      </w:r>
      <w:r w:rsidR="00985EAD">
        <w:rPr>
          <w:rFonts w:ascii="Verdana" w:hAnsi="Verdana"/>
        </w:rPr>
        <w:t>, vrchní</w:t>
      </w:r>
      <w:r w:rsidR="00E664A0">
        <w:rPr>
          <w:rFonts w:ascii="Verdana" w:hAnsi="Verdana"/>
        </w:rPr>
        <w:t>m</w:t>
      </w:r>
      <w:r w:rsidR="00985EAD">
        <w:rPr>
          <w:rFonts w:ascii="Verdana" w:hAnsi="Verdana"/>
        </w:rPr>
        <w:t xml:space="preserve"> ředitel</w:t>
      </w:r>
      <w:r w:rsidR="00E664A0">
        <w:rPr>
          <w:rFonts w:ascii="Verdana" w:hAnsi="Verdana"/>
        </w:rPr>
        <w:t>em</w:t>
      </w:r>
      <w:r w:rsidRPr="00E95567">
        <w:rPr>
          <w:rFonts w:ascii="Verdana" w:hAnsi="Verdana"/>
        </w:rPr>
        <w:t xml:space="preserve"> </w:t>
      </w:r>
      <w:r w:rsidR="00985EAD">
        <w:rPr>
          <w:rFonts w:ascii="Verdana" w:hAnsi="Verdana"/>
        </w:rPr>
        <w:t>sekce energetiky</w:t>
      </w:r>
    </w:p>
    <w:p w14:paraId="37E89EF4" w14:textId="7BFD3BDC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IČ</w:t>
      </w:r>
      <w:r w:rsidR="00DB1C4C" w:rsidRPr="00E95567">
        <w:rPr>
          <w:rFonts w:ascii="Verdana" w:hAnsi="Verdana"/>
        </w:rPr>
        <w:t>O</w:t>
      </w:r>
      <w:r w:rsidRPr="00E95567">
        <w:rPr>
          <w:rFonts w:ascii="Verdana" w:hAnsi="Verdana"/>
        </w:rPr>
        <w:t>: 47609109</w:t>
      </w:r>
    </w:p>
    <w:p w14:paraId="7226C862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DIČ: CZ 47609109</w:t>
      </w:r>
    </w:p>
    <w:p w14:paraId="54E25E52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bankovní spojení: ČNB, pob. Praha</w:t>
      </w:r>
    </w:p>
    <w:p w14:paraId="0B496069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číslo účtu: 19-1525001/0710</w:t>
      </w:r>
    </w:p>
    <w:p w14:paraId="19044FD9" w14:textId="2B92EF8F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(dále jen </w:t>
      </w:r>
      <w:r w:rsidR="00AC4C83">
        <w:rPr>
          <w:rFonts w:ascii="Verdana" w:hAnsi="Verdana"/>
        </w:rPr>
        <w:t>„</w:t>
      </w:r>
      <w:r w:rsidR="00B91DB2" w:rsidRPr="00E95567">
        <w:rPr>
          <w:rFonts w:ascii="Verdana" w:hAnsi="Verdana"/>
          <w:b/>
          <w:bCs/>
        </w:rPr>
        <w:t>Ministerstvo</w:t>
      </w:r>
      <w:r w:rsidR="00AC4C83">
        <w:rPr>
          <w:rFonts w:ascii="Verdana" w:hAnsi="Verdana"/>
        </w:rPr>
        <w:t>“</w:t>
      </w:r>
      <w:r w:rsidRPr="00E95567">
        <w:rPr>
          <w:rFonts w:ascii="Verdana" w:hAnsi="Verdana"/>
        </w:rPr>
        <w:t>)</w:t>
      </w:r>
    </w:p>
    <w:p w14:paraId="5577F80B" w14:textId="77777777" w:rsidR="00BD26A1" w:rsidRPr="00E95567" w:rsidRDefault="00BD26A1" w:rsidP="00A03394">
      <w:pPr>
        <w:spacing w:after="120"/>
        <w:jc w:val="center"/>
        <w:rPr>
          <w:rFonts w:ascii="Verdana" w:hAnsi="Verdana"/>
        </w:rPr>
      </w:pPr>
      <w:r w:rsidRPr="00E95567">
        <w:rPr>
          <w:rFonts w:ascii="Verdana" w:hAnsi="Verdana"/>
        </w:rPr>
        <w:t>a</w:t>
      </w:r>
    </w:p>
    <w:p w14:paraId="7673B162" w14:textId="1BE215A5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(2)</w:t>
      </w:r>
      <w:r w:rsidRPr="00E95567">
        <w:rPr>
          <w:rFonts w:ascii="Verdana" w:hAnsi="Verdana"/>
          <w:b/>
        </w:rPr>
        <w:t xml:space="preserve"> </w:t>
      </w:r>
      <w:bookmarkStart w:id="3" w:name="_Hlk188444840"/>
      <w:r w:rsidRPr="00E95567">
        <w:rPr>
          <w:rFonts w:ascii="Verdana" w:hAnsi="Verdana"/>
          <w:b/>
        </w:rPr>
        <w:t>Úřad pro technickou normalizaci, metrologii a</w:t>
      </w:r>
      <w:r w:rsidR="005A6168">
        <w:rPr>
          <w:rFonts w:ascii="Verdana" w:hAnsi="Verdana"/>
          <w:b/>
        </w:rPr>
        <w:t> </w:t>
      </w:r>
      <w:r w:rsidRPr="00E95567">
        <w:rPr>
          <w:rFonts w:ascii="Verdana" w:hAnsi="Verdana"/>
          <w:b/>
        </w:rPr>
        <w:t>státní zkušebnictví, organizační složka státu</w:t>
      </w:r>
      <w:bookmarkEnd w:id="3"/>
    </w:p>
    <w:p w14:paraId="4F68F250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sídlo: 110 00 Praha 1, Biskupský dvůr 1148/5</w:t>
      </w:r>
    </w:p>
    <w:p w14:paraId="0824CEB1" w14:textId="4D52DB91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zastoupený: </w:t>
      </w:r>
      <w:r w:rsidR="00DB1C4C" w:rsidRPr="00E95567">
        <w:rPr>
          <w:rFonts w:ascii="Verdana" w:hAnsi="Verdana"/>
        </w:rPr>
        <w:t>Ing. Jiřím Kratochvílem</w:t>
      </w:r>
      <w:r w:rsidRPr="00E95567">
        <w:rPr>
          <w:rFonts w:ascii="Verdana" w:hAnsi="Verdana"/>
        </w:rPr>
        <w:t>, předsedou Úřadu pro technickou normalizaci, metrologii a</w:t>
      </w:r>
      <w:r w:rsidR="005A6168">
        <w:rPr>
          <w:rFonts w:ascii="Verdana" w:hAnsi="Verdana"/>
        </w:rPr>
        <w:t> </w:t>
      </w:r>
      <w:r w:rsidRPr="00E95567">
        <w:rPr>
          <w:rFonts w:ascii="Verdana" w:hAnsi="Verdana"/>
        </w:rPr>
        <w:t>státní zkušebnictví</w:t>
      </w:r>
    </w:p>
    <w:p w14:paraId="071A17CC" w14:textId="3CEE7463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IČ</w:t>
      </w:r>
      <w:r w:rsidR="00DB1C4C" w:rsidRPr="00E95567">
        <w:rPr>
          <w:rFonts w:ascii="Verdana" w:hAnsi="Verdana"/>
        </w:rPr>
        <w:t>O</w:t>
      </w:r>
      <w:r w:rsidRPr="00E95567">
        <w:rPr>
          <w:rFonts w:ascii="Verdana" w:hAnsi="Verdana"/>
        </w:rPr>
        <w:t>: 48135267</w:t>
      </w:r>
    </w:p>
    <w:p w14:paraId="0F0FA921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bankovní spojení: ČNB, pob. Praha</w:t>
      </w:r>
    </w:p>
    <w:p w14:paraId="66D81D6B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číslo účtu: 10014-21622001/0710</w:t>
      </w:r>
    </w:p>
    <w:p w14:paraId="0BED8830" w14:textId="3818592C" w:rsidR="00BD26A1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(dále jen </w:t>
      </w:r>
      <w:r w:rsidR="00AC4C83">
        <w:rPr>
          <w:rFonts w:ascii="Verdana" w:hAnsi="Verdana"/>
        </w:rPr>
        <w:t>„</w:t>
      </w:r>
      <w:r w:rsidRPr="00E95567">
        <w:rPr>
          <w:rFonts w:ascii="Verdana" w:hAnsi="Verdana"/>
          <w:b/>
        </w:rPr>
        <w:t>Ú</w:t>
      </w:r>
      <w:r w:rsidR="00B91DB2" w:rsidRPr="00E95567">
        <w:rPr>
          <w:rFonts w:ascii="Verdana" w:hAnsi="Verdana"/>
          <w:b/>
        </w:rPr>
        <w:t>řad</w:t>
      </w:r>
      <w:r w:rsidR="00AC4C83">
        <w:rPr>
          <w:rFonts w:ascii="Verdana" w:hAnsi="Verdana"/>
        </w:rPr>
        <w:t>“</w:t>
      </w:r>
      <w:r w:rsidRPr="00E95567">
        <w:rPr>
          <w:rFonts w:ascii="Verdana" w:hAnsi="Verdana"/>
        </w:rPr>
        <w:t>)</w:t>
      </w:r>
    </w:p>
    <w:p w14:paraId="29BB323E" w14:textId="77777777" w:rsidR="00E13CBB" w:rsidRDefault="00E13CBB" w:rsidP="00A03394">
      <w:pPr>
        <w:spacing w:after="120"/>
        <w:jc w:val="both"/>
        <w:rPr>
          <w:rFonts w:ascii="Verdana" w:hAnsi="Verdana"/>
        </w:rPr>
      </w:pPr>
    </w:p>
    <w:p w14:paraId="1E85EF00" w14:textId="70E28032" w:rsidR="009205FC" w:rsidRDefault="009205FC" w:rsidP="00A03394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Za účasti jako vedlejšího účastníka</w:t>
      </w:r>
    </w:p>
    <w:p w14:paraId="20538780" w14:textId="43BDC0CE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(</w:t>
      </w:r>
      <w:r>
        <w:rPr>
          <w:rFonts w:ascii="Verdana" w:hAnsi="Verdana"/>
        </w:rPr>
        <w:t>3</w:t>
      </w:r>
      <w:r w:rsidRPr="00E95567">
        <w:rPr>
          <w:rFonts w:ascii="Verdana" w:hAnsi="Verdana"/>
        </w:rPr>
        <w:t>)</w:t>
      </w:r>
      <w:r w:rsidRPr="00E95567">
        <w:rPr>
          <w:rFonts w:ascii="Verdana" w:hAnsi="Verdana"/>
          <w:b/>
        </w:rPr>
        <w:t xml:space="preserve"> </w:t>
      </w:r>
      <w:r w:rsidR="009205FC" w:rsidRPr="009205FC">
        <w:rPr>
          <w:rFonts w:ascii="Verdana" w:hAnsi="Verdana"/>
          <w:b/>
        </w:rPr>
        <w:t>Česká agentura pro standardizaci</w:t>
      </w:r>
      <w:r w:rsidR="009205FC">
        <w:rPr>
          <w:rFonts w:ascii="Verdana" w:hAnsi="Verdana"/>
          <w:b/>
        </w:rPr>
        <w:t>, státní příspěvková organizace</w:t>
      </w:r>
    </w:p>
    <w:p w14:paraId="3F81F990" w14:textId="77777777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sídlo: 110 00 Praha 1, Biskupský dvůr 1148/5</w:t>
      </w:r>
    </w:p>
    <w:p w14:paraId="784FEEC3" w14:textId="33FE08C4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zastoupený: </w:t>
      </w:r>
      <w:r w:rsidR="00AA5BD9">
        <w:rPr>
          <w:rFonts w:ascii="Verdana" w:hAnsi="Verdana"/>
        </w:rPr>
        <w:t>Mgr. Zdeňkem Veselým, generálním ředitelem</w:t>
      </w:r>
    </w:p>
    <w:p w14:paraId="2D87ACCC" w14:textId="20B9AC40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IČO: </w:t>
      </w:r>
      <w:r w:rsidR="009205FC" w:rsidRPr="009205FC">
        <w:rPr>
          <w:rFonts w:ascii="Verdana" w:hAnsi="Verdana"/>
        </w:rPr>
        <w:t>06578705</w:t>
      </w:r>
    </w:p>
    <w:p w14:paraId="48FCCE9F" w14:textId="77777777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bankovní spojení: ČNB, pob. Praha</w:t>
      </w:r>
    </w:p>
    <w:p w14:paraId="258F92AA" w14:textId="0DCDBD54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číslo účtu: </w:t>
      </w:r>
      <w:r w:rsidR="00AA5BD9" w:rsidRPr="00AA5BD9">
        <w:rPr>
          <w:rFonts w:ascii="Verdana" w:hAnsi="Verdana"/>
        </w:rPr>
        <w:t>837011/0710</w:t>
      </w:r>
    </w:p>
    <w:p w14:paraId="0FFA42A0" w14:textId="17B94756" w:rsidR="00E13CBB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(dále jen </w:t>
      </w:r>
      <w:r>
        <w:rPr>
          <w:rFonts w:ascii="Verdana" w:hAnsi="Verdana"/>
        </w:rPr>
        <w:t>„</w:t>
      </w:r>
      <w:r w:rsidR="00EA4A8D">
        <w:rPr>
          <w:rFonts w:ascii="Verdana" w:hAnsi="Verdana"/>
          <w:b/>
        </w:rPr>
        <w:t>Agentura</w:t>
      </w:r>
      <w:r>
        <w:rPr>
          <w:rFonts w:ascii="Verdana" w:hAnsi="Verdana"/>
        </w:rPr>
        <w:t>“</w:t>
      </w:r>
      <w:r w:rsidR="009205FC">
        <w:rPr>
          <w:rFonts w:ascii="Verdana" w:hAnsi="Verdana"/>
        </w:rPr>
        <w:t>, nebo „</w:t>
      </w:r>
      <w:r w:rsidR="009205FC" w:rsidRPr="005619E3">
        <w:rPr>
          <w:rFonts w:ascii="Verdana" w:hAnsi="Verdana"/>
          <w:b/>
          <w:bCs/>
        </w:rPr>
        <w:t>Vedlejší účastník</w:t>
      </w:r>
      <w:r w:rsidR="009205FC">
        <w:rPr>
          <w:rFonts w:ascii="Verdana" w:hAnsi="Verdana"/>
        </w:rPr>
        <w:t>“</w:t>
      </w:r>
      <w:r w:rsidRPr="00E95567">
        <w:rPr>
          <w:rFonts w:ascii="Verdana" w:hAnsi="Verdana"/>
        </w:rPr>
        <w:t>)</w:t>
      </w:r>
    </w:p>
    <w:p w14:paraId="34E3CB16" w14:textId="77777777" w:rsidR="00E13CBB" w:rsidRDefault="00E13CBB" w:rsidP="00A03394">
      <w:pPr>
        <w:spacing w:after="120"/>
        <w:jc w:val="both"/>
        <w:rPr>
          <w:rFonts w:ascii="Verdana" w:hAnsi="Verdana"/>
        </w:rPr>
      </w:pPr>
    </w:p>
    <w:p w14:paraId="25434988" w14:textId="3CE1145D" w:rsidR="00AC4C83" w:rsidRDefault="00AC4C83" w:rsidP="00A03394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(Ministerstvo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Úřad </w:t>
      </w:r>
      <w:r w:rsidR="00AA5BD9">
        <w:rPr>
          <w:rFonts w:ascii="Verdana" w:hAnsi="Verdana"/>
        </w:rPr>
        <w:t>a</w:t>
      </w:r>
      <w:r w:rsidR="005A6168">
        <w:rPr>
          <w:rFonts w:ascii="Verdana" w:hAnsi="Verdana"/>
        </w:rPr>
        <w:t> </w:t>
      </w:r>
      <w:r w:rsidR="00EA4A8D">
        <w:rPr>
          <w:rFonts w:ascii="Verdana" w:hAnsi="Verdana"/>
        </w:rPr>
        <w:t>Agentura</w:t>
      </w:r>
      <w:r w:rsidR="00AA5BD9">
        <w:rPr>
          <w:rFonts w:ascii="Verdana" w:hAnsi="Verdana"/>
        </w:rPr>
        <w:t xml:space="preserve"> </w:t>
      </w:r>
      <w:r>
        <w:rPr>
          <w:rFonts w:ascii="Verdana" w:hAnsi="Verdana"/>
        </w:rPr>
        <w:t>dále také samostatně jako „</w:t>
      </w:r>
      <w:r w:rsidRPr="00AC4C83">
        <w:rPr>
          <w:rFonts w:ascii="Verdana" w:hAnsi="Verdana"/>
          <w:b/>
          <w:bCs/>
        </w:rPr>
        <w:t>Strana</w:t>
      </w:r>
      <w:r>
        <w:rPr>
          <w:rFonts w:ascii="Verdana" w:hAnsi="Verdana"/>
        </w:rPr>
        <w:t>“ nebo společně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nerozdílně jako „</w:t>
      </w:r>
      <w:r w:rsidRPr="00AC4C83">
        <w:rPr>
          <w:rFonts w:ascii="Verdana" w:hAnsi="Verdana"/>
          <w:b/>
          <w:bCs/>
        </w:rPr>
        <w:t>Strany</w:t>
      </w:r>
      <w:r>
        <w:rPr>
          <w:rFonts w:ascii="Verdana" w:hAnsi="Verdana"/>
        </w:rPr>
        <w:t>“)</w:t>
      </w:r>
    </w:p>
    <w:p w14:paraId="01E17114" w14:textId="04F84C6C" w:rsidR="00AC4C83" w:rsidRPr="00E95567" w:rsidRDefault="00AC4C83" w:rsidP="00A03394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uzavírají níže uvedeného dne, měsíce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roku dále </w:t>
      </w:r>
      <w:r w:rsidR="006F03EB">
        <w:rPr>
          <w:rFonts w:ascii="Verdana" w:hAnsi="Verdana"/>
        </w:rPr>
        <w:t>uvedený dodatek č. 1</w:t>
      </w:r>
      <w:r>
        <w:rPr>
          <w:rFonts w:ascii="Verdana" w:hAnsi="Verdana"/>
        </w:rPr>
        <w:t xml:space="preserve"> (dále jen „</w:t>
      </w:r>
      <w:r w:rsidR="006F03EB">
        <w:rPr>
          <w:rFonts w:ascii="Verdana" w:hAnsi="Verdana"/>
          <w:b/>
          <w:bCs/>
        </w:rPr>
        <w:t>Dodatek</w:t>
      </w:r>
      <w:r>
        <w:rPr>
          <w:rFonts w:ascii="Verdana" w:hAnsi="Verdana"/>
        </w:rPr>
        <w:t>“)</w:t>
      </w:r>
    </w:p>
    <w:p w14:paraId="328E45A5" w14:textId="77777777" w:rsidR="00BD26A1" w:rsidRPr="00E95567" w:rsidRDefault="00BD26A1" w:rsidP="000D0DE5">
      <w:pPr>
        <w:spacing w:after="120"/>
        <w:jc w:val="both"/>
        <w:rPr>
          <w:rFonts w:ascii="Verdana" w:hAnsi="Verdana"/>
        </w:rPr>
      </w:pPr>
    </w:p>
    <w:p w14:paraId="7A33AADF" w14:textId="1FCDA5C0" w:rsidR="00E95567" w:rsidRPr="00E95567" w:rsidRDefault="00A87826" w:rsidP="00E95567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Úvodní ustanovení</w:t>
      </w:r>
    </w:p>
    <w:p w14:paraId="7EE50E9A" w14:textId="5ECAD065" w:rsidR="002304CA" w:rsidRDefault="006F03EB" w:rsidP="006F03E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Smluvní strany spolu uzavřely </w:t>
      </w:r>
      <w:r w:rsidRPr="006F03EB">
        <w:rPr>
          <w:rFonts w:ascii="Verdana" w:hAnsi="Verdana"/>
        </w:rPr>
        <w:t>Dohoda o spolupráci při realizaci projektu</w:t>
      </w:r>
      <w:r>
        <w:rPr>
          <w:rFonts w:ascii="Verdana" w:hAnsi="Verdana"/>
        </w:rPr>
        <w:t xml:space="preserve"> </w:t>
      </w:r>
      <w:r w:rsidRPr="006F03EB">
        <w:rPr>
          <w:rFonts w:ascii="Verdana" w:hAnsi="Verdana"/>
        </w:rPr>
        <w:t>„Zhotovení Databáze energetické náročnosti “ (Projekt DEN)</w:t>
      </w:r>
      <w:r>
        <w:rPr>
          <w:rFonts w:ascii="Verdana" w:hAnsi="Verdana"/>
        </w:rPr>
        <w:t xml:space="preserve"> (dále jen „</w:t>
      </w:r>
      <w:r w:rsidRPr="006F03EB">
        <w:rPr>
          <w:rFonts w:ascii="Verdana" w:hAnsi="Verdana"/>
          <w:b/>
          <w:bCs/>
        </w:rPr>
        <w:t>Dohoda</w:t>
      </w:r>
      <w:r>
        <w:rPr>
          <w:rFonts w:ascii="Verdana" w:hAnsi="Verdana"/>
        </w:rPr>
        <w:t>“)</w:t>
      </w:r>
      <w:r w:rsidR="002304CA" w:rsidRPr="006F03EB">
        <w:rPr>
          <w:rFonts w:ascii="Verdana" w:hAnsi="Verdana"/>
        </w:rPr>
        <w:t>.</w:t>
      </w:r>
    </w:p>
    <w:p w14:paraId="71968E8E" w14:textId="7E8673CD" w:rsidR="006F03EB" w:rsidRDefault="006F03EB" w:rsidP="006F03E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Definované pojmy uvedené v Dohodě mají stejný význam v Dohodě, jako v tomto Dodatku, pokud není výslovně uvedeno jinak.</w:t>
      </w:r>
    </w:p>
    <w:p w14:paraId="28E02230" w14:textId="48C7B570" w:rsidR="006F03EB" w:rsidRDefault="006F03EB" w:rsidP="006F03E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Smluvní strany konstatují, že Úřad prostřednictvím Agentury pro Ministerstvo realizuje Projekt DEN spočívající v zajištění provedení datové báze energetické náročnosti, včetně veškerých předchozích kroků nezbytných k naplnění účelu Projektu DEN, jak jsou popsány </w:t>
      </w:r>
      <w:r w:rsidRPr="006F03EB">
        <w:rPr>
          <w:rFonts w:ascii="Verdana" w:hAnsi="Verdana"/>
        </w:rPr>
        <w:t>Harmonogram</w:t>
      </w:r>
      <w:r>
        <w:rPr>
          <w:rFonts w:ascii="Verdana" w:hAnsi="Verdana"/>
        </w:rPr>
        <w:t>u</w:t>
      </w:r>
      <w:r w:rsidRPr="006F03EB">
        <w:rPr>
          <w:rFonts w:ascii="Verdana" w:hAnsi="Verdana"/>
        </w:rPr>
        <w:t xml:space="preserve"> Projektu DEN</w:t>
      </w:r>
      <w:r>
        <w:rPr>
          <w:rFonts w:ascii="Verdana" w:hAnsi="Verdana"/>
        </w:rPr>
        <w:t>.</w:t>
      </w:r>
    </w:p>
    <w:p w14:paraId="7B4DC47D" w14:textId="6703E2C7" w:rsidR="006F03EB" w:rsidRPr="006F03EB" w:rsidRDefault="006F03EB" w:rsidP="006F03E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S ohledem na vývoj plnění v rámci projektu, kdy vyvstala nutnost zajistit další činnosti spojené s realizací Projektu DEN</w:t>
      </w:r>
      <w:r w:rsidR="000715D0">
        <w:rPr>
          <w:rFonts w:ascii="Verdana" w:hAnsi="Verdana"/>
        </w:rPr>
        <w:t xml:space="preserve"> </w:t>
      </w:r>
      <w:r w:rsidR="00383758">
        <w:rPr>
          <w:rFonts w:ascii="Verdana" w:hAnsi="Verdana"/>
        </w:rPr>
        <w:t xml:space="preserve">s tím, že naopak některé činnosti, či položky se v průběhu plnění Projektu DEN ukázala jako nadbytečné a pro výsledek Projektu DEN neúčelná. </w:t>
      </w:r>
      <w:r w:rsidR="00CC304D">
        <w:rPr>
          <w:rFonts w:ascii="Verdana" w:hAnsi="Verdana"/>
        </w:rPr>
        <w:t>Současně smluvní strany upravují harmonogram Projektu DEN.</w:t>
      </w:r>
    </w:p>
    <w:p w14:paraId="2F0B8451" w14:textId="50DBBFBA" w:rsidR="00BD26A1" w:rsidRDefault="00CC304D" w:rsidP="000D0DE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Z výše uvedených důvodů uzavírají smluvní strany tento Dodatek</w:t>
      </w:r>
      <w:r w:rsidR="002304CA" w:rsidRPr="002304CA">
        <w:rPr>
          <w:rFonts w:ascii="Verdana" w:hAnsi="Verdana"/>
        </w:rPr>
        <w:t>.</w:t>
      </w:r>
    </w:p>
    <w:p w14:paraId="417610F3" w14:textId="7EF36E65" w:rsidR="00CC304D" w:rsidRPr="00BA5BFE" w:rsidRDefault="00A87826" w:rsidP="00BA5BFE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Předmět </w:t>
      </w:r>
      <w:r w:rsidR="00CC304D">
        <w:rPr>
          <w:rFonts w:ascii="Verdana" w:hAnsi="Verdana"/>
          <w:b/>
          <w:bCs/>
        </w:rPr>
        <w:t>Dodatku</w:t>
      </w:r>
    </w:p>
    <w:p w14:paraId="070DCF50" w14:textId="10619BB0" w:rsidR="00687A35" w:rsidRDefault="00687A35" w:rsidP="00A87826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Agentura je v rámci centralizovaného zadávání povinna vybrat dodavatele softwarového nástroje pro správu databáze Projektu DEN s tím, že:</w:t>
      </w:r>
    </w:p>
    <w:p w14:paraId="597F6828" w14:textId="6367667B" w:rsidR="00687A35" w:rsidRDefault="00687A35" w:rsidP="00CC1211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Pro účely provozu softwarového nástroje uzavřou smluvní strany </w:t>
      </w:r>
      <w:r w:rsidR="00BA5BFE">
        <w:rPr>
          <w:rFonts w:ascii="Verdana" w:hAnsi="Verdana"/>
        </w:rPr>
        <w:t>samostatnou dohodu</w:t>
      </w:r>
      <w:r w:rsidR="00CC1211">
        <w:rPr>
          <w:rFonts w:ascii="Verdana" w:hAnsi="Verdana"/>
        </w:rPr>
        <w:t xml:space="preserve">, na základě které bude Agentura prostřednictvím vybraného dodavatele zajišťovat provoz softwarového nástroje. Podmínky provozu softwarového nástroje budou totožné, jako podmínky provozu mezi vybraným dodavatelem a Agenturou. </w:t>
      </w:r>
    </w:p>
    <w:p w14:paraId="38B7F248" w14:textId="5684C46A" w:rsidR="00CC1211" w:rsidRDefault="007A14CB" w:rsidP="00CC1211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 odkazem na ustanovení 2.7. Dohody je </w:t>
      </w:r>
      <w:r w:rsidR="00CC1211">
        <w:rPr>
          <w:rFonts w:ascii="Verdana" w:hAnsi="Verdana"/>
        </w:rPr>
        <w:t xml:space="preserve">Ministerstvo povinno zajistit nezbytnou součinnost stávajícího dodavatele systému ENEX, </w:t>
      </w:r>
      <w:r w:rsidR="00CC1211" w:rsidRPr="00CC1211">
        <w:rPr>
          <w:rFonts w:ascii="Verdana" w:hAnsi="Verdana"/>
        </w:rPr>
        <w:t>Ing. Michael</w:t>
      </w:r>
      <w:r w:rsidR="00CC1211">
        <w:rPr>
          <w:rFonts w:ascii="Verdana" w:hAnsi="Verdana"/>
        </w:rPr>
        <w:t>a</w:t>
      </w:r>
      <w:r w:rsidR="00CC1211" w:rsidRPr="00CC1211">
        <w:rPr>
          <w:rFonts w:ascii="Verdana" w:hAnsi="Verdana"/>
        </w:rPr>
        <w:t xml:space="preserve"> Táborsk</w:t>
      </w:r>
      <w:r w:rsidR="00CC1211">
        <w:rPr>
          <w:rFonts w:ascii="Verdana" w:hAnsi="Verdana"/>
        </w:rPr>
        <w:t>ého</w:t>
      </w:r>
      <w:r w:rsidR="00CC1211" w:rsidRPr="00CC1211">
        <w:rPr>
          <w:rFonts w:ascii="Verdana" w:hAnsi="Verdana"/>
        </w:rPr>
        <w:t>, IČO: 45715050, se sídlem: Strašnice — Praha 10, Černokostelecká 2111/131, PSČ 108 00</w:t>
      </w:r>
      <w:r w:rsidR="00CC1211">
        <w:rPr>
          <w:rFonts w:ascii="Verdana" w:hAnsi="Verdana"/>
        </w:rPr>
        <w:t>, zejména v souvislosti s předáním vstupních dat do zadávacího řízení a export</w:t>
      </w:r>
      <w:r w:rsidR="004416FF">
        <w:rPr>
          <w:rFonts w:ascii="Verdana" w:hAnsi="Verdana"/>
        </w:rPr>
        <w:t>u</w:t>
      </w:r>
      <w:r w:rsidR="00CC1211">
        <w:rPr>
          <w:rFonts w:ascii="Verdana" w:hAnsi="Verdana"/>
        </w:rPr>
        <w:t xml:space="preserve"> dat pro následnou migraci do nového softwarového nástroje v rámci Projektu DEN. Ministerstvo </w:t>
      </w:r>
      <w:r w:rsidR="0063558E">
        <w:rPr>
          <w:rFonts w:ascii="Verdana" w:hAnsi="Verdana"/>
        </w:rPr>
        <w:t xml:space="preserve">bere uvedenou skutečnost na vědomí. Ministerstvo pověřuje Agenturu, aby v rámci Projektu DEN </w:t>
      </w:r>
      <w:r w:rsidR="0063558E">
        <w:rPr>
          <w:rFonts w:ascii="Verdana" w:hAnsi="Verdana"/>
        </w:rPr>
        <w:lastRenderedPageBreak/>
        <w:t>uzavřela smlouvu s dodavatelem systému ENEX</w:t>
      </w:r>
      <w:r w:rsidR="00DD2767">
        <w:rPr>
          <w:rFonts w:ascii="Verdana" w:hAnsi="Verdana"/>
        </w:rPr>
        <w:t xml:space="preserve"> na zajištění součinnosti dodavatele systému ENEX při migraci dat a poskytnutí výstupů se systému ENEX.</w:t>
      </w:r>
    </w:p>
    <w:p w14:paraId="6878C3A7" w14:textId="03519DB0" w:rsidR="00BD26A1" w:rsidRDefault="00025EA1" w:rsidP="00025EA1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Na základě tohoto Dodatku smluvní strany upravují přílohu č. 1 Dohody, a to tak, že ji zcela nahrazují přílohou č. 1 tohoto Dodatku</w:t>
      </w:r>
      <w:r w:rsidR="00B21A3D" w:rsidRPr="00025EA1">
        <w:rPr>
          <w:rFonts w:ascii="Verdana" w:hAnsi="Verdana"/>
        </w:rPr>
        <w:t>.</w:t>
      </w:r>
    </w:p>
    <w:p w14:paraId="1CFB261C" w14:textId="3F388212" w:rsidR="00397DDB" w:rsidRPr="00025EA1" w:rsidRDefault="00397DDB" w:rsidP="00025EA1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Smluvní strany prohlašují, že Agentura předá Ministerstvu výstupy z plnění Projektu DEN v okamžiku, kdy bude tvořit funkční celek, tedy v okamžiku, kdy bude zcela dokončeno softwarové dílo, které je předmětem Projektu DEN. Za dokončené dílo dle předchozí věty se považuje okamžik, kdy je dílo zprovozněno a předáno k užívání veřejnosti. Agentura na výzvu Ministerstva uzavře s Ministerstvem dohodu, na základě které postoupí veškerá práva k výstupům z Projektu DEN. Uvedenou dohodou přejdou výstupy do </w:t>
      </w:r>
      <w:r w:rsidR="00580F81">
        <w:rPr>
          <w:rFonts w:ascii="Verdana" w:hAnsi="Verdana"/>
        </w:rPr>
        <w:t>vlastnictví/</w:t>
      </w:r>
      <w:r>
        <w:rPr>
          <w:rFonts w:ascii="Verdana" w:hAnsi="Verdana"/>
        </w:rPr>
        <w:t>majetku Ministerstva</w:t>
      </w:r>
      <w:r w:rsidR="00580F81">
        <w:rPr>
          <w:rFonts w:ascii="Verdana" w:hAnsi="Verdana"/>
        </w:rPr>
        <w:t xml:space="preserve">. </w:t>
      </w:r>
      <w:r w:rsidR="00BE761C">
        <w:rPr>
          <w:rFonts w:ascii="Verdana" w:hAnsi="Verdana"/>
        </w:rPr>
        <w:t>Harmonogram plnění Projektu DEN</w:t>
      </w:r>
      <w:r w:rsidR="0078053C">
        <w:rPr>
          <w:rFonts w:ascii="Verdana" w:hAnsi="Verdana"/>
        </w:rPr>
        <w:t xml:space="preserve"> je stanoven v příloze č. 1.</w:t>
      </w:r>
      <w:r>
        <w:rPr>
          <w:rFonts w:ascii="Verdana" w:hAnsi="Verdana"/>
        </w:rPr>
        <w:t xml:space="preserve"> </w:t>
      </w:r>
    </w:p>
    <w:p w14:paraId="727EFA05" w14:textId="77777777" w:rsidR="00BD26A1" w:rsidRPr="00B21A3D" w:rsidRDefault="00BD26A1" w:rsidP="00B21A3D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B21A3D">
        <w:rPr>
          <w:rFonts w:ascii="Verdana" w:hAnsi="Verdana"/>
          <w:b/>
          <w:bCs/>
        </w:rPr>
        <w:t>Závěrečná ustanovení</w:t>
      </w:r>
    </w:p>
    <w:p w14:paraId="0C4A935F" w14:textId="2A71BF96" w:rsidR="00BD26A1" w:rsidRPr="00D36341" w:rsidRDefault="00025E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Tento Dodatek</w:t>
      </w:r>
      <w:r w:rsidR="00BD26A1" w:rsidRPr="00D36341">
        <w:rPr>
          <w:rFonts w:ascii="Verdana" w:hAnsi="Verdana"/>
        </w:rPr>
        <w:t xml:space="preserve"> nabývá platnosti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 xml:space="preserve">účinnosti dnem jejího podpisu </w:t>
      </w:r>
      <w:r w:rsidR="007C2F21">
        <w:rPr>
          <w:rFonts w:ascii="Verdana" w:hAnsi="Verdana"/>
        </w:rPr>
        <w:t>všemi</w:t>
      </w:r>
      <w:r w:rsidR="007C2F21" w:rsidRPr="00D36341">
        <w:rPr>
          <w:rFonts w:ascii="Verdana" w:hAnsi="Verdana"/>
        </w:rPr>
        <w:t xml:space="preserve"> </w:t>
      </w:r>
      <w:r w:rsidR="00B21A3D">
        <w:rPr>
          <w:rFonts w:ascii="Verdana" w:hAnsi="Verdana"/>
        </w:rPr>
        <w:t>S</w:t>
      </w:r>
      <w:r w:rsidR="00BD26A1" w:rsidRPr="00D36341">
        <w:rPr>
          <w:rFonts w:ascii="Verdana" w:hAnsi="Verdana"/>
        </w:rPr>
        <w:t>tranami.</w:t>
      </w:r>
    </w:p>
    <w:p w14:paraId="2404593D" w14:textId="1CC3E749" w:rsidR="00BD26A1" w:rsidRPr="00D36341" w:rsidRDefault="00025E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Tento Dodatek</w:t>
      </w:r>
      <w:r w:rsidRPr="00D36341">
        <w:rPr>
          <w:rFonts w:ascii="Verdana" w:hAnsi="Verdana"/>
        </w:rPr>
        <w:t xml:space="preserve"> </w:t>
      </w:r>
      <w:r w:rsidR="00BD26A1" w:rsidRPr="00D36341">
        <w:rPr>
          <w:rFonts w:ascii="Verdana" w:hAnsi="Verdana"/>
        </w:rPr>
        <w:t>může být měněna pouze formou písemných vzestupně číslovaných dodatků odsouhlasených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 xml:space="preserve">podepsaných </w:t>
      </w:r>
      <w:r w:rsidR="007C2F21">
        <w:rPr>
          <w:rFonts w:ascii="Verdana" w:hAnsi="Verdana"/>
        </w:rPr>
        <w:t>všemi</w:t>
      </w:r>
      <w:r w:rsidR="007C2F21" w:rsidRPr="00D36341">
        <w:rPr>
          <w:rFonts w:ascii="Verdana" w:hAnsi="Verdana"/>
        </w:rPr>
        <w:t xml:space="preserve"> </w:t>
      </w:r>
      <w:r w:rsidR="00B21A3D">
        <w:rPr>
          <w:rFonts w:ascii="Verdana" w:hAnsi="Verdana"/>
        </w:rPr>
        <w:t>S</w:t>
      </w:r>
      <w:r w:rsidR="00BD26A1" w:rsidRPr="00D36341">
        <w:rPr>
          <w:rFonts w:ascii="Verdana" w:hAnsi="Verdana"/>
        </w:rPr>
        <w:t>tranami.</w:t>
      </w:r>
    </w:p>
    <w:p w14:paraId="14DDF41D" w14:textId="5DF7DC26" w:rsidR="00591FDB" w:rsidRPr="00591FDB" w:rsidRDefault="00025EA1" w:rsidP="00591FD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Tento Dodatek</w:t>
      </w:r>
      <w:r w:rsidRPr="00D36341">
        <w:rPr>
          <w:rFonts w:ascii="Verdana" w:hAnsi="Verdana"/>
        </w:rPr>
        <w:t xml:space="preserve"> </w:t>
      </w:r>
      <w:r w:rsidR="00BD26A1" w:rsidRPr="00EB0405">
        <w:rPr>
          <w:rFonts w:ascii="Verdana" w:hAnsi="Verdana"/>
        </w:rPr>
        <w:t>se vyhotovuje v</w:t>
      </w:r>
      <w:r w:rsidR="00AC489A">
        <w:rPr>
          <w:rFonts w:ascii="Verdana" w:hAnsi="Verdana"/>
        </w:rPr>
        <w:t>e</w:t>
      </w:r>
      <w:r w:rsidR="00BD26A1" w:rsidRPr="00EB0405">
        <w:rPr>
          <w:rFonts w:ascii="Verdana" w:hAnsi="Verdana"/>
        </w:rPr>
        <w:t> </w:t>
      </w:r>
      <w:r w:rsidR="00B21A3D">
        <w:rPr>
          <w:rFonts w:ascii="Verdana" w:hAnsi="Verdana"/>
        </w:rPr>
        <w:t>třech</w:t>
      </w:r>
      <w:r w:rsidR="00BD26A1" w:rsidRPr="00C54BA0">
        <w:rPr>
          <w:rFonts w:ascii="Verdana" w:hAnsi="Verdana"/>
        </w:rPr>
        <w:t xml:space="preserve"> vyhotoveních s</w:t>
      </w:r>
      <w:r w:rsidR="005A6168">
        <w:rPr>
          <w:rFonts w:ascii="Verdana" w:hAnsi="Verdana"/>
        </w:rPr>
        <w:t> </w:t>
      </w:r>
      <w:r w:rsidR="00BD26A1" w:rsidRPr="00C54BA0">
        <w:rPr>
          <w:rFonts w:ascii="Verdana" w:hAnsi="Verdana"/>
        </w:rPr>
        <w:t>platností originálu, z</w:t>
      </w:r>
      <w:r w:rsidR="005A6168">
        <w:rPr>
          <w:rFonts w:ascii="Verdana" w:hAnsi="Verdana"/>
        </w:rPr>
        <w:t> </w:t>
      </w:r>
      <w:r w:rsidR="00BD26A1" w:rsidRPr="00C54BA0">
        <w:rPr>
          <w:rFonts w:ascii="Verdana" w:hAnsi="Verdana"/>
        </w:rPr>
        <w:t xml:space="preserve">nichž </w:t>
      </w:r>
      <w:r w:rsidR="00B21A3D">
        <w:rPr>
          <w:rFonts w:ascii="Verdana" w:hAnsi="Verdana"/>
        </w:rPr>
        <w:t>jedno obdrží Ministerstvo, jedno Úřad a</w:t>
      </w:r>
      <w:r w:rsidR="005A6168">
        <w:rPr>
          <w:rFonts w:ascii="Verdana" w:hAnsi="Verdana"/>
        </w:rPr>
        <w:t> </w:t>
      </w:r>
      <w:r w:rsidR="00B21A3D">
        <w:rPr>
          <w:rFonts w:ascii="Verdana" w:hAnsi="Verdana"/>
        </w:rPr>
        <w:t>jedno Agentura.</w:t>
      </w:r>
    </w:p>
    <w:p w14:paraId="5FB0FC9F" w14:textId="6DEABF6F" w:rsidR="00BD26A1" w:rsidRPr="00EB0405" w:rsidRDefault="00BD26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B0405">
        <w:rPr>
          <w:rFonts w:ascii="Verdana" w:hAnsi="Verdana"/>
        </w:rPr>
        <w:t xml:space="preserve">Nedílnou součástí </w:t>
      </w:r>
      <w:r w:rsidR="00025EA1">
        <w:rPr>
          <w:rFonts w:ascii="Verdana" w:hAnsi="Verdana"/>
        </w:rPr>
        <w:t>Tento Dodatek</w:t>
      </w:r>
      <w:r w:rsidR="00025EA1" w:rsidRPr="00D36341">
        <w:rPr>
          <w:rFonts w:ascii="Verdana" w:hAnsi="Verdana"/>
        </w:rPr>
        <w:t xml:space="preserve"> </w:t>
      </w:r>
      <w:r w:rsidRPr="00EB0405">
        <w:rPr>
          <w:rFonts w:ascii="Verdana" w:hAnsi="Verdana"/>
        </w:rPr>
        <w:t>jsou následující přílohy:</w:t>
      </w:r>
    </w:p>
    <w:p w14:paraId="23D85B52" w14:textId="6503099E" w:rsidR="00BD26A1" w:rsidRDefault="00BD26A1" w:rsidP="00B21A3D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 w:rsidRPr="00EB0405">
        <w:rPr>
          <w:rFonts w:ascii="Verdana" w:hAnsi="Verdana"/>
        </w:rPr>
        <w:t xml:space="preserve">Příloha č. 1 – </w:t>
      </w:r>
      <w:r w:rsidR="000B1CD3">
        <w:rPr>
          <w:rFonts w:ascii="Verdana" w:hAnsi="Verdana"/>
        </w:rPr>
        <w:t>Vymezení úkolů a</w:t>
      </w:r>
      <w:r w:rsidR="005A6168">
        <w:rPr>
          <w:rFonts w:ascii="Verdana" w:hAnsi="Verdana"/>
        </w:rPr>
        <w:t> </w:t>
      </w:r>
      <w:r w:rsidR="00B23109">
        <w:rPr>
          <w:rFonts w:ascii="Verdana" w:hAnsi="Verdana"/>
        </w:rPr>
        <w:t>harmonogram</w:t>
      </w:r>
      <w:r w:rsidR="000B1CD3">
        <w:rPr>
          <w:rFonts w:ascii="Verdana" w:hAnsi="Verdana"/>
        </w:rPr>
        <w:t xml:space="preserve"> </w:t>
      </w:r>
      <w:r w:rsidR="00B21A3D">
        <w:rPr>
          <w:rFonts w:ascii="Verdana" w:hAnsi="Verdana"/>
        </w:rPr>
        <w:t>Projektu DEN</w:t>
      </w:r>
    </w:p>
    <w:p w14:paraId="3E34206C" w14:textId="4D065F6C" w:rsidR="00BD26A1" w:rsidRDefault="00BD26A1" w:rsidP="000D0DE5">
      <w:pPr>
        <w:spacing w:after="120"/>
        <w:jc w:val="both"/>
        <w:rPr>
          <w:rFonts w:ascii="Verdana" w:hAnsi="Verdana"/>
        </w:rPr>
      </w:pPr>
    </w:p>
    <w:p w14:paraId="08878137" w14:textId="77777777" w:rsidR="00962642" w:rsidRPr="00C54BA0" w:rsidRDefault="00962642" w:rsidP="000D0DE5">
      <w:pPr>
        <w:spacing w:after="120"/>
        <w:jc w:val="both"/>
        <w:rPr>
          <w:rFonts w:ascii="Verdana" w:hAnsi="Verdana"/>
        </w:rPr>
      </w:pPr>
    </w:p>
    <w:p w14:paraId="70CC9B95" w14:textId="6901D3CB" w:rsidR="00BD26A1" w:rsidRPr="0003472E" w:rsidRDefault="00BD26A1" w:rsidP="005C6055">
      <w:pPr>
        <w:spacing w:after="120"/>
        <w:jc w:val="both"/>
        <w:rPr>
          <w:rFonts w:ascii="Verdana" w:hAnsi="Verdana"/>
        </w:rPr>
      </w:pPr>
      <w:r w:rsidRPr="0003472E">
        <w:rPr>
          <w:rFonts w:ascii="Verdana" w:hAnsi="Verdana"/>
        </w:rPr>
        <w:t xml:space="preserve">V Praze dne </w:t>
      </w:r>
      <w:r w:rsidR="005A73AE">
        <w:rPr>
          <w:rFonts w:ascii="Verdana" w:hAnsi="Verdana"/>
        </w:rPr>
        <w:t>15</w:t>
      </w:r>
      <w:r w:rsidRPr="0003472E">
        <w:rPr>
          <w:rFonts w:ascii="Verdana" w:hAnsi="Verdana"/>
        </w:rPr>
        <w:t xml:space="preserve">. </w:t>
      </w:r>
      <w:r w:rsidR="005A73AE">
        <w:rPr>
          <w:rFonts w:ascii="Verdana" w:hAnsi="Verdana"/>
        </w:rPr>
        <w:t>10</w:t>
      </w:r>
      <w:r w:rsidRPr="0003472E">
        <w:rPr>
          <w:rFonts w:ascii="Verdana" w:hAnsi="Verdana"/>
        </w:rPr>
        <w:t>. 20</w:t>
      </w:r>
      <w:r w:rsidR="00B21A3D">
        <w:rPr>
          <w:rFonts w:ascii="Verdana" w:hAnsi="Verdana"/>
        </w:rPr>
        <w:t>25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  <w:t xml:space="preserve">V Praze dne </w:t>
      </w:r>
      <w:r w:rsidR="005A73AE">
        <w:rPr>
          <w:rFonts w:ascii="Verdana" w:hAnsi="Verdana"/>
        </w:rPr>
        <w:t>23</w:t>
      </w:r>
      <w:r w:rsidRPr="0003472E">
        <w:rPr>
          <w:rFonts w:ascii="Verdana" w:hAnsi="Verdana"/>
        </w:rPr>
        <w:t xml:space="preserve">. </w:t>
      </w:r>
      <w:r w:rsidR="005A73AE">
        <w:rPr>
          <w:rFonts w:ascii="Verdana" w:hAnsi="Verdana"/>
        </w:rPr>
        <w:t>10</w:t>
      </w:r>
      <w:r w:rsidRPr="0003472E">
        <w:rPr>
          <w:rFonts w:ascii="Verdana" w:hAnsi="Verdana"/>
        </w:rPr>
        <w:t>. 20</w:t>
      </w:r>
      <w:r w:rsidR="00B21A3D">
        <w:rPr>
          <w:rFonts w:ascii="Verdana" w:hAnsi="Verdana"/>
        </w:rPr>
        <w:t>25</w:t>
      </w:r>
    </w:p>
    <w:p w14:paraId="7479A6DA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</w:p>
    <w:p w14:paraId="7A02DF9E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</w:p>
    <w:p w14:paraId="5B49BC4A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</w:p>
    <w:p w14:paraId="36C94185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  <w:r w:rsidRPr="0003472E">
        <w:rPr>
          <w:rFonts w:ascii="Verdana" w:hAnsi="Verdana"/>
        </w:rPr>
        <w:t>_____________________________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  <w:t>_____________________________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</w:p>
    <w:p w14:paraId="61E34E9A" w14:textId="4094DBE6" w:rsidR="00BD26A1" w:rsidRPr="0003472E" w:rsidRDefault="00BD26A1" w:rsidP="005C6055">
      <w:pPr>
        <w:jc w:val="both"/>
        <w:rPr>
          <w:rFonts w:ascii="Verdana" w:hAnsi="Verdana"/>
        </w:rPr>
      </w:pPr>
      <w:r w:rsidRPr="0003472E">
        <w:rPr>
          <w:rFonts w:ascii="Verdana" w:hAnsi="Verdana"/>
        </w:rPr>
        <w:t>Ministerstvo průmyslu a</w:t>
      </w:r>
      <w:r w:rsidR="005A6168">
        <w:rPr>
          <w:rFonts w:ascii="Verdana" w:hAnsi="Verdana"/>
        </w:rPr>
        <w:t> </w:t>
      </w:r>
      <w:r w:rsidRPr="0003472E">
        <w:rPr>
          <w:rFonts w:ascii="Verdana" w:hAnsi="Verdana"/>
        </w:rPr>
        <w:t>obchodu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  <w:t xml:space="preserve">Úřad pro technickou normalizaci, </w:t>
      </w:r>
    </w:p>
    <w:p w14:paraId="684B4821" w14:textId="3310DD92" w:rsidR="00BD26A1" w:rsidRPr="0003472E" w:rsidRDefault="00962642" w:rsidP="005C6055">
      <w:pPr>
        <w:jc w:val="both"/>
        <w:rPr>
          <w:rFonts w:ascii="Verdana" w:hAnsi="Verdana"/>
        </w:rPr>
      </w:pPr>
      <w:r>
        <w:rPr>
          <w:rFonts w:ascii="Verdana" w:hAnsi="Verdana"/>
        </w:rPr>
        <w:t>Ing. et Ing. René Neděla,</w:t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  <w:t>metrologii a</w:t>
      </w:r>
      <w:r w:rsidR="005A6168">
        <w:rPr>
          <w:rFonts w:ascii="Verdana" w:hAnsi="Verdana"/>
        </w:rPr>
        <w:t> </w:t>
      </w:r>
      <w:r w:rsidR="00BD26A1" w:rsidRPr="0003472E">
        <w:rPr>
          <w:rFonts w:ascii="Verdana" w:hAnsi="Verdana"/>
        </w:rPr>
        <w:t>státní zkušebnictví</w:t>
      </w:r>
    </w:p>
    <w:p w14:paraId="45E32859" w14:textId="6E0AD9C6" w:rsidR="00BD26A1" w:rsidRPr="0003472E" w:rsidRDefault="00962642" w:rsidP="005C6055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vrchní ředitel sekce energetiky</w:t>
      </w:r>
      <w:r w:rsidRPr="00962642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Ing. Jiří Kratochvíl, </w:t>
      </w:r>
      <w:r w:rsidRPr="0003472E">
        <w:rPr>
          <w:rFonts w:ascii="Verdana" w:hAnsi="Verdana"/>
        </w:rPr>
        <w:t>předs</w:t>
      </w:r>
      <w:r>
        <w:rPr>
          <w:rFonts w:ascii="Verdana" w:hAnsi="Verdana"/>
        </w:rPr>
        <w:t>e</w:t>
      </w:r>
      <w:r w:rsidRPr="0003472E">
        <w:rPr>
          <w:rFonts w:ascii="Verdana" w:hAnsi="Verdana"/>
        </w:rPr>
        <w:t>d</w:t>
      </w:r>
      <w:r>
        <w:rPr>
          <w:rFonts w:ascii="Verdana" w:hAnsi="Verdana"/>
        </w:rPr>
        <w:t>a</w:t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</w:r>
      <w:r w:rsidR="00280C6C">
        <w:rPr>
          <w:rFonts w:ascii="Verdana" w:hAnsi="Verdana"/>
        </w:rPr>
        <w:t xml:space="preserve">          </w:t>
      </w:r>
      <w:r w:rsidR="00BE5BB3">
        <w:rPr>
          <w:rFonts w:ascii="Verdana" w:hAnsi="Verdana"/>
        </w:rPr>
        <w:tab/>
      </w:r>
      <w:r w:rsidR="00BD26A1" w:rsidRPr="0003472E">
        <w:rPr>
          <w:rFonts w:ascii="Verdana" w:hAnsi="Verdana"/>
        </w:rPr>
        <w:t xml:space="preserve"> </w:t>
      </w:r>
    </w:p>
    <w:p w14:paraId="368FC24A" w14:textId="77777777" w:rsidR="00BD26A1" w:rsidRPr="00C54BA0" w:rsidRDefault="00BD26A1" w:rsidP="000D0DE5">
      <w:pPr>
        <w:spacing w:after="120"/>
        <w:jc w:val="both"/>
        <w:rPr>
          <w:rFonts w:ascii="Verdana" w:hAnsi="Verdana"/>
        </w:rPr>
      </w:pPr>
    </w:p>
    <w:p w14:paraId="441D5033" w14:textId="0A494F87" w:rsidR="00BD26A1" w:rsidRDefault="00BD26A1" w:rsidP="000D0DE5">
      <w:pPr>
        <w:spacing w:after="120"/>
        <w:jc w:val="both"/>
        <w:rPr>
          <w:rFonts w:ascii="Verdana" w:hAnsi="Verdana"/>
        </w:rPr>
      </w:pPr>
    </w:p>
    <w:p w14:paraId="4491A0EA" w14:textId="56A661CF" w:rsidR="00EA4A8D" w:rsidRPr="0003472E" w:rsidRDefault="00EA4A8D" w:rsidP="00EA4A8D">
      <w:pPr>
        <w:spacing w:after="120"/>
        <w:jc w:val="both"/>
        <w:rPr>
          <w:rFonts w:ascii="Verdana" w:hAnsi="Verdana"/>
        </w:rPr>
      </w:pPr>
      <w:r w:rsidRPr="0003472E">
        <w:rPr>
          <w:rFonts w:ascii="Verdana" w:hAnsi="Verdana"/>
        </w:rPr>
        <w:lastRenderedPageBreak/>
        <w:t>_____________________________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</w:p>
    <w:p w14:paraId="2680B1AC" w14:textId="77777777" w:rsidR="0038541D" w:rsidRDefault="0038541D" w:rsidP="0038541D">
      <w:pPr>
        <w:spacing w:after="80"/>
        <w:jc w:val="both"/>
        <w:rPr>
          <w:rFonts w:ascii="Verdana" w:hAnsi="Verdana"/>
        </w:rPr>
      </w:pPr>
    </w:p>
    <w:p w14:paraId="03630E62" w14:textId="236CF85C" w:rsidR="00EA4A8D" w:rsidRDefault="00EA4A8D" w:rsidP="00EA4A8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Česká agentura pro standardizaci 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</w:p>
    <w:p w14:paraId="4A2631BA" w14:textId="100C2D63" w:rsidR="00EA4A8D" w:rsidRPr="0003472E" w:rsidRDefault="00EA4A8D" w:rsidP="005619E3">
      <w:pPr>
        <w:jc w:val="both"/>
        <w:rPr>
          <w:rFonts w:ascii="Verdana" w:hAnsi="Verdana"/>
        </w:rPr>
      </w:pPr>
      <w:r>
        <w:rPr>
          <w:rFonts w:ascii="Verdana" w:hAnsi="Verdana"/>
        </w:rPr>
        <w:t>Mgr. Zdeněk Veselý, generální ředitel</w:t>
      </w:r>
    </w:p>
    <w:p w14:paraId="339A7AA9" w14:textId="77777777" w:rsidR="00BD26A1" w:rsidRPr="00EB0405" w:rsidRDefault="00BD26A1" w:rsidP="000D0DE5">
      <w:pPr>
        <w:spacing w:after="120"/>
        <w:jc w:val="both"/>
        <w:rPr>
          <w:rFonts w:ascii="Verdana" w:hAnsi="Verdana"/>
        </w:rPr>
      </w:pPr>
    </w:p>
    <w:p w14:paraId="48607FD5" w14:textId="77777777" w:rsidR="00BD26A1" w:rsidRPr="00EB0405" w:rsidRDefault="00BD26A1" w:rsidP="000D0DE5">
      <w:pPr>
        <w:spacing w:after="120"/>
        <w:jc w:val="both"/>
        <w:rPr>
          <w:rFonts w:ascii="Verdana" w:hAnsi="Verdana"/>
        </w:rPr>
      </w:pPr>
    </w:p>
    <w:sectPr w:rsidR="00BD26A1" w:rsidRPr="00EB0405" w:rsidSect="00E67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FDB8" w14:textId="77777777" w:rsidR="006934A3" w:rsidRDefault="006934A3">
      <w:r>
        <w:separator/>
      </w:r>
    </w:p>
  </w:endnote>
  <w:endnote w:type="continuationSeparator" w:id="0">
    <w:p w14:paraId="5E12BA95" w14:textId="77777777" w:rsidR="006934A3" w:rsidRDefault="006934A3">
      <w:r>
        <w:continuationSeparator/>
      </w:r>
    </w:p>
  </w:endnote>
  <w:endnote w:type="continuationNotice" w:id="1">
    <w:p w14:paraId="29EBEDE2" w14:textId="77777777" w:rsidR="006934A3" w:rsidRDefault="00693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2099" w14:textId="77777777" w:rsidR="00BB74B2" w:rsidRDefault="00BB74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E2B8" w14:textId="77777777" w:rsidR="00BD26A1" w:rsidRPr="00637934" w:rsidRDefault="00BD26A1" w:rsidP="00637934">
    <w:pPr>
      <w:pStyle w:val="Zpat"/>
      <w:jc w:val="right"/>
      <w:rPr>
        <w:rFonts w:ascii="Verdana" w:hAnsi="Verdana"/>
      </w:rPr>
    </w:pPr>
    <w:r w:rsidRPr="00637934">
      <w:rPr>
        <w:rFonts w:ascii="Verdana" w:hAnsi="Verdana"/>
      </w:rPr>
      <w:t xml:space="preserve">Strana </w:t>
    </w:r>
    <w:r w:rsidRPr="00637934">
      <w:rPr>
        <w:rFonts w:ascii="Verdana" w:hAnsi="Verdana"/>
      </w:rPr>
      <w:fldChar w:fldCharType="begin"/>
    </w:r>
    <w:r w:rsidRPr="00637934">
      <w:rPr>
        <w:rFonts w:ascii="Verdana" w:hAnsi="Verdana"/>
      </w:rPr>
      <w:instrText xml:space="preserve"> PAGE </w:instrText>
    </w:r>
    <w:r w:rsidRPr="00637934">
      <w:rPr>
        <w:rFonts w:ascii="Verdana" w:hAnsi="Verdana"/>
      </w:rPr>
      <w:fldChar w:fldCharType="separate"/>
    </w:r>
    <w:r w:rsidR="00363AD6">
      <w:rPr>
        <w:rFonts w:ascii="Verdana" w:hAnsi="Verdana"/>
        <w:noProof/>
      </w:rPr>
      <w:t>7</w:t>
    </w:r>
    <w:r w:rsidRPr="00637934">
      <w:rPr>
        <w:rFonts w:ascii="Verdana" w:hAnsi="Verdana"/>
      </w:rPr>
      <w:fldChar w:fldCharType="end"/>
    </w:r>
    <w:r w:rsidRPr="00637934">
      <w:rPr>
        <w:rFonts w:ascii="Verdana" w:hAnsi="Verdana"/>
      </w:rPr>
      <w:t xml:space="preserve"> (celkem </w:t>
    </w:r>
    <w:r w:rsidRPr="00637934">
      <w:rPr>
        <w:rFonts w:ascii="Verdana" w:hAnsi="Verdana"/>
      </w:rPr>
      <w:fldChar w:fldCharType="begin"/>
    </w:r>
    <w:r w:rsidRPr="00637934">
      <w:rPr>
        <w:rFonts w:ascii="Verdana" w:hAnsi="Verdana"/>
      </w:rPr>
      <w:instrText xml:space="preserve"> NUMPAGES </w:instrText>
    </w:r>
    <w:r w:rsidRPr="00637934">
      <w:rPr>
        <w:rFonts w:ascii="Verdana" w:hAnsi="Verdana"/>
      </w:rPr>
      <w:fldChar w:fldCharType="separate"/>
    </w:r>
    <w:r w:rsidR="00363AD6">
      <w:rPr>
        <w:rFonts w:ascii="Verdana" w:hAnsi="Verdana"/>
        <w:noProof/>
      </w:rPr>
      <w:t>8</w:t>
    </w:r>
    <w:r w:rsidRPr="00637934">
      <w:rPr>
        <w:rFonts w:ascii="Verdana" w:hAnsi="Verdana"/>
      </w:rPr>
      <w:fldChar w:fldCharType="end"/>
    </w:r>
    <w:r w:rsidRPr="00637934">
      <w:rPr>
        <w:rFonts w:ascii="Verdana" w:hAnsi="Verdan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776A" w14:textId="77777777" w:rsidR="00BB74B2" w:rsidRDefault="00BB74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C97A" w14:textId="77777777" w:rsidR="006934A3" w:rsidRDefault="006934A3">
      <w:r>
        <w:separator/>
      </w:r>
    </w:p>
  </w:footnote>
  <w:footnote w:type="continuationSeparator" w:id="0">
    <w:p w14:paraId="6ABA44AF" w14:textId="77777777" w:rsidR="006934A3" w:rsidRDefault="006934A3">
      <w:r>
        <w:continuationSeparator/>
      </w:r>
    </w:p>
  </w:footnote>
  <w:footnote w:type="continuationNotice" w:id="1">
    <w:p w14:paraId="55D84E09" w14:textId="77777777" w:rsidR="006934A3" w:rsidRDefault="006934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2CA3" w14:textId="77777777" w:rsidR="00BB74B2" w:rsidRDefault="00BB74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A597" w14:textId="2068EA8F" w:rsidR="00BD26A1" w:rsidRPr="004C2073" w:rsidRDefault="00BD26A1" w:rsidP="004C2073">
    <w:pPr>
      <w:pStyle w:val="Zhlav"/>
      <w:spacing w:after="0"/>
      <w:jc w:val="right"/>
      <w:rPr>
        <w:rFonts w:ascii="Verdana" w:hAnsi="Verdana"/>
        <w:sz w:val="16"/>
        <w:szCs w:val="16"/>
      </w:rPr>
    </w:pPr>
    <w:r w:rsidRPr="004C2073">
      <w:rPr>
        <w:rFonts w:ascii="Verdana" w:hAnsi="Verdana"/>
        <w:sz w:val="16"/>
        <w:szCs w:val="16"/>
      </w:rPr>
      <w:t xml:space="preserve">Evidenční číslo smlouvy: </w:t>
    </w:r>
    <w:r w:rsidR="00BB74B2">
      <w:rPr>
        <w:rFonts w:ascii="Verdana" w:hAnsi="Verdana"/>
        <w:sz w:val="16"/>
        <w:szCs w:val="16"/>
      </w:rPr>
      <w:t>66/25/41300</w:t>
    </w:r>
  </w:p>
  <w:p w14:paraId="0B7146FC" w14:textId="5474E2EB" w:rsidR="00BD26A1" w:rsidRPr="004C2073" w:rsidRDefault="00BD26A1" w:rsidP="004C2073">
    <w:pPr>
      <w:pStyle w:val="Zhlav"/>
      <w:spacing w:after="0"/>
      <w:jc w:val="right"/>
      <w:rPr>
        <w:rFonts w:ascii="Verdana" w:hAnsi="Verdana"/>
        <w:sz w:val="16"/>
        <w:szCs w:val="16"/>
      </w:rPr>
    </w:pPr>
    <w:r w:rsidRPr="004C2073">
      <w:rPr>
        <w:rFonts w:ascii="Verdana" w:hAnsi="Verdana"/>
        <w:sz w:val="16"/>
        <w:szCs w:val="16"/>
      </w:rPr>
      <w:t>Č.j.:</w:t>
    </w:r>
    <w:r>
      <w:rPr>
        <w:rFonts w:ascii="Verdana" w:hAnsi="Verdana"/>
        <w:sz w:val="16"/>
        <w:szCs w:val="16"/>
      </w:rPr>
      <w:t xml:space="preserve"> </w:t>
    </w:r>
    <w:r w:rsidR="00BB74B2" w:rsidRPr="00BB74B2">
      <w:rPr>
        <w:rFonts w:ascii="Verdana" w:hAnsi="Verdana"/>
        <w:sz w:val="16"/>
        <w:szCs w:val="16"/>
      </w:rPr>
      <w:t>MPO 109611/2025</w:t>
    </w:r>
  </w:p>
  <w:p w14:paraId="13BCDCB5" w14:textId="71866360" w:rsidR="00BD26A1" w:rsidRPr="004C2073" w:rsidRDefault="00BD26A1" w:rsidP="00B91DB2">
    <w:pPr>
      <w:pStyle w:val="Zhlav"/>
      <w:spacing w:after="240"/>
      <w:jc w:val="right"/>
      <w:rPr>
        <w:rFonts w:ascii="Verdana" w:hAnsi="Verdana"/>
        <w:sz w:val="16"/>
        <w:szCs w:val="16"/>
      </w:rPr>
    </w:pPr>
    <w:r w:rsidRPr="004C2073">
      <w:rPr>
        <w:rFonts w:ascii="Verdana" w:hAnsi="Verdana"/>
        <w:sz w:val="16"/>
        <w:szCs w:val="16"/>
      </w:rPr>
      <w:t>Výtisk č.</w:t>
    </w:r>
    <w:r>
      <w:rPr>
        <w:rFonts w:ascii="Verdana" w:hAnsi="Verdana"/>
        <w:sz w:val="16"/>
        <w:szCs w:val="16"/>
      </w:rPr>
      <w:t xml:space="preserve"> </w:t>
    </w:r>
    <w:r w:rsidR="00BB74B2">
      <w:rPr>
        <w:rFonts w:ascii="Verdana" w:hAnsi="Verdana"/>
        <w:sz w:val="16"/>
        <w:szCs w:val="16"/>
      </w:rPr>
      <w:t>1</w:t>
    </w:r>
    <w:r w:rsidR="00E624EA">
      <w:rPr>
        <w:rFonts w:ascii="Verdana" w:hAnsi="Verdana"/>
        <w:sz w:val="16"/>
        <w:szCs w:val="16"/>
      </w:rPr>
      <w:t>,2,3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4CB2" w14:textId="77777777" w:rsidR="00BB74B2" w:rsidRDefault="00BB74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480"/>
    <w:multiLevelType w:val="hybridMultilevel"/>
    <w:tmpl w:val="68B422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3DC7"/>
    <w:multiLevelType w:val="multilevel"/>
    <w:tmpl w:val="F4C6FDA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5BF67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D63EB1"/>
    <w:multiLevelType w:val="hybridMultilevel"/>
    <w:tmpl w:val="AD5C2836"/>
    <w:lvl w:ilvl="0" w:tplc="FACAD6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5C3E"/>
    <w:multiLevelType w:val="hybridMultilevel"/>
    <w:tmpl w:val="FA74D9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0401"/>
    <w:multiLevelType w:val="hybridMultilevel"/>
    <w:tmpl w:val="DCEA87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2B37"/>
    <w:multiLevelType w:val="hybridMultilevel"/>
    <w:tmpl w:val="31420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E6B09"/>
    <w:multiLevelType w:val="hybridMultilevel"/>
    <w:tmpl w:val="041CF7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0826"/>
    <w:multiLevelType w:val="hybridMultilevel"/>
    <w:tmpl w:val="B2BC82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D612A"/>
    <w:multiLevelType w:val="hybridMultilevel"/>
    <w:tmpl w:val="A93E2A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AAE"/>
    <w:multiLevelType w:val="hybridMultilevel"/>
    <w:tmpl w:val="052006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663E"/>
    <w:multiLevelType w:val="hybridMultilevel"/>
    <w:tmpl w:val="48404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CB5B02"/>
    <w:multiLevelType w:val="hybridMultilevel"/>
    <w:tmpl w:val="6E3668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5407A6D"/>
    <w:multiLevelType w:val="hybridMultilevel"/>
    <w:tmpl w:val="F00E12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D2E75"/>
    <w:multiLevelType w:val="hybridMultilevel"/>
    <w:tmpl w:val="E130B4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93726E"/>
    <w:multiLevelType w:val="hybridMultilevel"/>
    <w:tmpl w:val="0FFEF6C4"/>
    <w:lvl w:ilvl="0" w:tplc="988A966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E71AAC"/>
    <w:multiLevelType w:val="multilevel"/>
    <w:tmpl w:val="99549DAA"/>
    <w:lvl w:ilvl="0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7BFF4AAA"/>
    <w:multiLevelType w:val="hybridMultilevel"/>
    <w:tmpl w:val="5C32619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FD24F4"/>
    <w:multiLevelType w:val="hybridMultilevel"/>
    <w:tmpl w:val="D0387F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386F"/>
    <w:multiLevelType w:val="hybridMultilevel"/>
    <w:tmpl w:val="7ECAB1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17"/>
  </w:num>
  <w:num w:numId="12">
    <w:abstractNumId w:val="14"/>
  </w:num>
  <w:num w:numId="13">
    <w:abstractNumId w:val="16"/>
  </w:num>
  <w:num w:numId="14">
    <w:abstractNumId w:val="19"/>
  </w:num>
  <w:num w:numId="15">
    <w:abstractNumId w:val="13"/>
  </w:num>
  <w:num w:numId="16">
    <w:abstractNumId w:val="7"/>
  </w:num>
  <w:num w:numId="17">
    <w:abstractNumId w:val="5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NjA3trA0NTAyM7dU0lEKTi0uzszPAykwrQUAAlxaESwAAAA="/>
  </w:docVars>
  <w:rsids>
    <w:rsidRoot w:val="00336059"/>
    <w:rsid w:val="000006F0"/>
    <w:rsid w:val="00002382"/>
    <w:rsid w:val="0001088C"/>
    <w:rsid w:val="000136DE"/>
    <w:rsid w:val="00017FFA"/>
    <w:rsid w:val="00023FDC"/>
    <w:rsid w:val="00025EA1"/>
    <w:rsid w:val="0003472E"/>
    <w:rsid w:val="0005419B"/>
    <w:rsid w:val="00055700"/>
    <w:rsid w:val="00057D81"/>
    <w:rsid w:val="0006691B"/>
    <w:rsid w:val="00066A40"/>
    <w:rsid w:val="000715D0"/>
    <w:rsid w:val="000716AB"/>
    <w:rsid w:val="00073755"/>
    <w:rsid w:val="00074A84"/>
    <w:rsid w:val="0007514B"/>
    <w:rsid w:val="00085BF4"/>
    <w:rsid w:val="00087562"/>
    <w:rsid w:val="0008769F"/>
    <w:rsid w:val="000974F8"/>
    <w:rsid w:val="000A13E2"/>
    <w:rsid w:val="000A66C2"/>
    <w:rsid w:val="000A67E9"/>
    <w:rsid w:val="000B1CD3"/>
    <w:rsid w:val="000D0B8B"/>
    <w:rsid w:val="000D0DE5"/>
    <w:rsid w:val="000D7538"/>
    <w:rsid w:val="000E14FD"/>
    <w:rsid w:val="000E414B"/>
    <w:rsid w:val="000E4347"/>
    <w:rsid w:val="000F1D91"/>
    <w:rsid w:val="000F5340"/>
    <w:rsid w:val="00102D9C"/>
    <w:rsid w:val="001165E2"/>
    <w:rsid w:val="00116782"/>
    <w:rsid w:val="00122158"/>
    <w:rsid w:val="00122EDB"/>
    <w:rsid w:val="001252C0"/>
    <w:rsid w:val="00125AD9"/>
    <w:rsid w:val="001340BE"/>
    <w:rsid w:val="001435DD"/>
    <w:rsid w:val="00151384"/>
    <w:rsid w:val="00156D4B"/>
    <w:rsid w:val="0016235A"/>
    <w:rsid w:val="001763DC"/>
    <w:rsid w:val="001801E2"/>
    <w:rsid w:val="0018097B"/>
    <w:rsid w:val="00180F34"/>
    <w:rsid w:val="00190578"/>
    <w:rsid w:val="0019562B"/>
    <w:rsid w:val="001A34FB"/>
    <w:rsid w:val="001C02D5"/>
    <w:rsid w:val="001C2289"/>
    <w:rsid w:val="001D33B1"/>
    <w:rsid w:val="001E28A6"/>
    <w:rsid w:val="001F4F2C"/>
    <w:rsid w:val="0020384E"/>
    <w:rsid w:val="002122E7"/>
    <w:rsid w:val="00216318"/>
    <w:rsid w:val="0021785F"/>
    <w:rsid w:val="00223A10"/>
    <w:rsid w:val="002269F9"/>
    <w:rsid w:val="002304CA"/>
    <w:rsid w:val="00230D70"/>
    <w:rsid w:val="0023778C"/>
    <w:rsid w:val="0024409D"/>
    <w:rsid w:val="00246D2D"/>
    <w:rsid w:val="00252E5B"/>
    <w:rsid w:val="00262051"/>
    <w:rsid w:val="00274489"/>
    <w:rsid w:val="00280C6C"/>
    <w:rsid w:val="00292E53"/>
    <w:rsid w:val="002937D1"/>
    <w:rsid w:val="002A0147"/>
    <w:rsid w:val="002B71CE"/>
    <w:rsid w:val="002B7BA4"/>
    <w:rsid w:val="002C1F53"/>
    <w:rsid w:val="002D417C"/>
    <w:rsid w:val="002F18A7"/>
    <w:rsid w:val="002F45DD"/>
    <w:rsid w:val="0031487E"/>
    <w:rsid w:val="00320FBB"/>
    <w:rsid w:val="0032363C"/>
    <w:rsid w:val="0032530D"/>
    <w:rsid w:val="00327BF9"/>
    <w:rsid w:val="00336059"/>
    <w:rsid w:val="00341AA5"/>
    <w:rsid w:val="003548A6"/>
    <w:rsid w:val="00363AD6"/>
    <w:rsid w:val="00375CF2"/>
    <w:rsid w:val="003825E1"/>
    <w:rsid w:val="00383758"/>
    <w:rsid w:val="0038541D"/>
    <w:rsid w:val="00395489"/>
    <w:rsid w:val="00397DDB"/>
    <w:rsid w:val="003A189E"/>
    <w:rsid w:val="003A3E87"/>
    <w:rsid w:val="003A4DDA"/>
    <w:rsid w:val="003C6B0D"/>
    <w:rsid w:val="003E22F0"/>
    <w:rsid w:val="003F62AC"/>
    <w:rsid w:val="004011A9"/>
    <w:rsid w:val="00403653"/>
    <w:rsid w:val="004176E0"/>
    <w:rsid w:val="00426A7D"/>
    <w:rsid w:val="004334AF"/>
    <w:rsid w:val="004416FF"/>
    <w:rsid w:val="00445110"/>
    <w:rsid w:val="004562B8"/>
    <w:rsid w:val="00490B23"/>
    <w:rsid w:val="00494C7E"/>
    <w:rsid w:val="004A4C3F"/>
    <w:rsid w:val="004B4721"/>
    <w:rsid w:val="004C2073"/>
    <w:rsid w:val="004C7DE9"/>
    <w:rsid w:val="0050340F"/>
    <w:rsid w:val="005157B3"/>
    <w:rsid w:val="00525231"/>
    <w:rsid w:val="00525752"/>
    <w:rsid w:val="0054424C"/>
    <w:rsid w:val="005461AF"/>
    <w:rsid w:val="00551B6D"/>
    <w:rsid w:val="00557EDB"/>
    <w:rsid w:val="005619E3"/>
    <w:rsid w:val="00580F81"/>
    <w:rsid w:val="00582BDE"/>
    <w:rsid w:val="00583EA3"/>
    <w:rsid w:val="00591DD7"/>
    <w:rsid w:val="00591FDB"/>
    <w:rsid w:val="0059598F"/>
    <w:rsid w:val="005A1AAA"/>
    <w:rsid w:val="005A24EF"/>
    <w:rsid w:val="005A6168"/>
    <w:rsid w:val="005A73AE"/>
    <w:rsid w:val="005B2610"/>
    <w:rsid w:val="005B3B2A"/>
    <w:rsid w:val="005B5F4A"/>
    <w:rsid w:val="005C1548"/>
    <w:rsid w:val="005C6055"/>
    <w:rsid w:val="005E6544"/>
    <w:rsid w:val="005E78E4"/>
    <w:rsid w:val="005F3DD5"/>
    <w:rsid w:val="00603054"/>
    <w:rsid w:val="00606A68"/>
    <w:rsid w:val="00610085"/>
    <w:rsid w:val="006138F7"/>
    <w:rsid w:val="00617631"/>
    <w:rsid w:val="006249A2"/>
    <w:rsid w:val="00631234"/>
    <w:rsid w:val="0063558E"/>
    <w:rsid w:val="00637934"/>
    <w:rsid w:val="00640033"/>
    <w:rsid w:val="006434DE"/>
    <w:rsid w:val="00653983"/>
    <w:rsid w:val="00664CCC"/>
    <w:rsid w:val="0067014C"/>
    <w:rsid w:val="00670EFD"/>
    <w:rsid w:val="00671434"/>
    <w:rsid w:val="00684AB4"/>
    <w:rsid w:val="00687A35"/>
    <w:rsid w:val="00691647"/>
    <w:rsid w:val="006934A3"/>
    <w:rsid w:val="006A124D"/>
    <w:rsid w:val="006A1566"/>
    <w:rsid w:val="006B176C"/>
    <w:rsid w:val="006B481A"/>
    <w:rsid w:val="006D290C"/>
    <w:rsid w:val="006E4B8F"/>
    <w:rsid w:val="006F03EB"/>
    <w:rsid w:val="007040F6"/>
    <w:rsid w:val="00716EF0"/>
    <w:rsid w:val="00725A6C"/>
    <w:rsid w:val="007316C5"/>
    <w:rsid w:val="00747895"/>
    <w:rsid w:val="00753477"/>
    <w:rsid w:val="007534C0"/>
    <w:rsid w:val="0075437F"/>
    <w:rsid w:val="00754842"/>
    <w:rsid w:val="0078053C"/>
    <w:rsid w:val="00782DD4"/>
    <w:rsid w:val="00783854"/>
    <w:rsid w:val="007845F9"/>
    <w:rsid w:val="007864D7"/>
    <w:rsid w:val="00787913"/>
    <w:rsid w:val="00796B44"/>
    <w:rsid w:val="007A14CB"/>
    <w:rsid w:val="007B07FF"/>
    <w:rsid w:val="007B0B14"/>
    <w:rsid w:val="007C1E1E"/>
    <w:rsid w:val="007C2F21"/>
    <w:rsid w:val="007D005A"/>
    <w:rsid w:val="007D596E"/>
    <w:rsid w:val="007E7A22"/>
    <w:rsid w:val="007F74B0"/>
    <w:rsid w:val="007F7D80"/>
    <w:rsid w:val="00804663"/>
    <w:rsid w:val="0081545D"/>
    <w:rsid w:val="008169DA"/>
    <w:rsid w:val="00835454"/>
    <w:rsid w:val="0084314A"/>
    <w:rsid w:val="00843701"/>
    <w:rsid w:val="00864AF8"/>
    <w:rsid w:val="00880DDF"/>
    <w:rsid w:val="00892A61"/>
    <w:rsid w:val="008B4E85"/>
    <w:rsid w:val="008B5C53"/>
    <w:rsid w:val="008B744F"/>
    <w:rsid w:val="008C6125"/>
    <w:rsid w:val="008D4C00"/>
    <w:rsid w:val="008E0ACF"/>
    <w:rsid w:val="008E324E"/>
    <w:rsid w:val="008F6B4B"/>
    <w:rsid w:val="00915572"/>
    <w:rsid w:val="009205E1"/>
    <w:rsid w:val="009205FC"/>
    <w:rsid w:val="00934771"/>
    <w:rsid w:val="009409A3"/>
    <w:rsid w:val="00947949"/>
    <w:rsid w:val="009502A3"/>
    <w:rsid w:val="00954597"/>
    <w:rsid w:val="00962642"/>
    <w:rsid w:val="009639E1"/>
    <w:rsid w:val="0096644C"/>
    <w:rsid w:val="00972C8C"/>
    <w:rsid w:val="0097547B"/>
    <w:rsid w:val="00976386"/>
    <w:rsid w:val="009771FA"/>
    <w:rsid w:val="00984993"/>
    <w:rsid w:val="00984AC2"/>
    <w:rsid w:val="00985EAD"/>
    <w:rsid w:val="00996CB3"/>
    <w:rsid w:val="009B0E3F"/>
    <w:rsid w:val="009B456A"/>
    <w:rsid w:val="009C389A"/>
    <w:rsid w:val="009C3B42"/>
    <w:rsid w:val="009E33CF"/>
    <w:rsid w:val="009E4F30"/>
    <w:rsid w:val="009E7677"/>
    <w:rsid w:val="009F6FEA"/>
    <w:rsid w:val="00A03394"/>
    <w:rsid w:val="00A078C5"/>
    <w:rsid w:val="00A2382B"/>
    <w:rsid w:val="00A25EF3"/>
    <w:rsid w:val="00A2641F"/>
    <w:rsid w:val="00A4751C"/>
    <w:rsid w:val="00A53F31"/>
    <w:rsid w:val="00A54EA8"/>
    <w:rsid w:val="00A60FCA"/>
    <w:rsid w:val="00A63837"/>
    <w:rsid w:val="00A77AD3"/>
    <w:rsid w:val="00A80628"/>
    <w:rsid w:val="00A8408B"/>
    <w:rsid w:val="00A87826"/>
    <w:rsid w:val="00A94027"/>
    <w:rsid w:val="00AA5BD9"/>
    <w:rsid w:val="00AA7824"/>
    <w:rsid w:val="00AB1DED"/>
    <w:rsid w:val="00AC26AA"/>
    <w:rsid w:val="00AC489A"/>
    <w:rsid w:val="00AC4C83"/>
    <w:rsid w:val="00AD7747"/>
    <w:rsid w:val="00AE3126"/>
    <w:rsid w:val="00AE6B2F"/>
    <w:rsid w:val="00AF0AAC"/>
    <w:rsid w:val="00AF21B5"/>
    <w:rsid w:val="00B01E6B"/>
    <w:rsid w:val="00B1522F"/>
    <w:rsid w:val="00B21A3D"/>
    <w:rsid w:val="00B23109"/>
    <w:rsid w:val="00B24271"/>
    <w:rsid w:val="00B333F0"/>
    <w:rsid w:val="00B34EF5"/>
    <w:rsid w:val="00B35CA9"/>
    <w:rsid w:val="00B3721E"/>
    <w:rsid w:val="00B42EA3"/>
    <w:rsid w:val="00B4576B"/>
    <w:rsid w:val="00B5324D"/>
    <w:rsid w:val="00B5356F"/>
    <w:rsid w:val="00B725C0"/>
    <w:rsid w:val="00B76681"/>
    <w:rsid w:val="00B83E4A"/>
    <w:rsid w:val="00B902AB"/>
    <w:rsid w:val="00B91DB2"/>
    <w:rsid w:val="00B9438B"/>
    <w:rsid w:val="00BA5BFE"/>
    <w:rsid w:val="00BA6097"/>
    <w:rsid w:val="00BB37FA"/>
    <w:rsid w:val="00BB74B2"/>
    <w:rsid w:val="00BC2A7C"/>
    <w:rsid w:val="00BC4FD8"/>
    <w:rsid w:val="00BD26A1"/>
    <w:rsid w:val="00BD7C95"/>
    <w:rsid w:val="00BE5BB3"/>
    <w:rsid w:val="00BE761C"/>
    <w:rsid w:val="00C10E1A"/>
    <w:rsid w:val="00C141A1"/>
    <w:rsid w:val="00C17358"/>
    <w:rsid w:val="00C242EB"/>
    <w:rsid w:val="00C24C00"/>
    <w:rsid w:val="00C344DE"/>
    <w:rsid w:val="00C3788D"/>
    <w:rsid w:val="00C40B09"/>
    <w:rsid w:val="00C51766"/>
    <w:rsid w:val="00C52753"/>
    <w:rsid w:val="00C54BA0"/>
    <w:rsid w:val="00C7469E"/>
    <w:rsid w:val="00C763AE"/>
    <w:rsid w:val="00C815B7"/>
    <w:rsid w:val="00CA1BEF"/>
    <w:rsid w:val="00CB2077"/>
    <w:rsid w:val="00CC1211"/>
    <w:rsid w:val="00CC13B9"/>
    <w:rsid w:val="00CC1BC6"/>
    <w:rsid w:val="00CC304D"/>
    <w:rsid w:val="00CC4A48"/>
    <w:rsid w:val="00CC7225"/>
    <w:rsid w:val="00CE56EC"/>
    <w:rsid w:val="00CF4D67"/>
    <w:rsid w:val="00D15CA7"/>
    <w:rsid w:val="00D26249"/>
    <w:rsid w:val="00D31C34"/>
    <w:rsid w:val="00D36341"/>
    <w:rsid w:val="00D401CE"/>
    <w:rsid w:val="00D431D1"/>
    <w:rsid w:val="00D474DF"/>
    <w:rsid w:val="00D65088"/>
    <w:rsid w:val="00D67D88"/>
    <w:rsid w:val="00D7373A"/>
    <w:rsid w:val="00D74C55"/>
    <w:rsid w:val="00D81F42"/>
    <w:rsid w:val="00D85E53"/>
    <w:rsid w:val="00DB1945"/>
    <w:rsid w:val="00DB1C4C"/>
    <w:rsid w:val="00DB3117"/>
    <w:rsid w:val="00DB3D1A"/>
    <w:rsid w:val="00DD2767"/>
    <w:rsid w:val="00DF163B"/>
    <w:rsid w:val="00E04CC9"/>
    <w:rsid w:val="00E13CBB"/>
    <w:rsid w:val="00E140B9"/>
    <w:rsid w:val="00E1445B"/>
    <w:rsid w:val="00E2229E"/>
    <w:rsid w:val="00E319D6"/>
    <w:rsid w:val="00E328B9"/>
    <w:rsid w:val="00E34240"/>
    <w:rsid w:val="00E4294C"/>
    <w:rsid w:val="00E60CDC"/>
    <w:rsid w:val="00E624EA"/>
    <w:rsid w:val="00E6351F"/>
    <w:rsid w:val="00E664A0"/>
    <w:rsid w:val="00E67008"/>
    <w:rsid w:val="00E81346"/>
    <w:rsid w:val="00E9427E"/>
    <w:rsid w:val="00E94F1A"/>
    <w:rsid w:val="00E95567"/>
    <w:rsid w:val="00E95F4C"/>
    <w:rsid w:val="00EA2E9C"/>
    <w:rsid w:val="00EA4A8D"/>
    <w:rsid w:val="00EB0405"/>
    <w:rsid w:val="00EB2953"/>
    <w:rsid w:val="00EB4E7C"/>
    <w:rsid w:val="00EB5FAE"/>
    <w:rsid w:val="00EC4988"/>
    <w:rsid w:val="00EC6877"/>
    <w:rsid w:val="00ED71DC"/>
    <w:rsid w:val="00EE3106"/>
    <w:rsid w:val="00EF0AFC"/>
    <w:rsid w:val="00EF1C00"/>
    <w:rsid w:val="00F05F62"/>
    <w:rsid w:val="00F132B4"/>
    <w:rsid w:val="00F21816"/>
    <w:rsid w:val="00F3547E"/>
    <w:rsid w:val="00F4225A"/>
    <w:rsid w:val="00F51D84"/>
    <w:rsid w:val="00F520E4"/>
    <w:rsid w:val="00F52C61"/>
    <w:rsid w:val="00F6363A"/>
    <w:rsid w:val="00F64191"/>
    <w:rsid w:val="00F70994"/>
    <w:rsid w:val="00F81737"/>
    <w:rsid w:val="00F83A51"/>
    <w:rsid w:val="00F930E6"/>
    <w:rsid w:val="00F94A12"/>
    <w:rsid w:val="00FB0598"/>
    <w:rsid w:val="00FD0073"/>
    <w:rsid w:val="00FD38C5"/>
    <w:rsid w:val="00FD798E"/>
    <w:rsid w:val="00FE3371"/>
    <w:rsid w:val="00FE3E83"/>
    <w:rsid w:val="00FF06E5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7BF5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67008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379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85E53"/>
    <w:rPr>
      <w:lang w:eastAsia="en-US"/>
    </w:rPr>
  </w:style>
  <w:style w:type="paragraph" w:styleId="Zpat">
    <w:name w:val="footer"/>
    <w:basedOn w:val="Normln"/>
    <w:link w:val="ZpatChar"/>
    <w:uiPriority w:val="99"/>
    <w:rsid w:val="006379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85E53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A4C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A4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A4C3F"/>
    <w:rPr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A4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4C3F"/>
    <w:rPr>
      <w:b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A4C3F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4C3F"/>
    <w:rPr>
      <w:rFonts w:ascii="Segoe UI" w:hAnsi="Segoe UI"/>
      <w:sz w:val="18"/>
      <w:lang w:eastAsia="en-US"/>
    </w:rPr>
  </w:style>
  <w:style w:type="paragraph" w:styleId="Revize">
    <w:name w:val="Revision"/>
    <w:hidden/>
    <w:uiPriority w:val="99"/>
    <w:semiHidden/>
    <w:rsid w:val="000347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1A41-A262-744A-8D64-D0960DE0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2025-10-15T13:36:00Z</dcterms:created>
  <dcterms:modified xsi:type="dcterms:W3CDTF">2025-11-03T16:48:00Z</dcterms:modified>
</cp:coreProperties>
</file>