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after="292"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721995</wp:posOffset>
            </wp:positionH>
            <wp:positionV relativeFrom="margin">
              <wp:posOffset>0</wp:posOffset>
            </wp:positionV>
            <wp:extent cx="2164080" cy="18605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1860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1128" w:left="1113" w:right="3235" w:bottom="2853" w:header="700" w:footer="2425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28" w:left="0" w:right="0" w:bottom="1128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 dne: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272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  <w:tab/>
        <w:t>POH/45148/2025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4025900</wp:posOffset>
                </wp:positionH>
                <wp:positionV relativeFrom="paragraph">
                  <wp:posOffset>76200</wp:posOffset>
                </wp:positionV>
                <wp:extent cx="1481455" cy="87185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1455" cy="871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HEROS GROUP s.r.o.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Plzeňská 155/113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150 00 Praha 5-Košíře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17.pt;margin-top:6.pt;width:116.65000000000001pt;height:68.650000000000006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HEROS GROUP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Plzeňská 155/113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150 00 Praha 5-Košíře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272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17.10.2025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Chomutov, Spořická 4949,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430 46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2956560</wp:posOffset>
                </wp:positionH>
                <wp:positionV relativeFrom="paragraph">
                  <wp:posOffset>12700</wp:posOffset>
                </wp:positionV>
                <wp:extent cx="953770" cy="64897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3770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213013/39/2025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30.12.2025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60 288,00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94284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32.80000000000001pt;margin-top:1.pt;width:75.100000000000009pt;height:51.1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213013/39/2025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30.12.2025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60 288,00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94284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opravu bezpečnostního systému na ČS Rašovice. Práce budou provedeny v rozsahu dle Vaší cenové nabídky č. NAB-25-00297 ze dne 2.10.2025.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 Plnění předmětu této smlouvy před účinností této smlouvy se považuje za plnění podle této smlouvy a práva a povinnosti z něj vzniklé se řídí touto smlouvou.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 prosím na adresu: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lze zaslat elektronicky na e-mailovou adresu: </w:t>
      </w:r>
      <w:r>
        <w:fldChar w:fldCharType="begin"/>
      </w:r>
      <w:r>
        <w:rPr/>
        <w:instrText> HYPERLINK "mailto:faktury-zcv@poh.cz"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faktury-zcv@poh.cz</w:t>
      </w:r>
      <w:r>
        <w:fldChar w:fldCharType="end"/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128" w:left="1113" w:right="5567" w:bottom="1128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