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Dodatek č. 2 ke</w:t>
      </w:r>
      <w:bookmarkEnd w:id="0"/>
      <w:bookmarkEnd w:id="1"/>
      <w:bookmarkEnd w:id="2"/>
    </w:p>
    <w:p>
      <w:pPr>
        <w:pStyle w:val="Style2"/>
        <w:keepNext/>
        <w:keepLines/>
        <w:widowControl w:val="0"/>
        <w:shd w:val="clear" w:color="auto" w:fill="auto"/>
        <w:bidi w:val="0"/>
        <w:spacing w:before="0" w:line="240" w:lineRule="auto"/>
        <w:ind w:left="0" w:right="0" w:firstLine="0"/>
        <w:jc w:val="center"/>
      </w:pPr>
      <w:bookmarkStart w:id="3" w:name="bookmark3"/>
      <w:bookmarkStart w:id="4" w:name="bookmark4"/>
      <w:bookmarkStart w:id="5" w:name="bookmark5"/>
      <w:r>
        <w:rPr>
          <w:color w:val="000000"/>
          <w:spacing w:val="0"/>
          <w:w w:val="100"/>
          <w:position w:val="0"/>
          <w:shd w:val="clear" w:color="auto" w:fill="auto"/>
          <w:lang w:val="cs-CZ" w:eastAsia="cs-CZ" w:bidi="cs-CZ"/>
        </w:rPr>
        <w:t>S M L O U V Ě O D Í L O</w:t>
      </w:r>
      <w:bookmarkEnd w:id="3"/>
      <w:bookmarkEnd w:id="4"/>
      <w:bookmarkEnd w:id="5"/>
    </w:p>
    <w:p>
      <w:pPr>
        <w:pStyle w:val="Style9"/>
        <w:keepNext w:val="0"/>
        <w:keepLines w:val="0"/>
        <w:widowControl w:val="0"/>
        <w:shd w:val="clear" w:color="auto" w:fill="auto"/>
        <w:bidi w:val="0"/>
        <w:spacing w:before="0" w:after="660" w:line="240" w:lineRule="auto"/>
        <w:ind w:left="0" w:right="0" w:firstLine="0"/>
        <w:jc w:val="center"/>
      </w:pPr>
      <w:r>
        <w:rPr>
          <w:b/>
          <w:bCs/>
          <w:color w:val="000000"/>
          <w:spacing w:val="0"/>
          <w:w w:val="100"/>
          <w:position w:val="0"/>
          <w:shd w:val="clear" w:color="auto" w:fill="auto"/>
          <w:lang w:val="cs-CZ" w:eastAsia="cs-CZ" w:bidi="cs-CZ"/>
        </w:rPr>
        <w:t>Číslo smlouvy zhotovitele: A 2417/21</w:t>
        <w:br/>
        <w:t>Číslo smlouvy objednatele: 594/2021</w:t>
      </w:r>
    </w:p>
    <w:p>
      <w:pPr>
        <w:pStyle w:val="Style12"/>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cs-CZ" w:eastAsia="cs-CZ" w:bidi="cs-CZ"/>
        </w:rPr>
        <w:t>„VD Nechranice - rekonstrukce krajních polí bezpečnostního</w:t>
        <w:br/>
        <w:t>přelivu – pravé pole“</w:t>
        <w:br/>
        <w:t>výkon TBD při rekonstrukci</w:t>
      </w:r>
    </w:p>
    <w:p>
      <w:pPr>
        <w:pStyle w:val="Style9"/>
        <w:keepNext w:val="0"/>
        <w:keepLines w:val="0"/>
        <w:widowControl w:val="0"/>
        <w:shd w:val="clear" w:color="auto" w:fill="auto"/>
        <w:bidi w:val="0"/>
        <w:spacing w:before="0" w:after="0" w:line="240" w:lineRule="auto"/>
        <w:ind w:left="0" w:right="0" w:firstLine="0"/>
        <w:jc w:val="left"/>
        <w:sectPr>
          <w:headerReference w:type="default" r:id="rId5"/>
          <w:footerReference w:type="default" r:id="rId6"/>
          <w:headerReference w:type="first" r:id="rId7"/>
          <w:footerReference w:type="first" r:id="rId8"/>
          <w:footnotePr>
            <w:pos w:val="pageBottom"/>
            <w:numFmt w:val="decimal"/>
            <w:numRestart w:val="continuous"/>
          </w:footnotePr>
          <w:pgSz w:w="11909" w:h="16838"/>
          <w:pgMar w:top="1939" w:left="1252" w:right="1108" w:bottom="1920" w:header="0" w:footer="3" w:gutter="0"/>
          <w:pgNumType w:start="1"/>
          <w:cols w:space="720"/>
          <w:noEndnote/>
          <w:titlePg/>
          <w:rtlGutter w:val="0"/>
          <w:docGrid w:linePitch="360"/>
        </w:sectPr>
      </w:pPr>
      <w:r>
        <w:rPr>
          <w:b/>
          <w:bCs/>
          <w:color w:val="000000"/>
          <w:spacing w:val="0"/>
          <w:w w:val="100"/>
          <w:position w:val="0"/>
          <w:shd w:val="clear" w:color="auto" w:fill="auto"/>
          <w:lang w:val="cs-CZ" w:eastAsia="cs-CZ" w:bidi="cs-CZ"/>
        </w:rPr>
        <w:t>SMLUVNÍ STRANY</w:t>
      </w:r>
    </w:p>
    <w:p>
      <w:pPr>
        <w:widowControl w:val="0"/>
        <w:spacing w:line="139" w:lineRule="exact"/>
        <w:rPr>
          <w:sz w:val="11"/>
          <w:szCs w:val="11"/>
        </w:rPr>
      </w:pPr>
    </w:p>
    <w:p>
      <w:pPr>
        <w:widowControl w:val="0"/>
        <w:spacing w:line="1" w:lineRule="exact"/>
        <w:sectPr>
          <w:footnotePr>
            <w:pos w:val="pageBottom"/>
            <w:numFmt w:val="decimal"/>
            <w:numRestart w:val="continuous"/>
          </w:footnotePr>
          <w:type w:val="continuous"/>
          <w:pgSz w:w="11909" w:h="16838"/>
          <w:pgMar w:top="1939" w:left="0" w:right="0" w:bottom="1920" w:header="0" w:footer="3" w:gutter="0"/>
          <w:cols w:space="720"/>
          <w:noEndnote/>
          <w:rtlGutter w:val="0"/>
          <w:docGrid w:linePitch="360"/>
        </w:sectPr>
      </w:pPr>
    </w:p>
    <w:p>
      <w:pPr>
        <w:pStyle w:val="Style14"/>
        <w:keepNext/>
        <w:keepLines/>
        <w:widowControl w:val="0"/>
        <w:shd w:val="clear" w:color="auto" w:fill="auto"/>
        <w:bidi w:val="0"/>
        <w:spacing w:before="0" w:after="0" w:line="240" w:lineRule="auto"/>
        <w:ind w:left="0" w:right="0" w:firstLine="0"/>
        <w:jc w:val="left"/>
      </w:pPr>
      <w:bookmarkStart w:id="6" w:name="bookmark6"/>
      <w:bookmarkStart w:id="7" w:name="bookmark7"/>
      <w:bookmarkStart w:id="8" w:name="bookmark8"/>
      <w:r>
        <w:rPr>
          <w:color w:val="000000"/>
          <w:spacing w:val="0"/>
          <w:w w:val="100"/>
          <w:position w:val="0"/>
          <w:shd w:val="clear" w:color="auto" w:fill="auto"/>
          <w:lang w:val="cs-CZ" w:eastAsia="cs-CZ" w:bidi="cs-CZ"/>
        </w:rPr>
        <w:t>OBJEDNATEL:</w:t>
      </w:r>
      <w:bookmarkEnd w:id="6"/>
      <w:bookmarkEnd w:id="7"/>
      <w:bookmarkEnd w:id="8"/>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 ve věcech smluvních: zástupce ve věcech technických: oprávněný zástupce objednatele:</w:t>
      </w:r>
    </w:p>
    <w:p>
      <w:pPr>
        <w:pStyle w:val="Style14"/>
        <w:keepNext/>
        <w:keepLines/>
        <w:widowControl w:val="0"/>
        <w:shd w:val="clear" w:color="auto" w:fill="auto"/>
        <w:bidi w:val="0"/>
        <w:spacing w:before="0" w:after="0" w:line="240" w:lineRule="auto"/>
        <w:ind w:left="0" w:right="0" w:firstLine="0"/>
        <w:jc w:val="left"/>
      </w:pPr>
      <w:bookmarkStart w:id="10" w:name="bookmark10"/>
      <w:bookmarkStart w:id="11" w:name="bookmark11"/>
      <w:bookmarkStart w:id="9" w:name="bookmark9"/>
      <w:r>
        <w:rPr>
          <w:color w:val="000000"/>
          <w:spacing w:val="0"/>
          <w:w w:val="100"/>
          <w:position w:val="0"/>
          <w:shd w:val="clear" w:color="auto" w:fill="auto"/>
          <w:lang w:val="cs-CZ" w:eastAsia="cs-CZ" w:bidi="cs-CZ"/>
        </w:rPr>
        <w:t>Povodí Ohře, státní podnik</w:t>
      </w:r>
      <w:bookmarkEnd w:id="10"/>
      <w:bookmarkEnd w:id="11"/>
      <w:bookmarkEnd w:id="9"/>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Bezručova 4219, 430 03 Chomutov 70889988</w:t>
      </w:r>
    </w:p>
    <w:p>
      <w:pPr>
        <w:pStyle w:val="Style9"/>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939" w:left="1252" w:right="3555" w:bottom="1920" w:header="0" w:footer="3" w:gutter="0"/>
          <w:cols w:num="2" w:space="100"/>
          <w:noEndnote/>
          <w:rtlGutter w:val="0"/>
          <w:docGrid w:linePitch="360"/>
        </w:sectPr>
      </w:pPr>
      <w:r>
        <w:rPr>
          <w:color w:val="000000"/>
          <w:spacing w:val="0"/>
          <w:w w:val="100"/>
          <w:position w:val="0"/>
          <w:shd w:val="clear" w:color="auto" w:fill="auto"/>
          <w:lang w:val="cs-CZ" w:eastAsia="cs-CZ" w:bidi="cs-CZ"/>
        </w:rPr>
        <w:t>CZ70889988</w:t>
      </w:r>
    </w:p>
    <w:p>
      <w:pPr>
        <w:widowControl w:val="0"/>
        <w:spacing w:line="240" w:lineRule="exact"/>
        <w:rPr>
          <w:sz w:val="19"/>
          <w:szCs w:val="19"/>
        </w:rPr>
      </w:pPr>
    </w:p>
    <w:p>
      <w:pPr>
        <w:widowControl w:val="0"/>
        <w:spacing w:before="83" w:after="83"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483" w:left="0" w:right="0" w:bottom="1920"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 číslo účtu:</w:t>
      </w:r>
    </w:p>
    <w:p>
      <w:pPr>
        <w:pStyle w:val="Style9"/>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 xml:space="preserve">Povodí Ohře, státní podnik, je zapsán v obchodním rejstříku Krajského soudu v Ústí nad Labem v oddílu A, vložce č. 13052 </w:t>
      </w:r>
      <w:r>
        <w:rPr>
          <w:b/>
          <w:bCs/>
          <w:color w:val="000000"/>
          <w:spacing w:val="0"/>
          <w:w w:val="100"/>
          <w:position w:val="0"/>
          <w:shd w:val="clear" w:color="auto" w:fill="auto"/>
          <w:lang w:val="cs-CZ" w:eastAsia="cs-CZ" w:bidi="cs-CZ"/>
        </w:rPr>
        <w:t>dále jen „objednatel“</w:t>
      </w:r>
    </w:p>
    <w:p>
      <w:pPr>
        <w:pStyle w:val="Style9"/>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a</w:t>
      </w:r>
    </w:p>
    <w:p>
      <w:pPr>
        <w:pStyle w:val="Style14"/>
        <w:keepNext/>
        <w:keepLines/>
        <w:widowControl w:val="0"/>
        <w:shd w:val="clear" w:color="auto" w:fill="auto"/>
        <w:tabs>
          <w:tab w:pos="3559" w:val="left"/>
        </w:tabs>
        <w:bidi w:val="0"/>
        <w:spacing w:before="0" w:after="0" w:line="240" w:lineRule="auto"/>
        <w:ind w:left="0" w:right="0" w:firstLine="0"/>
        <w:jc w:val="left"/>
      </w:pPr>
      <w:bookmarkStart w:id="12" w:name="bookmark12"/>
      <w:bookmarkStart w:id="13" w:name="bookmark13"/>
      <w:bookmarkStart w:id="14" w:name="bookmark14"/>
      <w:r>
        <w:rPr>
          <w:color w:val="000000"/>
          <w:spacing w:val="0"/>
          <w:w w:val="100"/>
          <w:position w:val="0"/>
          <w:shd w:val="clear" w:color="auto" w:fill="auto"/>
          <w:lang w:val="cs-CZ" w:eastAsia="cs-CZ" w:bidi="cs-CZ"/>
        </w:rPr>
        <w:t>ZHOTOVITEL:</w:t>
        <w:tab/>
        <w:t>VODNÍ DÍLA – TBD a. s.</w:t>
      </w:r>
      <w:bookmarkEnd w:id="12"/>
      <w:bookmarkEnd w:id="13"/>
      <w:bookmarkEnd w:id="14"/>
    </w:p>
    <w:p>
      <w:pPr>
        <w:pStyle w:val="Style9"/>
        <w:keepNext w:val="0"/>
        <w:keepLines w:val="0"/>
        <w:widowControl w:val="0"/>
        <w:shd w:val="clear" w:color="auto" w:fill="auto"/>
        <w:tabs>
          <w:tab w:pos="3559"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Hybernská 1617/40, 110 00 Praha 1</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p>
      <w:pPr>
        <w:pStyle w:val="Style9"/>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zástupce ve věcech technických:</w:t>
      </w:r>
    </w:p>
    <w:p>
      <w:pPr>
        <w:pStyle w:val="Style9"/>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bankovní spojení: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íslo účtu:</w:t>
      </w:r>
    </w:p>
    <w:p>
      <w:pPr>
        <w:pStyle w:val="Style9"/>
        <w:keepNext w:val="0"/>
        <w:keepLines w:val="0"/>
        <w:widowControl w:val="0"/>
        <w:shd w:val="clear" w:color="auto" w:fill="auto"/>
        <w:tabs>
          <w:tab w:pos="3559"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49241648</w:t>
      </w:r>
    </w:p>
    <w:p>
      <w:pPr>
        <w:pStyle w:val="Style9"/>
        <w:keepNext w:val="0"/>
        <w:keepLines w:val="0"/>
        <w:widowControl w:val="0"/>
        <w:shd w:val="clear" w:color="auto" w:fill="auto"/>
        <w:tabs>
          <w:tab w:pos="3559"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CZ49241648</w:t>
      </w:r>
    </w:p>
    <w:p>
      <w:pPr>
        <w:pStyle w:val="Style9"/>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 xml:space="preserve">Zhotovitel je zapsán v obchodním rejstříku Městského soudu v Praze v oddílu B, vložce č. 2154 </w:t>
      </w:r>
      <w:r>
        <w:rPr>
          <w:b/>
          <w:bCs/>
          <w:color w:val="000000"/>
          <w:spacing w:val="0"/>
          <w:w w:val="100"/>
          <w:position w:val="0"/>
          <w:shd w:val="clear" w:color="auto" w:fill="auto"/>
          <w:lang w:val="cs-CZ" w:eastAsia="cs-CZ" w:bidi="cs-CZ"/>
        </w:rPr>
        <w:t>dále jen „zhotovitel“</w:t>
      </w:r>
    </w:p>
    <w:p>
      <w:pPr>
        <w:pStyle w:val="Style9"/>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Na podkladě skutečností, které se vyskytly v průběhu provádění prací na stavbě, přičemž jejich zajištění je podmínkou pro řádné dokončení díla, se smluvní strany dohodly ve smyslu příslušných smluvních ustanovení na uzavření tohoto dodatku.</w:t>
      </w:r>
    </w:p>
    <w:p>
      <w:pPr>
        <w:pStyle w:val="Style9"/>
        <w:keepNext w:val="0"/>
        <w:keepLines w:val="0"/>
        <w:widowControl w:val="0"/>
        <w:shd w:val="clear" w:color="auto" w:fill="auto"/>
        <w:bidi w:val="0"/>
        <w:spacing w:before="0" w:after="200" w:line="240" w:lineRule="auto"/>
        <w:ind w:left="0" w:right="0" w:firstLine="0"/>
        <w:jc w:val="both"/>
      </w:pPr>
      <w:r>
        <w:rPr>
          <w:b/>
          <w:bCs/>
          <w:color w:val="000000"/>
          <w:spacing w:val="0"/>
          <w:w w:val="100"/>
          <w:position w:val="0"/>
          <w:shd w:val="clear" w:color="auto" w:fill="auto"/>
          <w:lang w:val="cs-CZ" w:eastAsia="cs-CZ" w:bidi="cs-CZ"/>
        </w:rPr>
        <w:t>Jedná se o změnu oprávněných zástupců objednatele</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původní znění:</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Statutární orgán: zastoupený ve věcech smluvních: zástupce ve věcech technických: </w:t>
      </w:r>
      <w:r>
        <w:rPr>
          <w:color w:val="000000"/>
          <w:spacing w:val="0"/>
          <w:w w:val="100"/>
          <w:position w:val="0"/>
          <w:shd w:val="clear" w:color="auto" w:fill="auto"/>
          <w:lang w:val="cs-CZ" w:eastAsia="cs-CZ" w:bidi="cs-CZ"/>
        </w:rPr>
        <w:t xml:space="preserve">oprávněný zástupce objednatele: </w:t>
      </w:r>
      <w:r>
        <w:rPr>
          <w:color w:val="000000"/>
          <w:spacing w:val="0"/>
          <w:w w:val="100"/>
          <w:position w:val="0"/>
          <w:shd w:val="clear" w:color="auto" w:fill="auto"/>
          <w:lang w:val="cs-CZ" w:eastAsia="cs-CZ" w:bidi="cs-CZ"/>
        </w:rPr>
        <w:t>nové znění:</w:t>
      </w:r>
    </w:p>
    <w:p>
      <w:pPr>
        <w:pStyle w:val="Style9"/>
        <w:keepNext w:val="0"/>
        <w:keepLines w:val="0"/>
        <w:widowControl w:val="0"/>
        <w:shd w:val="clear" w:color="auto" w:fill="auto"/>
        <w:bidi w:val="0"/>
        <w:spacing w:before="0" w:after="960" w:line="240" w:lineRule="auto"/>
        <w:ind w:left="0" w:right="0" w:firstLine="0"/>
        <w:jc w:val="both"/>
      </w:pPr>
      <w:r>
        <w:rPr>
          <w:color w:val="000000"/>
          <w:spacing w:val="0"/>
          <w:w w:val="100"/>
          <w:position w:val="0"/>
          <w:shd w:val="clear" w:color="auto" w:fill="auto"/>
          <w:lang w:val="cs-CZ" w:eastAsia="cs-CZ" w:bidi="cs-CZ"/>
        </w:rPr>
        <w:t>Statutární orgán: zastoupený ve věcech smluvních: zástupce ve věcech technických: oprávněný zástupce objednatele:</w:t>
      </w:r>
    </w:p>
    <w:p>
      <w:pPr>
        <w:pStyle w:val="Style9"/>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Ostatní ujednání smlouvy o dílo se nemění. Smluvní strany nepovažují žádné ustanovení dodatku za obchodní tajemství.</w:t>
      </w:r>
    </w:p>
    <w:p>
      <w:pPr>
        <w:pStyle w:val="Style9"/>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Smluvní strany prohlašují, že tento dodatek ke smlouvě uzavřely určitě, vážně a srozumitelně, že je projevem jejich pravé a svobodné vůle, a na důkaz tohoto připojují své podpisy.</w:t>
      </w:r>
    </w:p>
    <w:p>
      <w:pPr>
        <w:pStyle w:val="Style9"/>
        <w:keepNext w:val="0"/>
        <w:keepLines w:val="0"/>
        <w:widowControl w:val="0"/>
        <w:shd w:val="clear" w:color="auto" w:fill="auto"/>
        <w:bidi w:val="0"/>
        <w:spacing w:before="0" w:after="0" w:line="240" w:lineRule="auto"/>
        <w:ind w:left="0" w:right="0" w:firstLine="0"/>
        <w:jc w:val="both"/>
        <w:sectPr>
          <w:footnotePr>
            <w:pos w:val="pageBottom"/>
            <w:numFmt w:val="decimal"/>
            <w:numRestart w:val="continuous"/>
          </w:footnotePr>
          <w:type w:val="continuous"/>
          <w:pgSz w:w="11909" w:h="16838"/>
          <w:pgMar w:top="1483" w:left="1251" w:right="1105" w:bottom="1920" w:header="0" w:footer="3" w:gutter="0"/>
          <w:cols w:space="720"/>
          <w:noEndnote/>
          <w:rtlGutter w:val="0"/>
          <w:docGrid w:linePitch="360"/>
        </w:sectPr>
      </w:pPr>
      <w:r>
        <w:rPr>
          <w:color w:val="000000"/>
          <w:spacing w:val="0"/>
          <w:w w:val="100"/>
          <w:position w:val="0"/>
          <w:shd w:val="clear" w:color="auto" w:fill="auto"/>
          <w:lang w:val="cs-CZ" w:eastAsia="cs-CZ" w:bidi="cs-CZ"/>
        </w:rPr>
        <w:t>Tento dodatek ke smlouvě nabývá platnosti dnem jeho podpisu poslední ze smluvních stran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p>
    <w:p>
      <w:pPr>
        <w:widowControl w:val="0"/>
        <w:spacing w:line="167" w:lineRule="exact"/>
        <w:rPr>
          <w:sz w:val="13"/>
          <w:szCs w:val="13"/>
        </w:rPr>
      </w:pPr>
    </w:p>
    <w:p>
      <w:pPr>
        <w:widowControl w:val="0"/>
        <w:spacing w:line="1" w:lineRule="exact"/>
        <w:sectPr>
          <w:footnotePr>
            <w:pos w:val="pageBottom"/>
            <w:numFmt w:val="decimal"/>
            <w:numRestart w:val="continuous"/>
          </w:footnotePr>
          <w:type w:val="continuous"/>
          <w:pgSz w:w="11909" w:h="16838"/>
          <w:pgMar w:top="1483" w:left="0" w:right="0" w:bottom="3110" w:header="0" w:footer="3" w:gutter="0"/>
          <w:cols w:space="720"/>
          <w:noEndnote/>
          <w:rtlGutter w:val="0"/>
          <w:docGrid w:linePitch="360"/>
        </w:sectPr>
      </w:pPr>
    </w:p>
    <w:p>
      <w:pPr>
        <w:pStyle w:val="Style9"/>
        <w:keepNext w:val="0"/>
        <w:keepLines w:val="0"/>
        <w:widowControl w:val="0"/>
        <w:shd w:val="clear" w:color="auto" w:fill="auto"/>
        <w:bidi w:val="0"/>
        <w:spacing w:before="0" w:after="0" w:line="360" w:lineRule="auto"/>
        <w:ind w:left="0" w:right="0" w:firstLine="0"/>
        <w:jc w:val="left"/>
      </w:pPr>
      <w:r>
        <w:rPr>
          <w:color w:val="000000"/>
          <w:spacing w:val="0"/>
          <w:w w:val="100"/>
          <w:position w:val="0"/>
          <w:shd w:val="clear" w:color="auto" w:fill="auto"/>
          <w:lang w:val="cs-CZ" w:eastAsia="cs-CZ" w:bidi="cs-CZ"/>
        </w:rPr>
        <w:t>V Chomutově oprávněný zástupce objednatele</w:t>
      </w:r>
    </w:p>
    <w:p>
      <w:pPr>
        <w:pStyle w:val="Style9"/>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V Praze</w:t>
      </w:r>
    </w:p>
    <w:p>
      <w:pPr>
        <w:pStyle w:val="Style9"/>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483" w:left="1252" w:right="2476" w:bottom="3110" w:header="0" w:footer="3" w:gutter="0"/>
          <w:cols w:num="2" w:space="1795"/>
          <w:noEndnote/>
          <w:rtlGutter w:val="0"/>
          <w:docGrid w:linePitch="360"/>
        </w:sectPr>
      </w:pPr>
      <w:r>
        <w:rPr>
          <w:color w:val="000000"/>
          <w:spacing w:val="0"/>
          <w:w w:val="100"/>
          <w:position w:val="0"/>
          <w:shd w:val="clear" w:color="auto" w:fill="auto"/>
          <w:lang w:val="cs-CZ" w:eastAsia="cs-CZ" w:bidi="cs-CZ"/>
        </w:rPr>
        <w:t>oprávněný zástupce zhotovitele</w:t>
      </w:r>
    </w:p>
    <w:p>
      <w:pPr>
        <w:widowControl w:val="0"/>
        <w:spacing w:line="240" w:lineRule="exact"/>
        <w:rPr>
          <w:sz w:val="19"/>
          <w:szCs w:val="19"/>
        </w:rPr>
      </w:pPr>
    </w:p>
    <w:p>
      <w:pPr>
        <w:widowControl w:val="0"/>
        <w:spacing w:before="60" w:after="60"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483" w:left="0" w:right="0" w:bottom="1483" w:header="0" w:footer="3" w:gutter="0"/>
          <w:cols w:space="720"/>
          <w:noEndnote/>
          <w:rtlGutter w:val="0"/>
          <w:docGrid w:linePitch="360"/>
        </w:sectPr>
      </w:pPr>
    </w:p>
    <w:p>
      <w:pPr>
        <w:pStyle w:val="Style9"/>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 investiční ředitel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p>
      <w:pPr>
        <w:pStyle w:val="Style9"/>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 prokurista</w:t>
      </w:r>
    </w:p>
    <w:p>
      <w:pPr>
        <w:pStyle w:val="Style9"/>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483" w:left="1252" w:right="2414" w:bottom="1483" w:header="0" w:footer="3" w:gutter="0"/>
          <w:cols w:num="2" w:space="1838"/>
          <w:noEndnote/>
          <w:rtlGutter w:val="0"/>
          <w:docGrid w:linePitch="360"/>
        </w:sectPr>
      </w:pPr>
      <w:r>
        <w:rPr>
          <w:color w:val="000000"/>
          <w:spacing w:val="0"/>
          <w:w w:val="100"/>
          <w:position w:val="0"/>
          <w:shd w:val="clear" w:color="auto" w:fill="auto"/>
          <w:lang w:val="cs-CZ" w:eastAsia="cs-CZ" w:bidi="cs-CZ"/>
        </w:rPr>
        <w:t>VODNÍ DÍLA - TBD a.s.</w:t>
      </w:r>
    </w:p>
    <w:sectPr>
      <w:footnotePr>
        <w:pos w:val="pageBottom"/>
        <w:numFmt w:val="decimal"/>
        <w:numRestart w:val="continuous"/>
      </w:footnotePr>
      <w:type w:val="continuous"/>
      <w:pgSz w:w="11909" w:h="16838"/>
      <w:pgMar w:top="1483" w:left="1252" w:right="2414" w:bottom="1483" w:header="0" w:footer="3" w:gutter="0"/>
      <w:cols w:num="2" w:space="1838"/>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812800</wp:posOffset>
              </wp:positionH>
              <wp:positionV relativeFrom="page">
                <wp:posOffset>10229215</wp:posOffset>
              </wp:positionV>
              <wp:extent cx="76200" cy="204470"/>
              <wp:wrapNone/>
              <wp:docPr id="3" name="Shape 3"/>
              <a:graphic xmlns:a="http://schemas.openxmlformats.org/drawingml/2006/main">
                <a:graphicData uri="http://schemas.microsoft.com/office/word/2010/wordprocessingShape">
                  <wps:wsp>
                    <wps:cNvSpPr txBox="1"/>
                    <wps:spPr>
                      <a:xfrm>
                        <a:ext cx="76200" cy="2044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 id="_x0000_s1029" type="#_x0000_t202" style="position:absolute;margin-left:64.pt;margin-top:805.45000000000005pt;width:6.pt;height:16.100000000000001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6098540</wp:posOffset>
              </wp:positionH>
              <wp:positionV relativeFrom="page">
                <wp:posOffset>10052050</wp:posOffset>
              </wp:positionV>
              <wp:extent cx="746760" cy="204470"/>
              <wp:wrapNone/>
              <wp:docPr id="7" name="Shape 7"/>
              <a:graphic xmlns:a="http://schemas.openxmlformats.org/drawingml/2006/main">
                <a:graphicData uri="http://schemas.microsoft.com/office/word/2010/wordprocessingShape">
                  <wps:wsp>
                    <wps:cNvSpPr txBox="1"/>
                    <wps:spPr>
                      <a:xfrm>
                        <a:ext cx="746760" cy="2044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i/>
                              <w:iCs/>
                              <w:color w:val="000000"/>
                              <w:spacing w:val="0"/>
                              <w:w w:val="100"/>
                              <w:position w:val="0"/>
                              <w:sz w:val="22"/>
                              <w:szCs w:val="22"/>
                              <w:shd w:val="clear" w:color="auto" w:fill="auto"/>
                              <w:lang w:val="cs-CZ" w:eastAsia="cs-CZ" w:bidi="cs-CZ"/>
                            </w:rPr>
                            <w:t>Stránka</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1 </w:t>
                          </w:r>
                          <w:r>
                            <w:rPr>
                              <w:rFonts w:ascii="Times New Roman" w:eastAsia="Times New Roman" w:hAnsi="Times New Roman" w:cs="Times New Roman"/>
                              <w:i/>
                              <w:iCs/>
                              <w:color w:val="000000"/>
                              <w:spacing w:val="0"/>
                              <w:w w:val="100"/>
                              <w:position w:val="0"/>
                              <w:sz w:val="22"/>
                              <w:szCs w:val="22"/>
                              <w:shd w:val="clear" w:color="auto" w:fill="auto"/>
                              <w:lang w:val="cs-CZ" w:eastAsia="cs-CZ" w:bidi="cs-CZ"/>
                            </w:rPr>
                            <w:t>z</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2</w:t>
                          </w:r>
                        </w:p>
                      </w:txbxContent>
                    </wps:txbx>
                    <wps:bodyPr wrap="none" lIns="0" tIns="0" rIns="0" bIns="0">
                      <a:spAutoFit/>
                    </wps:bodyPr>
                  </wps:wsp>
                </a:graphicData>
              </a:graphic>
            </wp:anchor>
          </w:drawing>
        </mc:Choice>
        <mc:Fallback>
          <w:pict>
            <v:shape id="_x0000_s1033" type="#_x0000_t202" style="position:absolute;margin-left:480.19999999999999pt;margin-top:791.5pt;width:58.800000000000004pt;height:16.100000000000001pt;z-index:-18874405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i/>
                        <w:iCs/>
                        <w:color w:val="000000"/>
                        <w:spacing w:val="0"/>
                        <w:w w:val="100"/>
                        <w:position w:val="0"/>
                        <w:sz w:val="22"/>
                        <w:szCs w:val="22"/>
                        <w:shd w:val="clear" w:color="auto" w:fill="auto"/>
                        <w:lang w:val="cs-CZ" w:eastAsia="cs-CZ" w:bidi="cs-CZ"/>
                      </w:rPr>
                      <w:t>Stránka</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1 </w:t>
                    </w:r>
                    <w:r>
                      <w:rPr>
                        <w:rFonts w:ascii="Times New Roman" w:eastAsia="Times New Roman" w:hAnsi="Times New Roman" w:cs="Times New Roman"/>
                        <w:i/>
                        <w:iCs/>
                        <w:color w:val="000000"/>
                        <w:spacing w:val="0"/>
                        <w:w w:val="100"/>
                        <w:position w:val="0"/>
                        <w:sz w:val="22"/>
                        <w:szCs w:val="22"/>
                        <w:shd w:val="clear" w:color="auto" w:fill="auto"/>
                        <w:lang w:val="cs-CZ" w:eastAsia="cs-CZ" w:bidi="cs-CZ"/>
                      </w:rPr>
                      <w:t>z</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5845175</wp:posOffset>
              </wp:positionH>
              <wp:positionV relativeFrom="page">
                <wp:posOffset>438785</wp:posOffset>
              </wp:positionV>
              <wp:extent cx="728345" cy="140335"/>
              <wp:wrapNone/>
              <wp:docPr id="1" name="Shape 1"/>
              <a:graphic xmlns:a="http://schemas.openxmlformats.org/drawingml/2006/main">
                <a:graphicData uri="http://schemas.microsoft.com/office/word/2010/wordprocessingShape">
                  <wps:wsp>
                    <wps:cNvSpPr txBox="1"/>
                    <wps:spPr>
                      <a:xfrm>
                        <a:ext cx="728345" cy="14033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502 626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60.25pt;margin-top:34.550000000000004pt;width:57.350000000000001pt;height:11.0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502 626</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5845810</wp:posOffset>
              </wp:positionH>
              <wp:positionV relativeFrom="page">
                <wp:posOffset>438785</wp:posOffset>
              </wp:positionV>
              <wp:extent cx="728345" cy="140335"/>
              <wp:wrapNone/>
              <wp:docPr id="5" name="Shape 5"/>
              <a:graphic xmlns:a="http://schemas.openxmlformats.org/drawingml/2006/main">
                <a:graphicData uri="http://schemas.microsoft.com/office/word/2010/wordprocessingShape">
                  <wps:wsp>
                    <wps:cNvSpPr txBox="1"/>
                    <wps:spPr>
                      <a:xfrm>
                        <a:ext cx="728345" cy="14033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502 626</w:t>
                          </w:r>
                        </w:p>
                      </w:txbxContent>
                    </wps:txbx>
                    <wps:bodyPr wrap="none" lIns="0" tIns="0" rIns="0" bIns="0">
                      <a:spAutoFit/>
                    </wps:bodyPr>
                  </wps:wsp>
                </a:graphicData>
              </a:graphic>
            </wp:anchor>
          </w:drawing>
        </mc:Choice>
        <mc:Fallback>
          <w:pict>
            <v:shape id="_x0000_s1031" type="#_x0000_t202" style="position:absolute;margin-left:460.30000000000001pt;margin-top:34.550000000000004pt;width:57.350000000000001pt;height:11.050000000000001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502 626</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40"/>
      <w:szCs w:val="40"/>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character" w:customStyle="1" w:styleId="CharStyle13">
    <w:name w:val="Char Style 13"/>
    <w:basedOn w:val="DefaultParagraphFont"/>
    <w:link w:val="Style12"/>
    <w:rPr>
      <w:rFonts w:ascii="Arial" w:eastAsia="Arial" w:hAnsi="Arial" w:cs="Arial"/>
      <w:b/>
      <w:bCs/>
      <w:i w:val="0"/>
      <w:iCs w:val="0"/>
      <w:smallCaps w:val="0"/>
      <w:strike w:val="0"/>
      <w:sz w:val="28"/>
      <w:szCs w:val="28"/>
      <w:u w:val="none"/>
    </w:rPr>
  </w:style>
  <w:style w:type="character" w:customStyle="1" w:styleId="CharStyle15">
    <w:name w:val="Char Style 15"/>
    <w:basedOn w:val="DefaultParagraphFont"/>
    <w:link w:val="Style14"/>
    <w:rPr>
      <w:rFonts w:ascii="Arial" w:eastAsia="Arial" w:hAnsi="Arial" w:cs="Arial"/>
      <w:b/>
      <w:bCs/>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20"/>
      <w:jc w:val="center"/>
      <w:outlineLvl w:val="0"/>
    </w:pPr>
    <w:rPr>
      <w:rFonts w:ascii="Arial" w:eastAsia="Arial" w:hAnsi="Arial" w:cs="Arial"/>
      <w:b/>
      <w:bCs/>
      <w:i w:val="0"/>
      <w:iCs w:val="0"/>
      <w:smallCaps w:val="0"/>
      <w:strike w:val="0"/>
      <w:sz w:val="40"/>
      <w:szCs w:val="40"/>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2">
    <w:name w:val="Style 12"/>
    <w:basedOn w:val="Normal"/>
    <w:link w:val="CharStyle13"/>
    <w:pPr>
      <w:widowControl w:val="0"/>
      <w:shd w:val="clear" w:color="auto" w:fill="FFFFFF"/>
      <w:spacing w:after="500" w:line="329" w:lineRule="auto"/>
      <w:jc w:val="center"/>
    </w:pPr>
    <w:rPr>
      <w:rFonts w:ascii="Arial" w:eastAsia="Arial" w:hAnsi="Arial" w:cs="Arial"/>
      <w:b/>
      <w:bCs/>
      <w:i w:val="0"/>
      <w:iCs w:val="0"/>
      <w:smallCaps w:val="0"/>
      <w:strike w:val="0"/>
      <w:sz w:val="28"/>
      <w:szCs w:val="28"/>
      <w:u w:val="none"/>
    </w:rPr>
  </w:style>
  <w:style w:type="paragraph" w:customStyle="1" w:styleId="Style14">
    <w:name w:val="Style 14"/>
    <w:basedOn w:val="Normal"/>
    <w:link w:val="CharStyle15"/>
    <w:pPr>
      <w:widowControl w:val="0"/>
      <w:shd w:val="clear" w:color="auto" w:fill="FFFFFF"/>
      <w:outlineLvl w:val="1"/>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S M L O U V A   O    D Í L O</dc:title>
  <dc:subject>TP při výkonu TBD</dc:subject>
  <dc:creator>Ing.Miloš Sedláček</dc:creator>
  <cp:keywords/>
</cp:coreProperties>
</file>