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D8" w:rsidRPr="001077A1" w:rsidRDefault="009415D8" w:rsidP="009123A8">
      <w:pPr>
        <w:spacing w:line="276" w:lineRule="auto"/>
        <w:jc w:val="center"/>
        <w:rPr>
          <w:rFonts w:cs="Tahoma"/>
          <w:b/>
          <w:sz w:val="32"/>
        </w:rPr>
      </w:pPr>
      <w:r w:rsidRPr="001077A1">
        <w:rPr>
          <w:rFonts w:cs="Tahoma"/>
          <w:b/>
          <w:sz w:val="32"/>
        </w:rPr>
        <w:t>Dodatek č. 1 ke</w:t>
      </w:r>
    </w:p>
    <w:p w:rsidR="006C5FC9" w:rsidRPr="001077A1" w:rsidRDefault="006C5FC9" w:rsidP="009123A8">
      <w:pPr>
        <w:spacing w:line="276" w:lineRule="auto"/>
        <w:jc w:val="center"/>
        <w:rPr>
          <w:rFonts w:cs="Tahoma"/>
          <w:b/>
          <w:sz w:val="32"/>
        </w:rPr>
      </w:pPr>
      <w:r w:rsidRPr="001077A1">
        <w:rPr>
          <w:rFonts w:cs="Tahoma"/>
          <w:b/>
          <w:sz w:val="32"/>
        </w:rPr>
        <w:t>Smlouv</w:t>
      </w:r>
      <w:r w:rsidR="009415D8" w:rsidRPr="001077A1">
        <w:rPr>
          <w:rFonts w:cs="Tahoma"/>
          <w:b/>
          <w:sz w:val="32"/>
        </w:rPr>
        <w:t>ě</w:t>
      </w:r>
      <w:r w:rsidRPr="001077A1">
        <w:rPr>
          <w:rFonts w:cs="Tahoma"/>
          <w:b/>
          <w:sz w:val="32"/>
        </w:rPr>
        <w:t xml:space="preserve"> o </w:t>
      </w:r>
      <w:r w:rsidR="00B7564B" w:rsidRPr="001077A1">
        <w:rPr>
          <w:rFonts w:cs="Tahoma"/>
          <w:b/>
          <w:sz w:val="32"/>
        </w:rPr>
        <w:t>dílo</w:t>
      </w:r>
    </w:p>
    <w:p w:rsidR="004C0EED" w:rsidRPr="001077A1" w:rsidRDefault="004C0EED" w:rsidP="009123A8">
      <w:pPr>
        <w:spacing w:after="0" w:line="276" w:lineRule="auto"/>
        <w:jc w:val="center"/>
        <w:rPr>
          <w:rFonts w:eastAsia="Times New Roman" w:cs="Tahoma"/>
          <w:bCs/>
          <w:color w:val="000000"/>
          <w:lang w:eastAsia="cs-CZ"/>
        </w:rPr>
      </w:pPr>
      <w:r w:rsidRPr="001077A1">
        <w:rPr>
          <w:rFonts w:eastAsia="Times New Roman" w:cs="Tahoma"/>
          <w:bCs/>
          <w:color w:val="000000"/>
          <w:lang w:eastAsia="cs-CZ"/>
        </w:rPr>
        <w:t xml:space="preserve">č. </w:t>
      </w:r>
      <w:r w:rsidR="00B7564B" w:rsidRPr="001077A1">
        <w:rPr>
          <w:rFonts w:eastAsia="Times New Roman" w:cs="Tahoma"/>
          <w:bCs/>
          <w:color w:val="000000"/>
          <w:lang w:eastAsia="cs-CZ"/>
        </w:rPr>
        <w:t>15141</w:t>
      </w:r>
      <w:r w:rsidR="00C6114B" w:rsidRPr="001077A1">
        <w:rPr>
          <w:rFonts w:eastAsia="Times New Roman" w:cs="Tahoma"/>
          <w:bCs/>
          <w:color w:val="000000"/>
          <w:lang w:eastAsia="cs-CZ"/>
        </w:rPr>
        <w:t>2</w:t>
      </w:r>
      <w:r w:rsidR="0051174E" w:rsidRPr="001077A1">
        <w:rPr>
          <w:rFonts w:eastAsia="Times New Roman" w:cs="Tahoma"/>
          <w:bCs/>
          <w:color w:val="000000"/>
          <w:lang w:eastAsia="cs-CZ"/>
        </w:rPr>
        <w:t xml:space="preserve">, č. j. </w:t>
      </w:r>
      <w:r w:rsidR="00B7564B" w:rsidRPr="001077A1">
        <w:rPr>
          <w:rFonts w:eastAsia="Times New Roman" w:cs="Tahoma"/>
          <w:bCs/>
          <w:color w:val="000000"/>
          <w:lang w:eastAsia="cs-CZ"/>
        </w:rPr>
        <w:t>2015</w:t>
      </w:r>
      <w:r w:rsidR="0051174E" w:rsidRPr="001077A1">
        <w:rPr>
          <w:rFonts w:eastAsia="Times New Roman" w:cs="Tahoma"/>
          <w:bCs/>
          <w:color w:val="000000"/>
          <w:lang w:eastAsia="cs-CZ"/>
        </w:rPr>
        <w:t>/</w:t>
      </w:r>
      <w:r w:rsidR="00C6114B" w:rsidRPr="001077A1">
        <w:rPr>
          <w:rFonts w:eastAsia="Times New Roman" w:cs="Tahoma"/>
          <w:bCs/>
          <w:color w:val="000000"/>
          <w:lang w:eastAsia="cs-CZ"/>
        </w:rPr>
        <w:t>5805</w:t>
      </w:r>
      <w:r w:rsidRPr="001077A1">
        <w:rPr>
          <w:rFonts w:eastAsia="Times New Roman" w:cs="Tahoma"/>
          <w:bCs/>
          <w:color w:val="000000"/>
          <w:lang w:eastAsia="cs-CZ"/>
        </w:rPr>
        <w:t>/NM</w:t>
      </w:r>
    </w:p>
    <w:p w:rsidR="006C5FC9" w:rsidRPr="001077A1" w:rsidRDefault="00326CE4" w:rsidP="009123A8">
      <w:pPr>
        <w:tabs>
          <w:tab w:val="left" w:pos="8205"/>
        </w:tabs>
        <w:spacing w:after="0" w:line="276" w:lineRule="auto"/>
        <w:rPr>
          <w:rFonts w:eastAsia="Times New Roman" w:cs="Tahoma"/>
          <w:b/>
          <w:bCs/>
          <w:color w:val="000000"/>
          <w:lang w:eastAsia="cs-CZ"/>
        </w:rPr>
      </w:pPr>
      <w:r w:rsidRPr="001077A1">
        <w:rPr>
          <w:rFonts w:eastAsia="Times New Roman" w:cs="Tahoma"/>
          <w:b/>
          <w:bCs/>
          <w:color w:val="000000"/>
          <w:lang w:eastAsia="cs-CZ"/>
        </w:rPr>
        <w:tab/>
      </w:r>
    </w:p>
    <w:p w:rsidR="006C5FC9" w:rsidRPr="001077A1" w:rsidRDefault="009415D8" w:rsidP="009123A8">
      <w:pPr>
        <w:spacing w:after="0" w:line="276" w:lineRule="auto"/>
        <w:jc w:val="center"/>
        <w:rPr>
          <w:rFonts w:eastAsia="Times New Roman" w:cs="Tahoma"/>
          <w:b/>
          <w:bCs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uzavřené</w:t>
      </w:r>
      <w:r w:rsidR="006C5FC9" w:rsidRPr="001077A1">
        <w:rPr>
          <w:rFonts w:eastAsia="Times New Roman" w:cs="Tahoma"/>
          <w:color w:val="000000"/>
          <w:lang w:eastAsia="cs-CZ"/>
        </w:rPr>
        <w:t xml:space="preserve"> níže uvedenými smluvními stranami v souladu s ustanovením § </w:t>
      </w:r>
      <w:r w:rsidR="00B7564B" w:rsidRPr="001077A1">
        <w:rPr>
          <w:rFonts w:eastAsia="Times New Roman" w:cs="Tahoma"/>
          <w:color w:val="000000"/>
          <w:lang w:eastAsia="cs-CZ"/>
        </w:rPr>
        <w:t>2586</w:t>
      </w:r>
      <w:r w:rsidR="006C5FC9" w:rsidRPr="001077A1">
        <w:rPr>
          <w:rFonts w:eastAsia="Times New Roman" w:cs="Tahoma"/>
          <w:color w:val="000000"/>
          <w:lang w:eastAsia="cs-CZ"/>
        </w:rPr>
        <w:t xml:space="preserve"> a násl. zákona č. 89/2012 Sb., občanský zákoník (dále jen „smlouva“)</w:t>
      </w:r>
    </w:p>
    <w:p w:rsidR="006C5FC9" w:rsidRPr="001077A1" w:rsidRDefault="006C5FC9" w:rsidP="009123A8">
      <w:pPr>
        <w:spacing w:after="0" w:line="276" w:lineRule="auto"/>
        <w:jc w:val="center"/>
        <w:rPr>
          <w:rFonts w:eastAsia="Times New Roman" w:cs="Tahoma"/>
          <w:b/>
          <w:bCs/>
          <w:color w:val="000000"/>
          <w:lang w:eastAsia="cs-CZ"/>
        </w:rPr>
      </w:pPr>
    </w:p>
    <w:p w:rsidR="006C5FC9" w:rsidRPr="001077A1" w:rsidRDefault="006C5FC9" w:rsidP="009123A8">
      <w:pPr>
        <w:spacing w:after="0" w:line="276" w:lineRule="auto"/>
        <w:jc w:val="center"/>
        <w:rPr>
          <w:rFonts w:eastAsia="Times New Roman" w:cs="Tahoma"/>
          <w:b/>
          <w:bCs/>
          <w:color w:val="000000"/>
          <w:lang w:eastAsia="cs-CZ"/>
        </w:rPr>
      </w:pPr>
    </w:p>
    <w:p w:rsidR="009B06EB" w:rsidRPr="001077A1" w:rsidRDefault="009B06EB" w:rsidP="009123A8">
      <w:pPr>
        <w:spacing w:after="0" w:line="276" w:lineRule="auto"/>
        <w:jc w:val="center"/>
        <w:rPr>
          <w:rFonts w:eastAsia="Times New Roman" w:cs="Tahoma"/>
          <w:color w:val="000000"/>
          <w:sz w:val="24"/>
          <w:lang w:eastAsia="cs-CZ"/>
        </w:rPr>
      </w:pPr>
      <w:r w:rsidRPr="001077A1">
        <w:rPr>
          <w:rFonts w:eastAsia="Times New Roman" w:cs="Tahoma"/>
          <w:b/>
          <w:bCs/>
          <w:color w:val="000000"/>
          <w:sz w:val="24"/>
          <w:lang w:eastAsia="cs-CZ"/>
        </w:rPr>
        <w:t>Smluvní strany</w:t>
      </w:r>
    </w:p>
    <w:p w:rsidR="009B06EB" w:rsidRPr="001077A1" w:rsidRDefault="009B06EB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 </w:t>
      </w:r>
    </w:p>
    <w:p w:rsidR="006C5FC9" w:rsidRPr="001077A1" w:rsidRDefault="00D26704" w:rsidP="009123A8">
      <w:pPr>
        <w:spacing w:after="0" w:line="276" w:lineRule="auto"/>
        <w:jc w:val="both"/>
        <w:rPr>
          <w:rFonts w:eastAsia="Times New Roman" w:cs="Tahoma"/>
          <w:b/>
          <w:color w:val="000000"/>
          <w:lang w:eastAsia="cs-CZ"/>
        </w:rPr>
      </w:pPr>
      <w:r w:rsidRPr="001077A1">
        <w:rPr>
          <w:rFonts w:eastAsia="Times New Roman" w:cs="Tahoma"/>
          <w:b/>
          <w:color w:val="000000"/>
          <w:lang w:eastAsia="cs-CZ"/>
        </w:rPr>
        <w:t>N</w:t>
      </w:r>
      <w:r w:rsidR="006C5FC9" w:rsidRPr="001077A1">
        <w:rPr>
          <w:rFonts w:eastAsia="Times New Roman" w:cs="Tahoma"/>
          <w:b/>
          <w:color w:val="000000"/>
          <w:lang w:eastAsia="cs-CZ"/>
        </w:rPr>
        <w:t>árodní muzeum, příspěvková organizace</w:t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Sídlo:</w:t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  <w:t>Václavské náměstí 68, 115 79 Praha 1</w:t>
      </w:r>
    </w:p>
    <w:p w:rsidR="006C5FC9" w:rsidRPr="001077A1" w:rsidRDefault="006C5FC9" w:rsidP="00B7564B">
      <w:pPr>
        <w:spacing w:after="0" w:line="276" w:lineRule="auto"/>
        <w:ind w:left="4245" w:hanging="4245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Osoba oprávněná jednat za objednatele:</w:t>
      </w:r>
      <w:r w:rsidRPr="001077A1">
        <w:rPr>
          <w:rFonts w:eastAsia="Times New Roman" w:cs="Tahoma"/>
          <w:color w:val="000000"/>
          <w:lang w:eastAsia="cs-CZ"/>
        </w:rPr>
        <w:tab/>
      </w:r>
      <w:r w:rsidR="00B7564B" w:rsidRPr="001077A1">
        <w:rPr>
          <w:rFonts w:eastAsia="Times New Roman" w:cs="Tahoma"/>
          <w:color w:val="000000"/>
          <w:lang w:eastAsia="cs-CZ"/>
        </w:rPr>
        <w:t xml:space="preserve">doc. </w:t>
      </w:r>
      <w:r w:rsidRPr="001077A1">
        <w:rPr>
          <w:rFonts w:eastAsia="Times New Roman" w:cs="Tahoma"/>
          <w:color w:val="000000"/>
          <w:lang w:eastAsia="cs-CZ"/>
        </w:rPr>
        <w:t xml:space="preserve">PhDr. Michal </w:t>
      </w:r>
      <w:r w:rsidR="00B7564B" w:rsidRPr="001077A1">
        <w:rPr>
          <w:rFonts w:eastAsia="Times New Roman" w:cs="Tahoma"/>
          <w:color w:val="000000"/>
          <w:lang w:eastAsia="cs-CZ"/>
        </w:rPr>
        <w:t>Stehlík</w:t>
      </w:r>
      <w:r w:rsidRPr="001077A1">
        <w:rPr>
          <w:rFonts w:eastAsia="Times New Roman" w:cs="Tahoma"/>
          <w:color w:val="000000"/>
          <w:lang w:eastAsia="cs-CZ"/>
        </w:rPr>
        <w:t xml:space="preserve">, Ph.D., </w:t>
      </w:r>
      <w:r w:rsidR="00B7564B" w:rsidRPr="001077A1">
        <w:rPr>
          <w:rFonts w:eastAsia="Times New Roman" w:cs="Tahoma"/>
          <w:color w:val="000000"/>
          <w:lang w:eastAsia="cs-CZ"/>
        </w:rPr>
        <w:t>náměstek pro centrální sbírkotvornou a výstavní činnost</w:t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IČ:</w:t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  <w:t>00023272</w:t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DIČ:</w:t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  <w:t>CZ00023272</w:t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bankovní spojení</w:t>
      </w:r>
      <w:r w:rsidR="007D428C" w:rsidRPr="001077A1">
        <w:rPr>
          <w:rFonts w:eastAsia="Times New Roman" w:cs="Tahoma"/>
          <w:color w:val="000000"/>
          <w:lang w:eastAsia="cs-CZ"/>
        </w:rPr>
        <w:t>:</w:t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="001B03BB">
        <w:rPr>
          <w:rFonts w:eastAsia="Times New Roman" w:cs="Tahoma"/>
          <w:color w:val="000000"/>
          <w:lang w:eastAsia="cs-CZ"/>
        </w:rPr>
        <w:t>XXXXXXXXXXXXXXXXXXXXXXXXXXXXXX</w:t>
      </w:r>
    </w:p>
    <w:p w:rsidR="00D26704" w:rsidRPr="001077A1" w:rsidRDefault="00D26704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(dále jen „</w:t>
      </w:r>
      <w:r w:rsidR="00EA4A5F" w:rsidRPr="001077A1">
        <w:rPr>
          <w:rFonts w:eastAsia="Times New Roman" w:cs="Tahoma"/>
          <w:color w:val="000000"/>
          <w:lang w:eastAsia="cs-CZ"/>
        </w:rPr>
        <w:t>objednatel</w:t>
      </w:r>
      <w:r w:rsidRPr="001077A1">
        <w:rPr>
          <w:rFonts w:eastAsia="Times New Roman" w:cs="Tahoma"/>
          <w:color w:val="000000"/>
          <w:lang w:eastAsia="cs-CZ"/>
        </w:rPr>
        <w:t>“)</w:t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a</w:t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p w:rsidR="006C5FC9" w:rsidRPr="001077A1" w:rsidRDefault="00C6114B" w:rsidP="009123A8">
      <w:pPr>
        <w:spacing w:after="0" w:line="276" w:lineRule="auto"/>
        <w:jc w:val="both"/>
        <w:rPr>
          <w:rFonts w:eastAsia="Times New Roman" w:cs="Tahoma"/>
          <w:b/>
          <w:color w:val="000000"/>
          <w:lang w:eastAsia="cs-CZ"/>
        </w:rPr>
      </w:pPr>
      <w:r w:rsidRPr="001077A1">
        <w:rPr>
          <w:rFonts w:eastAsia="Times New Roman" w:cs="Tahoma"/>
          <w:b/>
          <w:color w:val="000000"/>
          <w:lang w:eastAsia="cs-CZ"/>
        </w:rPr>
        <w:t xml:space="preserve">Ing. arch. Hynek </w:t>
      </w:r>
      <w:proofErr w:type="spellStart"/>
      <w:r w:rsidRPr="001077A1">
        <w:rPr>
          <w:rFonts w:eastAsia="Times New Roman" w:cs="Tahoma"/>
          <w:b/>
          <w:color w:val="000000"/>
          <w:lang w:eastAsia="cs-CZ"/>
        </w:rPr>
        <w:t>Fetterle</w:t>
      </w:r>
      <w:proofErr w:type="spellEnd"/>
      <w:r w:rsidRPr="001077A1">
        <w:rPr>
          <w:rFonts w:eastAsia="Times New Roman" w:cs="Tahoma"/>
          <w:b/>
          <w:color w:val="000000"/>
          <w:lang w:eastAsia="cs-CZ"/>
        </w:rPr>
        <w:t xml:space="preserve"> – </w:t>
      </w:r>
      <w:proofErr w:type="spellStart"/>
      <w:r w:rsidRPr="001077A1">
        <w:rPr>
          <w:rFonts w:eastAsia="Times New Roman" w:cs="Tahoma"/>
          <w:b/>
          <w:color w:val="000000"/>
          <w:lang w:eastAsia="cs-CZ"/>
        </w:rPr>
        <w:t>Belcredi</w:t>
      </w:r>
      <w:proofErr w:type="spellEnd"/>
      <w:r w:rsidRPr="001077A1">
        <w:rPr>
          <w:rFonts w:eastAsia="Times New Roman" w:cs="Tahoma"/>
          <w:b/>
          <w:color w:val="000000"/>
          <w:lang w:eastAsia="cs-CZ"/>
        </w:rPr>
        <w:t xml:space="preserve"> architektura</w:t>
      </w:r>
      <w:r w:rsidR="006C5FC9" w:rsidRPr="001077A1">
        <w:rPr>
          <w:rFonts w:eastAsia="Times New Roman" w:cs="Tahoma"/>
          <w:b/>
          <w:color w:val="000000"/>
          <w:lang w:eastAsia="cs-CZ"/>
        </w:rPr>
        <w:tab/>
      </w:r>
      <w:r w:rsidR="006C5FC9" w:rsidRPr="001077A1">
        <w:rPr>
          <w:rFonts w:eastAsia="Times New Roman" w:cs="Tahoma"/>
          <w:b/>
          <w:color w:val="000000"/>
          <w:lang w:eastAsia="cs-CZ"/>
        </w:rPr>
        <w:tab/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Sídlo:</w:t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="00C6114B" w:rsidRPr="001077A1">
        <w:rPr>
          <w:rFonts w:eastAsia="Times New Roman" w:cs="Tahoma"/>
          <w:color w:val="000000"/>
          <w:lang w:eastAsia="cs-CZ"/>
        </w:rPr>
        <w:t xml:space="preserve">Veletržní 826/63, </w:t>
      </w:r>
      <w:proofErr w:type="gramStart"/>
      <w:r w:rsidR="00C6114B" w:rsidRPr="001077A1">
        <w:rPr>
          <w:rFonts w:eastAsia="Times New Roman" w:cs="Tahoma"/>
          <w:color w:val="000000"/>
          <w:lang w:eastAsia="cs-CZ"/>
        </w:rPr>
        <w:t>170 00  Praha</w:t>
      </w:r>
      <w:proofErr w:type="gramEnd"/>
      <w:r w:rsidR="00C6114B" w:rsidRPr="001077A1">
        <w:rPr>
          <w:rFonts w:eastAsia="Times New Roman" w:cs="Tahoma"/>
          <w:color w:val="000000"/>
          <w:lang w:eastAsia="cs-CZ"/>
        </w:rPr>
        <w:t xml:space="preserve"> 7</w:t>
      </w:r>
    </w:p>
    <w:p w:rsidR="00C6114B" w:rsidRPr="001077A1" w:rsidRDefault="00C6114B" w:rsidP="00C6114B">
      <w:pPr>
        <w:spacing w:after="0" w:line="276" w:lineRule="auto"/>
        <w:ind w:left="4245" w:hanging="4245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Osoba oprávněná jednat za zhotovitele:</w:t>
      </w:r>
      <w:r w:rsidRPr="001077A1">
        <w:rPr>
          <w:rFonts w:eastAsia="Times New Roman" w:cs="Tahoma"/>
          <w:color w:val="000000"/>
          <w:lang w:eastAsia="cs-CZ"/>
        </w:rPr>
        <w:tab/>
        <w:t xml:space="preserve">Ing. arch. Hynek </w:t>
      </w:r>
      <w:proofErr w:type="spellStart"/>
      <w:r w:rsidRPr="001077A1">
        <w:rPr>
          <w:rFonts w:eastAsia="Times New Roman" w:cs="Tahoma"/>
          <w:color w:val="000000"/>
          <w:lang w:eastAsia="cs-CZ"/>
        </w:rPr>
        <w:t>Fetterle</w:t>
      </w:r>
      <w:proofErr w:type="spellEnd"/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IČ:</w:t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="00C6114B" w:rsidRPr="001077A1">
        <w:rPr>
          <w:rFonts w:eastAsia="Times New Roman" w:cs="Tahoma"/>
          <w:color w:val="000000"/>
          <w:lang w:eastAsia="cs-CZ"/>
        </w:rPr>
        <w:t>86630521</w:t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DIČ:</w:t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="007D428C" w:rsidRPr="001077A1">
        <w:rPr>
          <w:rFonts w:eastAsia="Times New Roman" w:cs="Tahoma"/>
          <w:color w:val="000000"/>
          <w:lang w:eastAsia="cs-CZ"/>
        </w:rPr>
        <w:t>C</w:t>
      </w:r>
      <w:r w:rsidR="00C6114B" w:rsidRPr="001077A1">
        <w:rPr>
          <w:rFonts w:eastAsia="Times New Roman" w:cs="Tahoma"/>
          <w:color w:val="000000"/>
          <w:lang w:eastAsia="cs-CZ"/>
        </w:rPr>
        <w:t>Z500522212</w:t>
      </w:r>
    </w:p>
    <w:p w:rsidR="007D428C" w:rsidRPr="001077A1" w:rsidRDefault="007D428C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>bankovní spojení:</w:t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Pr="001077A1">
        <w:rPr>
          <w:rFonts w:eastAsia="Times New Roman" w:cs="Tahoma"/>
          <w:color w:val="000000"/>
          <w:lang w:eastAsia="cs-CZ"/>
        </w:rPr>
        <w:tab/>
      </w:r>
      <w:r w:rsidR="001B03BB">
        <w:rPr>
          <w:rFonts w:eastAsia="Times New Roman" w:cs="Tahoma"/>
          <w:color w:val="000000"/>
          <w:lang w:eastAsia="cs-CZ"/>
        </w:rPr>
        <w:t>XXXXXXXXXXXXXXXXXXXXXXXXXXX</w:t>
      </w:r>
      <w:bookmarkStart w:id="0" w:name="_GoBack"/>
      <w:bookmarkEnd w:id="0"/>
    </w:p>
    <w:p w:rsidR="00D26704" w:rsidRPr="001077A1" w:rsidRDefault="00D26704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 xml:space="preserve">(dále </w:t>
      </w:r>
      <w:r w:rsidRPr="001077A1">
        <w:rPr>
          <w:rFonts w:eastAsia="Times New Roman" w:cs="Tahoma"/>
          <w:lang w:eastAsia="cs-CZ"/>
        </w:rPr>
        <w:t>jen „</w:t>
      </w:r>
      <w:r w:rsidR="00C6114B" w:rsidRPr="001077A1">
        <w:rPr>
          <w:rFonts w:eastAsia="Times New Roman" w:cs="Tahoma"/>
          <w:lang w:eastAsia="cs-CZ"/>
        </w:rPr>
        <w:t>zhotovitel</w:t>
      </w:r>
      <w:r w:rsidRPr="001077A1">
        <w:rPr>
          <w:rFonts w:eastAsia="Times New Roman" w:cs="Tahoma"/>
          <w:lang w:eastAsia="cs-CZ"/>
        </w:rPr>
        <w:t>“)</w:t>
      </w:r>
    </w:p>
    <w:p w:rsidR="006C5FC9" w:rsidRPr="001077A1" w:rsidRDefault="006C5FC9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p w:rsidR="006900CD" w:rsidRPr="001077A1" w:rsidRDefault="006900CD" w:rsidP="009123A8">
      <w:pPr>
        <w:spacing w:after="0" w:line="276" w:lineRule="auto"/>
        <w:jc w:val="center"/>
        <w:rPr>
          <w:rFonts w:eastAsia="Times New Roman" w:cs="Tahoma"/>
          <w:b/>
          <w:color w:val="000000"/>
          <w:sz w:val="28"/>
          <w:lang w:eastAsia="cs-CZ"/>
        </w:rPr>
      </w:pPr>
      <w:r w:rsidRPr="001077A1">
        <w:rPr>
          <w:rFonts w:eastAsia="Times New Roman" w:cs="Tahoma"/>
          <w:b/>
          <w:color w:val="000000"/>
          <w:sz w:val="28"/>
          <w:lang w:eastAsia="cs-CZ"/>
        </w:rPr>
        <w:t>I.</w:t>
      </w:r>
    </w:p>
    <w:p w:rsidR="009415D8" w:rsidRPr="001077A1" w:rsidRDefault="009415D8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  <w:r w:rsidRPr="001077A1">
        <w:rPr>
          <w:rFonts w:eastAsia="Times New Roman" w:cs="Tahoma"/>
          <w:color w:val="000000"/>
          <w:lang w:eastAsia="cs-CZ"/>
        </w:rPr>
        <w:t xml:space="preserve">Výše </w:t>
      </w:r>
      <w:r w:rsidR="0051174E" w:rsidRPr="001077A1">
        <w:rPr>
          <w:rFonts w:eastAsia="Times New Roman" w:cs="Tahoma"/>
          <w:color w:val="000000"/>
          <w:lang w:eastAsia="cs-CZ"/>
        </w:rPr>
        <w:t xml:space="preserve">uvedené strany uzavřely dne </w:t>
      </w:r>
      <w:r w:rsidR="003301B6" w:rsidRPr="001077A1">
        <w:rPr>
          <w:rFonts w:eastAsia="Times New Roman" w:cs="Tahoma"/>
          <w:color w:val="000000"/>
          <w:lang w:eastAsia="cs-CZ"/>
        </w:rPr>
        <w:t>25. listopadu 2015</w:t>
      </w:r>
      <w:r w:rsidRPr="001077A1">
        <w:rPr>
          <w:rFonts w:eastAsia="Times New Roman" w:cs="Tahoma"/>
          <w:color w:val="000000"/>
          <w:lang w:eastAsia="cs-CZ"/>
        </w:rPr>
        <w:t xml:space="preserve"> v souladu s ustanovením § </w:t>
      </w:r>
      <w:r w:rsidR="007D428C" w:rsidRPr="001077A1">
        <w:rPr>
          <w:rFonts w:eastAsia="Times New Roman" w:cs="Tahoma"/>
          <w:color w:val="000000"/>
          <w:lang w:eastAsia="cs-CZ"/>
        </w:rPr>
        <w:t>2586</w:t>
      </w:r>
      <w:r w:rsidRPr="001077A1">
        <w:rPr>
          <w:rFonts w:eastAsia="Times New Roman" w:cs="Tahoma"/>
          <w:color w:val="000000"/>
          <w:lang w:eastAsia="cs-CZ"/>
        </w:rPr>
        <w:t xml:space="preserve"> a násl. zákona č. 89/2012 Sb., občanský zákoník Smlouvu o </w:t>
      </w:r>
      <w:r w:rsidR="007D428C" w:rsidRPr="001077A1">
        <w:rPr>
          <w:rFonts w:eastAsia="Times New Roman" w:cs="Tahoma"/>
          <w:color w:val="000000"/>
          <w:lang w:eastAsia="cs-CZ"/>
        </w:rPr>
        <w:t>dílo č. 15141</w:t>
      </w:r>
      <w:r w:rsidR="00C6114B" w:rsidRPr="001077A1">
        <w:rPr>
          <w:rFonts w:eastAsia="Times New Roman" w:cs="Tahoma"/>
          <w:color w:val="000000"/>
          <w:lang w:eastAsia="cs-CZ"/>
        </w:rPr>
        <w:t>2</w:t>
      </w:r>
      <w:r w:rsidRPr="001077A1">
        <w:rPr>
          <w:rFonts w:eastAsia="Times New Roman" w:cs="Tahoma"/>
          <w:color w:val="000000"/>
          <w:lang w:eastAsia="cs-CZ"/>
        </w:rPr>
        <w:t xml:space="preserve"> (dále jen „Smlouva“). S ohledem na změnu </w:t>
      </w:r>
      <w:proofErr w:type="spellStart"/>
      <w:r w:rsidR="0051174E" w:rsidRPr="001077A1">
        <w:rPr>
          <w:rFonts w:eastAsia="Times New Roman" w:cs="Tahoma"/>
          <w:color w:val="000000"/>
          <w:lang w:eastAsia="cs-CZ"/>
        </w:rPr>
        <w:t>technick</w:t>
      </w:r>
      <w:r w:rsidR="007D428C" w:rsidRPr="001077A1">
        <w:rPr>
          <w:rFonts w:eastAsia="Times New Roman" w:cs="Tahoma"/>
          <w:color w:val="000000"/>
          <w:lang w:eastAsia="cs-CZ"/>
        </w:rPr>
        <w:t>o-organizačních</w:t>
      </w:r>
      <w:proofErr w:type="spellEnd"/>
      <w:r w:rsidR="007D428C" w:rsidRPr="001077A1">
        <w:rPr>
          <w:rFonts w:eastAsia="Times New Roman" w:cs="Tahoma"/>
          <w:color w:val="000000"/>
          <w:lang w:eastAsia="cs-CZ"/>
        </w:rPr>
        <w:t xml:space="preserve"> a časových</w:t>
      </w:r>
      <w:r w:rsidR="0051174E" w:rsidRPr="001077A1">
        <w:rPr>
          <w:rFonts w:eastAsia="Times New Roman" w:cs="Tahoma"/>
          <w:color w:val="000000"/>
          <w:lang w:eastAsia="cs-CZ"/>
        </w:rPr>
        <w:t xml:space="preserve"> podmínek</w:t>
      </w:r>
      <w:r w:rsidRPr="001077A1">
        <w:rPr>
          <w:rFonts w:eastAsia="Times New Roman" w:cs="Tahoma"/>
          <w:color w:val="000000"/>
          <w:lang w:eastAsia="cs-CZ"/>
        </w:rPr>
        <w:t xml:space="preserve"> </w:t>
      </w:r>
      <w:r w:rsidR="00A83E40" w:rsidRPr="001077A1">
        <w:rPr>
          <w:rFonts w:eastAsia="Times New Roman" w:cs="Tahoma"/>
          <w:color w:val="000000"/>
          <w:lang w:eastAsia="cs-CZ"/>
        </w:rPr>
        <w:t>vyplývajících z</w:t>
      </w:r>
      <w:r w:rsidR="0051174E" w:rsidRPr="001077A1">
        <w:rPr>
          <w:rFonts w:eastAsia="Times New Roman" w:cs="Tahoma"/>
          <w:color w:val="000000"/>
          <w:lang w:eastAsia="cs-CZ"/>
        </w:rPr>
        <w:t xml:space="preserve"> provozních </w:t>
      </w:r>
      <w:r w:rsidR="00A83E40" w:rsidRPr="001077A1">
        <w:rPr>
          <w:rFonts w:eastAsia="Times New Roman" w:cs="Tahoma"/>
          <w:color w:val="000000"/>
          <w:lang w:eastAsia="cs-CZ"/>
        </w:rPr>
        <w:t>požadavk</w:t>
      </w:r>
      <w:r w:rsidR="0051174E" w:rsidRPr="001077A1">
        <w:rPr>
          <w:rFonts w:eastAsia="Times New Roman" w:cs="Tahoma"/>
          <w:color w:val="000000"/>
          <w:lang w:eastAsia="cs-CZ"/>
        </w:rPr>
        <w:t>ů</w:t>
      </w:r>
      <w:r w:rsidR="00A83E40" w:rsidRPr="001077A1">
        <w:rPr>
          <w:rFonts w:eastAsia="Times New Roman" w:cs="Tahoma"/>
          <w:color w:val="000000"/>
          <w:lang w:eastAsia="cs-CZ"/>
        </w:rPr>
        <w:t xml:space="preserve"> objednatele </w:t>
      </w:r>
      <w:r w:rsidRPr="001077A1">
        <w:rPr>
          <w:rFonts w:eastAsia="Times New Roman" w:cs="Tahoma"/>
          <w:color w:val="000000"/>
          <w:lang w:eastAsia="cs-CZ"/>
        </w:rPr>
        <w:t>se smluvní strany dohodly na změně smlouvy takto:</w:t>
      </w:r>
    </w:p>
    <w:p w:rsidR="006900CD" w:rsidRPr="001077A1" w:rsidRDefault="006900CD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p w:rsidR="007B51CD" w:rsidRPr="001077A1" w:rsidRDefault="007B51CD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p w:rsidR="009415D8" w:rsidRPr="001077A1" w:rsidRDefault="006900CD" w:rsidP="009123A8">
      <w:pPr>
        <w:spacing w:after="0" w:line="276" w:lineRule="auto"/>
        <w:jc w:val="center"/>
        <w:rPr>
          <w:rFonts w:eastAsia="Times New Roman" w:cs="Tahoma"/>
          <w:b/>
          <w:color w:val="000000"/>
          <w:sz w:val="28"/>
          <w:lang w:eastAsia="cs-CZ"/>
        </w:rPr>
      </w:pPr>
      <w:r w:rsidRPr="001077A1">
        <w:rPr>
          <w:rFonts w:eastAsia="Times New Roman" w:cs="Tahoma"/>
          <w:b/>
          <w:color w:val="000000"/>
          <w:sz w:val="28"/>
          <w:lang w:eastAsia="cs-CZ"/>
        </w:rPr>
        <w:t>II.</w:t>
      </w:r>
    </w:p>
    <w:p w:rsidR="00B80076" w:rsidRPr="001077A1" w:rsidRDefault="00BF13C1" w:rsidP="009123A8">
      <w:pPr>
        <w:spacing w:after="0" w:line="276" w:lineRule="auto"/>
        <w:jc w:val="both"/>
        <w:rPr>
          <w:rFonts w:eastAsia="Times New Roman" w:cs="Tahoma"/>
          <w:b/>
          <w:color w:val="000000"/>
          <w:lang w:eastAsia="cs-CZ"/>
        </w:rPr>
      </w:pPr>
      <w:r w:rsidRPr="001077A1">
        <w:rPr>
          <w:rFonts w:eastAsia="Times New Roman" w:cs="Tahoma"/>
          <w:b/>
          <w:color w:val="000000"/>
          <w:lang w:eastAsia="cs-CZ"/>
        </w:rPr>
        <w:t xml:space="preserve">A. </w:t>
      </w:r>
      <w:r w:rsidR="00B80076" w:rsidRPr="001077A1">
        <w:rPr>
          <w:rFonts w:eastAsia="Times New Roman" w:cs="Tahoma"/>
          <w:b/>
          <w:color w:val="000000"/>
          <w:lang w:eastAsia="cs-CZ"/>
        </w:rPr>
        <w:t>Ustanovení článku II</w:t>
      </w:r>
      <w:r w:rsidR="007D428C" w:rsidRPr="001077A1">
        <w:rPr>
          <w:rFonts w:eastAsia="Times New Roman" w:cs="Tahoma"/>
          <w:b/>
          <w:color w:val="000000"/>
          <w:lang w:eastAsia="cs-CZ"/>
        </w:rPr>
        <w:t>I</w:t>
      </w:r>
      <w:r w:rsidR="00B80076" w:rsidRPr="001077A1">
        <w:rPr>
          <w:rFonts w:eastAsia="Times New Roman" w:cs="Tahoma"/>
          <w:b/>
          <w:color w:val="000000"/>
          <w:lang w:eastAsia="cs-CZ"/>
        </w:rPr>
        <w:t xml:space="preserve">. odstavce </w:t>
      </w:r>
      <w:r w:rsidR="00622ECA" w:rsidRPr="001077A1">
        <w:rPr>
          <w:rFonts w:eastAsia="Times New Roman" w:cs="Tahoma"/>
          <w:b/>
          <w:color w:val="000000"/>
          <w:lang w:eastAsia="cs-CZ"/>
        </w:rPr>
        <w:t>2</w:t>
      </w:r>
      <w:r w:rsidR="00B80076" w:rsidRPr="001077A1">
        <w:rPr>
          <w:rFonts w:eastAsia="Times New Roman" w:cs="Tahoma"/>
          <w:b/>
          <w:color w:val="000000"/>
          <w:lang w:eastAsia="cs-CZ"/>
        </w:rPr>
        <w:t xml:space="preserve"> se </w:t>
      </w:r>
      <w:r w:rsidR="003301B6" w:rsidRPr="001077A1">
        <w:rPr>
          <w:rFonts w:eastAsia="Times New Roman" w:cs="Tahoma"/>
          <w:b/>
          <w:color w:val="000000"/>
          <w:lang w:eastAsia="cs-CZ"/>
        </w:rPr>
        <w:t>mění</w:t>
      </w:r>
      <w:r w:rsidR="00B80076" w:rsidRPr="001077A1">
        <w:rPr>
          <w:rFonts w:eastAsia="Times New Roman" w:cs="Tahoma"/>
          <w:b/>
          <w:color w:val="000000"/>
          <w:lang w:eastAsia="cs-CZ"/>
        </w:rPr>
        <w:t xml:space="preserve"> a po změně zní:</w:t>
      </w:r>
    </w:p>
    <w:p w:rsidR="00622ECA" w:rsidRPr="001077A1" w:rsidRDefault="00622ECA" w:rsidP="00622ECA">
      <w:pPr>
        <w:spacing w:after="0" w:line="276" w:lineRule="auto"/>
        <w:jc w:val="both"/>
      </w:pPr>
      <w:r w:rsidRPr="001077A1">
        <w:t>Provádět autorský dozor při realizaci Díla, a to po dobu od zahájení příslušných prací a dodávek do kolaudace Díla, která se uskuteční nejpozději 30. září 2017, a to v rozsahu max. 100 hod.</w:t>
      </w:r>
    </w:p>
    <w:p w:rsidR="003301B6" w:rsidRPr="001077A1" w:rsidRDefault="003301B6" w:rsidP="009123A8">
      <w:pPr>
        <w:spacing w:after="0" w:line="276" w:lineRule="auto"/>
        <w:jc w:val="both"/>
        <w:rPr>
          <w:rFonts w:eastAsia="Times New Roman" w:cs="Tahoma"/>
          <w:b/>
          <w:color w:val="000000"/>
          <w:lang w:eastAsia="cs-CZ"/>
        </w:rPr>
      </w:pPr>
      <w:r w:rsidRPr="001077A1">
        <w:rPr>
          <w:rFonts w:eastAsia="Times New Roman" w:cs="Tahoma"/>
          <w:b/>
          <w:color w:val="000000"/>
          <w:lang w:eastAsia="cs-CZ"/>
        </w:rPr>
        <w:lastRenderedPageBreak/>
        <w:t xml:space="preserve">B. Ustanovení článku </w:t>
      </w:r>
      <w:r w:rsidR="00622ECA" w:rsidRPr="001077A1">
        <w:rPr>
          <w:rFonts w:eastAsia="Times New Roman" w:cs="Tahoma"/>
          <w:b/>
          <w:color w:val="000000"/>
          <w:lang w:eastAsia="cs-CZ"/>
        </w:rPr>
        <w:t>IX</w:t>
      </w:r>
      <w:r w:rsidRPr="001077A1">
        <w:rPr>
          <w:rFonts w:eastAsia="Times New Roman" w:cs="Tahoma"/>
          <w:b/>
          <w:color w:val="000000"/>
          <w:lang w:eastAsia="cs-CZ"/>
        </w:rPr>
        <w:t>. odstavce 1 se mění a po změně zní:</w:t>
      </w:r>
    </w:p>
    <w:p w:rsidR="003301B6" w:rsidRPr="001077A1" w:rsidRDefault="003301B6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p w:rsidR="00622ECA" w:rsidRPr="001077A1" w:rsidRDefault="00622ECA" w:rsidP="00622ECA">
      <w:pPr>
        <w:spacing w:after="0" w:line="276" w:lineRule="auto"/>
        <w:jc w:val="both"/>
      </w:pPr>
      <w:r w:rsidRPr="001077A1">
        <w:t xml:space="preserve">Zhotoviteli náleží odměna za vytvoření díla, poskytnutí licence k dílu dle této smlouvy a za realizaci dalších činností dle této smlouvy v následující výši:  </w:t>
      </w:r>
    </w:p>
    <w:p w:rsidR="008D644A" w:rsidRDefault="008D644A" w:rsidP="00622ECA">
      <w:pPr>
        <w:spacing w:after="0" w:line="276" w:lineRule="auto"/>
        <w:jc w:val="both"/>
      </w:pPr>
    </w:p>
    <w:p w:rsidR="001077A1" w:rsidRPr="001077A1" w:rsidRDefault="001077A1" w:rsidP="00622ECA">
      <w:pPr>
        <w:spacing w:after="0" w:line="276" w:lineRule="auto"/>
        <w:jc w:val="both"/>
      </w:pPr>
    </w:p>
    <w:p w:rsidR="00622ECA" w:rsidRPr="001077A1" w:rsidRDefault="00622ECA" w:rsidP="00622ECA">
      <w:pPr>
        <w:spacing w:after="0" w:line="276" w:lineRule="auto"/>
        <w:jc w:val="both"/>
        <w:rPr>
          <w:sz w:val="28"/>
        </w:rPr>
      </w:pPr>
      <w:r w:rsidRPr="001077A1">
        <w:rPr>
          <w:sz w:val="28"/>
        </w:rPr>
        <w:t>a)</w:t>
      </w:r>
    </w:p>
    <w:tbl>
      <w:tblPr>
        <w:tblStyle w:val="Mkatabulky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614"/>
      </w:tblGrid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r w:rsidRPr="001077A1">
              <w:t>A. Turnikety</w:t>
            </w: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40.000,00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r w:rsidRPr="001077A1">
              <w:t>B. Informační systém NB NM – pasivní prvky a mobiliář</w:t>
            </w: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55.000,00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r w:rsidRPr="001077A1">
              <w:t>C. Informační systém NB NM – aktivní prvky a řídicí systém</w:t>
            </w: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55.000,00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622ECA" w:rsidRPr="001077A1" w:rsidRDefault="00622ECA" w:rsidP="00C3578E">
            <w:r w:rsidRPr="001077A1">
              <w:t>D. Vložená podlaha a žaluzie ve výstavních sálech II. patra NB NM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40.000,00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  <w:tcBorders>
              <w:top w:val="single" w:sz="4" w:space="0" w:color="auto"/>
            </w:tcBorders>
          </w:tcPr>
          <w:p w:rsidR="00622ECA" w:rsidRPr="001077A1" w:rsidRDefault="00622ECA" w:rsidP="00C3578E">
            <w:r w:rsidRPr="001077A1">
              <w:t>Cena celkem bez DPH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190.000,00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r w:rsidRPr="001077A1">
              <w:t>z toho DPH 21%</w:t>
            </w: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39.900,00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pPr>
              <w:contextualSpacing/>
              <w:rPr>
                <w:b/>
              </w:rPr>
            </w:pPr>
            <w:r w:rsidRPr="001077A1">
              <w:rPr>
                <w:b/>
              </w:rPr>
              <w:t>Cena celkem včetně DPH:</w:t>
            </w: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  <w:rPr>
                <w:b/>
              </w:rPr>
            </w:pPr>
            <w:r w:rsidRPr="001077A1">
              <w:rPr>
                <w:b/>
              </w:rPr>
              <w:t>229.900,00 Kč</w:t>
            </w:r>
          </w:p>
        </w:tc>
      </w:tr>
      <w:tr w:rsidR="00622ECA" w:rsidRPr="001077A1" w:rsidTr="00C3578E">
        <w:trPr>
          <w:jc w:val="center"/>
        </w:trPr>
        <w:tc>
          <w:tcPr>
            <w:tcW w:w="8568" w:type="dxa"/>
            <w:gridSpan w:val="2"/>
          </w:tcPr>
          <w:p w:rsidR="00622ECA" w:rsidRPr="001077A1" w:rsidRDefault="00622ECA" w:rsidP="00C3578E">
            <w:pPr>
              <w:contextualSpacing/>
              <w:rPr>
                <w:i/>
              </w:rPr>
            </w:pPr>
            <w:r w:rsidRPr="001077A1">
              <w:rPr>
                <w:i/>
              </w:rPr>
              <w:t xml:space="preserve">Slovy: </w:t>
            </w:r>
            <w:proofErr w:type="spellStart"/>
            <w:r w:rsidRPr="001077A1">
              <w:rPr>
                <w:i/>
              </w:rPr>
              <w:t>Dvěstědvacetdevěttisícdevětset</w:t>
            </w:r>
            <w:proofErr w:type="spellEnd"/>
            <w:r w:rsidRPr="001077A1">
              <w:rPr>
                <w:i/>
              </w:rPr>
              <w:t xml:space="preserve"> korun českých </w:t>
            </w:r>
          </w:p>
        </w:tc>
      </w:tr>
    </w:tbl>
    <w:p w:rsidR="008D644A" w:rsidRDefault="008D644A" w:rsidP="00622ECA"/>
    <w:p w:rsidR="001077A1" w:rsidRPr="001077A1" w:rsidRDefault="001077A1" w:rsidP="00622ECA"/>
    <w:p w:rsidR="00622ECA" w:rsidRPr="001077A1" w:rsidRDefault="00622ECA" w:rsidP="00622ECA">
      <w:pPr>
        <w:spacing w:after="0"/>
        <w:rPr>
          <w:sz w:val="28"/>
        </w:rPr>
      </w:pPr>
      <w:r w:rsidRPr="001077A1">
        <w:rPr>
          <w:sz w:val="28"/>
        </w:rPr>
        <w:t>b)</w:t>
      </w:r>
    </w:p>
    <w:tbl>
      <w:tblPr>
        <w:tblStyle w:val="Mkatabulky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614"/>
      </w:tblGrid>
      <w:tr w:rsidR="00622ECA" w:rsidRPr="001077A1" w:rsidTr="00622ECA">
        <w:trPr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622ECA" w:rsidRPr="001077A1" w:rsidRDefault="00622ECA" w:rsidP="008D644A">
            <w:r w:rsidRPr="001077A1">
              <w:t xml:space="preserve">Dodatečné projektové práce </w:t>
            </w:r>
            <w:r w:rsidR="008D644A" w:rsidRPr="001077A1">
              <w:t>v roce 2017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vAlign w:val="bottom"/>
          </w:tcPr>
          <w:p w:rsidR="00622ECA" w:rsidRPr="001077A1" w:rsidRDefault="00622ECA" w:rsidP="00622ECA">
            <w:pPr>
              <w:contextualSpacing/>
              <w:jc w:val="right"/>
            </w:pPr>
            <w:r w:rsidRPr="001077A1">
              <w:t>20.000,00 Kč</w:t>
            </w:r>
          </w:p>
        </w:tc>
      </w:tr>
      <w:tr w:rsidR="00622ECA" w:rsidRPr="001077A1" w:rsidTr="00622ECA">
        <w:trPr>
          <w:jc w:val="center"/>
        </w:trPr>
        <w:tc>
          <w:tcPr>
            <w:tcW w:w="5954" w:type="dxa"/>
            <w:tcBorders>
              <w:top w:val="single" w:sz="4" w:space="0" w:color="auto"/>
            </w:tcBorders>
          </w:tcPr>
          <w:p w:rsidR="00622ECA" w:rsidRPr="001077A1" w:rsidRDefault="00622ECA" w:rsidP="00C3578E">
            <w:r w:rsidRPr="001077A1">
              <w:t>Cena celkem bez DPH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vAlign w:val="bottom"/>
          </w:tcPr>
          <w:p w:rsidR="00622ECA" w:rsidRPr="001077A1" w:rsidRDefault="00622ECA" w:rsidP="00622ECA">
            <w:pPr>
              <w:contextualSpacing/>
              <w:jc w:val="right"/>
            </w:pPr>
            <w:r w:rsidRPr="001077A1">
              <w:t>20.000,00 Kč</w:t>
            </w:r>
          </w:p>
        </w:tc>
      </w:tr>
      <w:tr w:rsidR="00622ECA" w:rsidRPr="001077A1" w:rsidTr="00622ECA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r w:rsidRPr="001077A1">
              <w:t>z toho DPH 21%</w:t>
            </w:r>
          </w:p>
        </w:tc>
        <w:tc>
          <w:tcPr>
            <w:tcW w:w="2614" w:type="dxa"/>
            <w:vAlign w:val="bottom"/>
          </w:tcPr>
          <w:p w:rsidR="00622ECA" w:rsidRPr="001077A1" w:rsidRDefault="00622ECA" w:rsidP="00622ECA">
            <w:pPr>
              <w:contextualSpacing/>
              <w:jc w:val="right"/>
            </w:pPr>
            <w:r w:rsidRPr="001077A1">
              <w:t>4.200,00 Kč</w:t>
            </w:r>
          </w:p>
        </w:tc>
      </w:tr>
      <w:tr w:rsidR="00622ECA" w:rsidRPr="001077A1" w:rsidTr="00622ECA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pPr>
              <w:rPr>
                <w:b/>
              </w:rPr>
            </w:pPr>
            <w:r w:rsidRPr="001077A1">
              <w:rPr>
                <w:b/>
              </w:rPr>
              <w:t>Cena celkem včetně DPH:</w:t>
            </w:r>
          </w:p>
        </w:tc>
        <w:tc>
          <w:tcPr>
            <w:tcW w:w="2614" w:type="dxa"/>
            <w:vAlign w:val="bottom"/>
          </w:tcPr>
          <w:p w:rsidR="00622ECA" w:rsidRPr="001077A1" w:rsidRDefault="00622ECA" w:rsidP="00622ECA">
            <w:pPr>
              <w:contextualSpacing/>
              <w:jc w:val="right"/>
              <w:rPr>
                <w:b/>
              </w:rPr>
            </w:pPr>
            <w:r w:rsidRPr="001077A1">
              <w:rPr>
                <w:b/>
              </w:rPr>
              <w:t>24.200,00 Kč</w:t>
            </w:r>
          </w:p>
        </w:tc>
      </w:tr>
      <w:tr w:rsidR="00622ECA" w:rsidRPr="001077A1" w:rsidTr="003E5675">
        <w:trPr>
          <w:jc w:val="center"/>
        </w:trPr>
        <w:tc>
          <w:tcPr>
            <w:tcW w:w="8568" w:type="dxa"/>
            <w:gridSpan w:val="2"/>
          </w:tcPr>
          <w:p w:rsidR="00622ECA" w:rsidRPr="001077A1" w:rsidRDefault="00622ECA" w:rsidP="00622ECA">
            <w:pPr>
              <w:contextualSpacing/>
              <w:rPr>
                <w:i/>
              </w:rPr>
            </w:pPr>
            <w:r w:rsidRPr="001077A1">
              <w:rPr>
                <w:i/>
              </w:rPr>
              <w:t xml:space="preserve">Slovy: </w:t>
            </w:r>
            <w:proofErr w:type="spellStart"/>
            <w:r w:rsidRPr="001077A1">
              <w:rPr>
                <w:i/>
              </w:rPr>
              <w:t>Dvacetčtyřitisícdvěstě</w:t>
            </w:r>
            <w:proofErr w:type="spellEnd"/>
            <w:r w:rsidRPr="001077A1">
              <w:rPr>
                <w:i/>
              </w:rPr>
              <w:t xml:space="preserve"> korun českých</w:t>
            </w:r>
          </w:p>
        </w:tc>
      </w:tr>
    </w:tbl>
    <w:p w:rsidR="008D644A" w:rsidRDefault="008D644A" w:rsidP="00622ECA"/>
    <w:p w:rsidR="001077A1" w:rsidRPr="001077A1" w:rsidRDefault="001077A1" w:rsidP="00622ECA"/>
    <w:p w:rsidR="00622ECA" w:rsidRPr="001077A1" w:rsidRDefault="00622ECA" w:rsidP="00622ECA">
      <w:pPr>
        <w:spacing w:after="0"/>
        <w:rPr>
          <w:sz w:val="28"/>
        </w:rPr>
      </w:pPr>
      <w:r w:rsidRPr="001077A1">
        <w:rPr>
          <w:sz w:val="28"/>
        </w:rPr>
        <w:t>c)</w:t>
      </w:r>
    </w:p>
    <w:tbl>
      <w:tblPr>
        <w:tblStyle w:val="Mkatabulky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614"/>
      </w:tblGrid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pPr>
              <w:contextualSpacing/>
            </w:pPr>
            <w:r w:rsidRPr="001077A1">
              <w:t>Cena za 1 hod. autorského dozoru (bez DPH)</w:t>
            </w:r>
            <w:r w:rsidRPr="001077A1">
              <w:tab/>
            </w: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500,00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622ECA" w:rsidRPr="001077A1" w:rsidRDefault="00622ECA" w:rsidP="00C3578E">
            <w:pPr>
              <w:contextualSpacing/>
            </w:pPr>
            <w:r w:rsidRPr="001077A1">
              <w:t>Z toho DPH 21%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105,00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622ECA" w:rsidRPr="001077A1" w:rsidRDefault="00622ECA" w:rsidP="00C3578E">
            <w:pPr>
              <w:contextualSpacing/>
              <w:rPr>
                <w:b/>
              </w:rPr>
            </w:pPr>
            <w:r w:rsidRPr="001077A1">
              <w:rPr>
                <w:b/>
              </w:rPr>
              <w:t>Cena za 1 hodinu autorského dozoru celkem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622ECA" w:rsidRPr="001077A1" w:rsidRDefault="00622ECA" w:rsidP="00C3578E">
            <w:pPr>
              <w:contextualSpacing/>
              <w:jc w:val="right"/>
              <w:rPr>
                <w:b/>
              </w:rPr>
            </w:pPr>
            <w:r w:rsidRPr="001077A1">
              <w:rPr>
                <w:b/>
              </w:rPr>
              <w:t>605,00 Kč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  <w:tcBorders>
              <w:top w:val="single" w:sz="4" w:space="0" w:color="auto"/>
            </w:tcBorders>
          </w:tcPr>
          <w:p w:rsidR="00622ECA" w:rsidRPr="001077A1" w:rsidRDefault="00622ECA" w:rsidP="00C3578E">
            <w:pPr>
              <w:contextualSpacing/>
              <w:rPr>
                <w:i/>
              </w:rPr>
            </w:pPr>
            <w:r w:rsidRPr="001077A1">
              <w:rPr>
                <w:i/>
              </w:rPr>
              <w:t xml:space="preserve">Slovy </w:t>
            </w:r>
            <w:proofErr w:type="spellStart"/>
            <w:r w:rsidRPr="001077A1">
              <w:rPr>
                <w:i/>
              </w:rPr>
              <w:t>Šestsetpět</w:t>
            </w:r>
            <w:proofErr w:type="spellEnd"/>
            <w:r w:rsidRPr="001077A1">
              <w:rPr>
                <w:i/>
              </w:rPr>
              <w:t xml:space="preserve"> korun českých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622ECA" w:rsidRPr="001077A1" w:rsidRDefault="00622ECA" w:rsidP="00C3578E">
            <w:pPr>
              <w:contextualSpacing/>
              <w:jc w:val="right"/>
              <w:rPr>
                <w:i/>
              </w:rPr>
            </w:pP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pPr>
              <w:contextualSpacing/>
              <w:rPr>
                <w:b/>
              </w:rPr>
            </w:pP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  <w:rPr>
                <w:b/>
              </w:rPr>
            </w:pP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pPr>
              <w:contextualSpacing/>
            </w:pPr>
            <w:r w:rsidRPr="001077A1">
              <w:t>Počet hodin autorského dozoru maximálně</w:t>
            </w: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100 hodin</w:t>
            </w:r>
          </w:p>
        </w:tc>
      </w:tr>
      <w:tr w:rsidR="00622ECA" w:rsidRPr="001077A1" w:rsidTr="00C3578E">
        <w:trPr>
          <w:jc w:val="center"/>
        </w:trPr>
        <w:tc>
          <w:tcPr>
            <w:tcW w:w="5954" w:type="dxa"/>
          </w:tcPr>
          <w:p w:rsidR="00622ECA" w:rsidRPr="001077A1" w:rsidRDefault="00622ECA" w:rsidP="00C3578E">
            <w:pPr>
              <w:contextualSpacing/>
            </w:pPr>
            <w:r w:rsidRPr="001077A1">
              <w:t>Celkem výkon autorského dozoru max. bez DPH</w:t>
            </w:r>
            <w:r w:rsidRPr="001077A1">
              <w:tab/>
            </w:r>
          </w:p>
        </w:tc>
        <w:tc>
          <w:tcPr>
            <w:tcW w:w="2614" w:type="dxa"/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50.000,00 Kč</w:t>
            </w:r>
          </w:p>
        </w:tc>
      </w:tr>
      <w:tr w:rsidR="00622ECA" w:rsidRPr="001077A1" w:rsidTr="00622ECA">
        <w:trPr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622ECA" w:rsidRPr="001077A1" w:rsidRDefault="00622ECA" w:rsidP="00C3578E">
            <w:pPr>
              <w:contextualSpacing/>
            </w:pPr>
            <w:r w:rsidRPr="001077A1">
              <w:t>Z toho DPH 21%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622ECA" w:rsidRPr="001077A1" w:rsidRDefault="00622ECA" w:rsidP="00C3578E">
            <w:pPr>
              <w:contextualSpacing/>
              <w:jc w:val="right"/>
            </w:pPr>
            <w:r w:rsidRPr="001077A1">
              <w:t>10.500,00 Kč</w:t>
            </w:r>
          </w:p>
        </w:tc>
      </w:tr>
      <w:tr w:rsidR="00622ECA" w:rsidRPr="001077A1" w:rsidTr="00622ECA">
        <w:trPr>
          <w:jc w:val="center"/>
        </w:trPr>
        <w:tc>
          <w:tcPr>
            <w:tcW w:w="5954" w:type="dxa"/>
            <w:tcBorders>
              <w:top w:val="single" w:sz="4" w:space="0" w:color="auto"/>
            </w:tcBorders>
          </w:tcPr>
          <w:p w:rsidR="00622ECA" w:rsidRPr="001077A1" w:rsidRDefault="00622ECA" w:rsidP="00C3578E">
            <w:pPr>
              <w:contextualSpacing/>
              <w:rPr>
                <w:b/>
              </w:rPr>
            </w:pPr>
            <w:r w:rsidRPr="001077A1">
              <w:rPr>
                <w:b/>
              </w:rPr>
              <w:t>Cena za výkon autorského dozoru maximálně celkem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622ECA" w:rsidRPr="001077A1" w:rsidRDefault="00622ECA" w:rsidP="00C3578E">
            <w:pPr>
              <w:contextualSpacing/>
              <w:jc w:val="right"/>
              <w:rPr>
                <w:b/>
              </w:rPr>
            </w:pPr>
            <w:r w:rsidRPr="001077A1">
              <w:rPr>
                <w:b/>
              </w:rPr>
              <w:t>60.500,00 Kč</w:t>
            </w:r>
          </w:p>
        </w:tc>
      </w:tr>
      <w:tr w:rsidR="00622ECA" w:rsidRPr="001077A1" w:rsidTr="00622E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22ECA" w:rsidRPr="001077A1" w:rsidRDefault="00622ECA" w:rsidP="00C3578E">
            <w:pPr>
              <w:contextualSpacing/>
              <w:rPr>
                <w:i/>
              </w:rPr>
            </w:pPr>
            <w:r w:rsidRPr="001077A1">
              <w:rPr>
                <w:i/>
              </w:rPr>
              <w:t xml:space="preserve">Slovy </w:t>
            </w:r>
            <w:proofErr w:type="spellStart"/>
            <w:r w:rsidRPr="001077A1">
              <w:rPr>
                <w:i/>
              </w:rPr>
              <w:t>Šedesáttisícpětset</w:t>
            </w:r>
            <w:proofErr w:type="spellEnd"/>
            <w:r w:rsidRPr="001077A1">
              <w:rPr>
                <w:i/>
              </w:rPr>
              <w:t xml:space="preserve"> korun českých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622ECA" w:rsidRPr="001077A1" w:rsidRDefault="00622ECA" w:rsidP="00C3578E">
            <w:pPr>
              <w:contextualSpacing/>
              <w:jc w:val="right"/>
              <w:rPr>
                <w:i/>
              </w:rPr>
            </w:pPr>
          </w:p>
        </w:tc>
      </w:tr>
    </w:tbl>
    <w:p w:rsidR="00622ECA" w:rsidRPr="001077A1" w:rsidRDefault="00622ECA" w:rsidP="00622ECA">
      <w:pPr>
        <w:pStyle w:val="Odstavecseseznamem"/>
        <w:ind w:left="360"/>
      </w:pPr>
    </w:p>
    <w:p w:rsidR="006900CD" w:rsidRPr="001077A1" w:rsidRDefault="006900CD" w:rsidP="009123A8">
      <w:pPr>
        <w:spacing w:after="0" w:line="276" w:lineRule="auto"/>
        <w:jc w:val="both"/>
        <w:rPr>
          <w:rFonts w:cs="Tahoma"/>
        </w:rPr>
      </w:pPr>
    </w:p>
    <w:p w:rsidR="006900CD" w:rsidRPr="001077A1" w:rsidRDefault="006900CD" w:rsidP="009123A8">
      <w:pPr>
        <w:spacing w:after="0" w:line="276" w:lineRule="auto"/>
        <w:jc w:val="center"/>
        <w:rPr>
          <w:rFonts w:cs="Tahoma"/>
          <w:b/>
          <w:sz w:val="28"/>
        </w:rPr>
      </w:pPr>
      <w:r w:rsidRPr="001077A1">
        <w:rPr>
          <w:rFonts w:cs="Tahoma"/>
          <w:b/>
          <w:sz w:val="28"/>
        </w:rPr>
        <w:t>III.</w:t>
      </w:r>
    </w:p>
    <w:p w:rsidR="006900CD" w:rsidRPr="001077A1" w:rsidRDefault="006900CD" w:rsidP="0046660E">
      <w:pPr>
        <w:pStyle w:val="Odstavecseseznamem"/>
        <w:numPr>
          <w:ilvl w:val="0"/>
          <w:numId w:val="2"/>
        </w:numPr>
        <w:spacing w:before="240" w:line="276" w:lineRule="auto"/>
        <w:ind w:left="357" w:hanging="357"/>
        <w:rPr>
          <w:rFonts w:cs="Tahoma"/>
        </w:rPr>
      </w:pPr>
      <w:r w:rsidRPr="001077A1">
        <w:rPr>
          <w:rFonts w:cs="Tahoma"/>
        </w:rPr>
        <w:t>Ostatní ustanovení a přílohy Smlouvy se nemění.</w:t>
      </w:r>
    </w:p>
    <w:p w:rsidR="006900CD" w:rsidRPr="001077A1" w:rsidRDefault="006900CD" w:rsidP="0046660E">
      <w:pPr>
        <w:pStyle w:val="Odstavecseseznamem"/>
        <w:numPr>
          <w:ilvl w:val="0"/>
          <w:numId w:val="2"/>
        </w:numPr>
        <w:spacing w:before="240" w:line="276" w:lineRule="auto"/>
        <w:ind w:left="357" w:hanging="357"/>
        <w:rPr>
          <w:rFonts w:cs="Tahoma"/>
        </w:rPr>
      </w:pPr>
      <w:r w:rsidRPr="001077A1">
        <w:rPr>
          <w:rFonts w:cs="Tahoma"/>
        </w:rPr>
        <w:t xml:space="preserve">Otázky výslovně tímto dodatkem neupravené se řídí českým právním řádem, zejména ustanoveními zákona č. 89/2012 Sb., občanský zákoník, ve znění pozdějších předpisů. </w:t>
      </w:r>
    </w:p>
    <w:p w:rsidR="006900CD" w:rsidRPr="001077A1" w:rsidRDefault="006900CD" w:rsidP="0046660E">
      <w:pPr>
        <w:pStyle w:val="Odstavecseseznamem"/>
        <w:numPr>
          <w:ilvl w:val="0"/>
          <w:numId w:val="2"/>
        </w:numPr>
        <w:spacing w:before="240" w:line="276" w:lineRule="auto"/>
        <w:ind w:left="357" w:hanging="357"/>
        <w:rPr>
          <w:rFonts w:cs="Tahoma"/>
        </w:rPr>
      </w:pPr>
      <w:r w:rsidRPr="001077A1">
        <w:rPr>
          <w:rFonts w:cs="Tahoma"/>
        </w:rPr>
        <w:lastRenderedPageBreak/>
        <w:t xml:space="preserve">Tento dodatek je vyhotoven ve </w:t>
      </w:r>
      <w:r w:rsidR="008D644A" w:rsidRPr="001077A1">
        <w:rPr>
          <w:rFonts w:cs="Tahoma"/>
        </w:rPr>
        <w:t>třech</w:t>
      </w:r>
      <w:r w:rsidRPr="001077A1">
        <w:rPr>
          <w:rFonts w:cs="Tahoma"/>
        </w:rPr>
        <w:t xml:space="preserve"> vyhotoveních, z nichž objednatel obdrží dvě vyhotovení a </w:t>
      </w:r>
      <w:r w:rsidR="008D644A" w:rsidRPr="001077A1">
        <w:rPr>
          <w:rFonts w:cs="Tahoma"/>
        </w:rPr>
        <w:t>zhotovitel</w:t>
      </w:r>
      <w:r w:rsidRPr="001077A1">
        <w:rPr>
          <w:rFonts w:cs="Tahoma"/>
        </w:rPr>
        <w:t xml:space="preserve"> jedno vyhotovení. Tento dodatek nabývá platnosti a účinnosti dnem jeho podpisu oběma smluvními stranami.</w:t>
      </w:r>
    </w:p>
    <w:p w:rsidR="006900CD" w:rsidRPr="001077A1" w:rsidRDefault="006900CD" w:rsidP="0046660E">
      <w:pPr>
        <w:pStyle w:val="Odstavecseseznamem"/>
        <w:numPr>
          <w:ilvl w:val="0"/>
          <w:numId w:val="2"/>
        </w:numPr>
        <w:spacing w:before="240" w:line="276" w:lineRule="auto"/>
        <w:ind w:left="357" w:hanging="357"/>
        <w:rPr>
          <w:rFonts w:cs="Tahoma"/>
        </w:rPr>
      </w:pPr>
      <w:r w:rsidRPr="001077A1">
        <w:rPr>
          <w:rFonts w:cs="Tahoma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6900CD" w:rsidRPr="001077A1" w:rsidRDefault="006900CD" w:rsidP="009123A8">
      <w:pPr>
        <w:spacing w:after="0" w:line="276" w:lineRule="auto"/>
        <w:jc w:val="both"/>
        <w:rPr>
          <w:rFonts w:cs="Tahoma"/>
        </w:rPr>
      </w:pPr>
    </w:p>
    <w:p w:rsidR="003E0588" w:rsidRPr="001077A1" w:rsidRDefault="003E0588" w:rsidP="009123A8">
      <w:pPr>
        <w:spacing w:line="276" w:lineRule="auto"/>
        <w:jc w:val="both"/>
        <w:rPr>
          <w:rFonts w:cs="Tahoma"/>
        </w:rPr>
      </w:pPr>
    </w:p>
    <w:tbl>
      <w:tblPr>
        <w:tblStyle w:val="Mkatabulky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8E363E" w:rsidRPr="001077A1" w:rsidTr="008E363E">
        <w:tc>
          <w:tcPr>
            <w:tcW w:w="3936" w:type="dxa"/>
          </w:tcPr>
          <w:p w:rsidR="008E363E" w:rsidRPr="001077A1" w:rsidRDefault="008E363E" w:rsidP="00C3578E">
            <w:r w:rsidRPr="001077A1">
              <w:t xml:space="preserve">V Praze dne </w:t>
            </w:r>
          </w:p>
        </w:tc>
        <w:tc>
          <w:tcPr>
            <w:tcW w:w="1392" w:type="dxa"/>
          </w:tcPr>
          <w:p w:rsidR="008E363E" w:rsidRPr="001077A1" w:rsidRDefault="008E363E" w:rsidP="00C3578E"/>
        </w:tc>
        <w:tc>
          <w:tcPr>
            <w:tcW w:w="3960" w:type="dxa"/>
          </w:tcPr>
          <w:p w:rsidR="008E363E" w:rsidRPr="001077A1" w:rsidRDefault="008E363E" w:rsidP="00C3578E">
            <w:r w:rsidRPr="001077A1">
              <w:t xml:space="preserve">V Praze dne </w:t>
            </w:r>
          </w:p>
        </w:tc>
      </w:tr>
      <w:tr w:rsidR="008E363E" w:rsidRPr="001077A1" w:rsidTr="008E363E">
        <w:tc>
          <w:tcPr>
            <w:tcW w:w="3936" w:type="dxa"/>
          </w:tcPr>
          <w:p w:rsidR="008E363E" w:rsidRPr="001077A1" w:rsidRDefault="008E363E" w:rsidP="00C3578E"/>
          <w:p w:rsidR="008E363E" w:rsidRPr="001077A1" w:rsidRDefault="008E363E" w:rsidP="00C3578E"/>
          <w:p w:rsidR="008E363E" w:rsidRPr="001077A1" w:rsidRDefault="008E363E" w:rsidP="00C3578E"/>
        </w:tc>
        <w:tc>
          <w:tcPr>
            <w:tcW w:w="1392" w:type="dxa"/>
          </w:tcPr>
          <w:p w:rsidR="008E363E" w:rsidRPr="001077A1" w:rsidRDefault="008E363E" w:rsidP="00C3578E"/>
        </w:tc>
        <w:tc>
          <w:tcPr>
            <w:tcW w:w="3960" w:type="dxa"/>
          </w:tcPr>
          <w:p w:rsidR="008E363E" w:rsidRPr="001077A1" w:rsidRDefault="008E363E" w:rsidP="00C3578E"/>
        </w:tc>
      </w:tr>
      <w:tr w:rsidR="008E363E" w:rsidRPr="001077A1" w:rsidTr="008E363E">
        <w:tc>
          <w:tcPr>
            <w:tcW w:w="3936" w:type="dxa"/>
            <w:tcBorders>
              <w:bottom w:val="single" w:sz="4" w:space="0" w:color="auto"/>
            </w:tcBorders>
          </w:tcPr>
          <w:p w:rsidR="008E363E" w:rsidRPr="001077A1" w:rsidRDefault="008E363E" w:rsidP="00C3578E"/>
        </w:tc>
        <w:tc>
          <w:tcPr>
            <w:tcW w:w="1392" w:type="dxa"/>
          </w:tcPr>
          <w:p w:rsidR="008E363E" w:rsidRPr="001077A1" w:rsidRDefault="008E363E" w:rsidP="00C3578E"/>
        </w:tc>
        <w:tc>
          <w:tcPr>
            <w:tcW w:w="3960" w:type="dxa"/>
            <w:tcBorders>
              <w:bottom w:val="single" w:sz="4" w:space="0" w:color="auto"/>
            </w:tcBorders>
          </w:tcPr>
          <w:p w:rsidR="008E363E" w:rsidRPr="001077A1" w:rsidRDefault="008E363E" w:rsidP="00C3578E"/>
        </w:tc>
      </w:tr>
      <w:tr w:rsidR="008E363E" w:rsidRPr="001077A1" w:rsidTr="008E363E">
        <w:tc>
          <w:tcPr>
            <w:tcW w:w="3936" w:type="dxa"/>
            <w:tcBorders>
              <w:top w:val="single" w:sz="4" w:space="0" w:color="auto"/>
            </w:tcBorders>
          </w:tcPr>
          <w:p w:rsidR="008E363E" w:rsidRPr="001077A1" w:rsidRDefault="001077A1" w:rsidP="00C3578E">
            <w:pPr>
              <w:jc w:val="center"/>
            </w:pPr>
            <w:r>
              <w:t xml:space="preserve">doc. </w:t>
            </w:r>
            <w:r w:rsidR="008E363E" w:rsidRPr="001077A1">
              <w:t>PhDr. Michal Stehlík, Ph.D.</w:t>
            </w:r>
          </w:p>
          <w:p w:rsidR="008E363E" w:rsidRPr="001077A1" w:rsidRDefault="008E363E" w:rsidP="00C3578E">
            <w:pPr>
              <w:jc w:val="center"/>
            </w:pPr>
            <w:r w:rsidRPr="001077A1">
              <w:t xml:space="preserve">náměstek pro centrální sbírkotvornou </w:t>
            </w:r>
            <w:r w:rsidRPr="001077A1">
              <w:br/>
              <w:t>a výstavní činnost</w:t>
            </w:r>
          </w:p>
          <w:p w:rsidR="008E363E" w:rsidRPr="001077A1" w:rsidRDefault="008E363E" w:rsidP="00C3578E">
            <w:pPr>
              <w:jc w:val="center"/>
            </w:pPr>
            <w:r w:rsidRPr="001077A1">
              <w:t>Národní muzeum</w:t>
            </w:r>
          </w:p>
          <w:p w:rsidR="008E363E" w:rsidRPr="001077A1" w:rsidRDefault="008E363E" w:rsidP="00C3578E">
            <w:pPr>
              <w:jc w:val="center"/>
            </w:pPr>
            <w:r w:rsidRPr="001077A1">
              <w:t>(objednatel)</w:t>
            </w:r>
          </w:p>
        </w:tc>
        <w:tc>
          <w:tcPr>
            <w:tcW w:w="1392" w:type="dxa"/>
          </w:tcPr>
          <w:p w:rsidR="008E363E" w:rsidRPr="001077A1" w:rsidRDefault="008E363E" w:rsidP="00C3578E"/>
        </w:tc>
        <w:tc>
          <w:tcPr>
            <w:tcW w:w="3960" w:type="dxa"/>
            <w:tcBorders>
              <w:top w:val="single" w:sz="4" w:space="0" w:color="auto"/>
            </w:tcBorders>
          </w:tcPr>
          <w:p w:rsidR="008E363E" w:rsidRPr="001077A1" w:rsidRDefault="008E363E" w:rsidP="00C3578E">
            <w:pPr>
              <w:jc w:val="center"/>
            </w:pPr>
            <w:r w:rsidRPr="001077A1">
              <w:t xml:space="preserve">Ing. arch. Hynek </w:t>
            </w:r>
            <w:proofErr w:type="spellStart"/>
            <w:r w:rsidRPr="001077A1">
              <w:t>Fetterle</w:t>
            </w:r>
            <w:proofErr w:type="spellEnd"/>
          </w:p>
          <w:p w:rsidR="008E363E" w:rsidRPr="001077A1" w:rsidRDefault="008E363E" w:rsidP="00C3578E">
            <w:pPr>
              <w:jc w:val="center"/>
            </w:pPr>
            <w:proofErr w:type="spellStart"/>
            <w:r w:rsidRPr="001077A1">
              <w:t>Belcredi</w:t>
            </w:r>
            <w:proofErr w:type="spellEnd"/>
            <w:r w:rsidRPr="001077A1">
              <w:t xml:space="preserve"> Architektura</w:t>
            </w:r>
          </w:p>
          <w:p w:rsidR="008E363E" w:rsidRPr="001077A1" w:rsidRDefault="008E363E" w:rsidP="00C3578E">
            <w:pPr>
              <w:jc w:val="center"/>
            </w:pPr>
          </w:p>
          <w:p w:rsidR="008E363E" w:rsidRPr="001077A1" w:rsidRDefault="008E363E" w:rsidP="00C3578E">
            <w:pPr>
              <w:jc w:val="center"/>
            </w:pPr>
          </w:p>
          <w:p w:rsidR="008E363E" w:rsidRPr="001077A1" w:rsidRDefault="008E363E" w:rsidP="00C3578E">
            <w:pPr>
              <w:jc w:val="center"/>
            </w:pPr>
            <w:r w:rsidRPr="001077A1">
              <w:t>(zhotovitel)</w:t>
            </w:r>
          </w:p>
        </w:tc>
      </w:tr>
    </w:tbl>
    <w:p w:rsidR="006900CD" w:rsidRPr="001077A1" w:rsidRDefault="006900CD" w:rsidP="009123A8">
      <w:pPr>
        <w:spacing w:after="0" w:line="276" w:lineRule="auto"/>
        <w:jc w:val="both"/>
        <w:rPr>
          <w:rFonts w:eastAsia="Times New Roman" w:cs="Tahoma"/>
          <w:color w:val="000000"/>
          <w:lang w:eastAsia="cs-CZ"/>
        </w:rPr>
      </w:pPr>
    </w:p>
    <w:sectPr w:rsidR="006900CD" w:rsidRPr="001077A1" w:rsidSect="009B16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94" w:rsidRDefault="00E04B94" w:rsidP="00197290">
      <w:pPr>
        <w:spacing w:after="0" w:line="240" w:lineRule="auto"/>
      </w:pPr>
      <w:r>
        <w:separator/>
      </w:r>
    </w:p>
  </w:endnote>
  <w:endnote w:type="continuationSeparator" w:id="0">
    <w:p w:rsidR="00E04B94" w:rsidRDefault="00E04B94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370706"/>
      <w:docPartObj>
        <w:docPartGallery w:val="Page Numbers (Bottom of Page)"/>
        <w:docPartUnique/>
      </w:docPartObj>
    </w:sdtPr>
    <w:sdtEndPr/>
    <w:sdtContent>
      <w:p w:rsidR="00BF13C1" w:rsidRDefault="00BF13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3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13C1" w:rsidRDefault="00BF1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94" w:rsidRDefault="00E04B94" w:rsidP="00197290">
      <w:pPr>
        <w:spacing w:after="0" w:line="240" w:lineRule="auto"/>
      </w:pPr>
      <w:r>
        <w:separator/>
      </w:r>
    </w:p>
  </w:footnote>
  <w:footnote w:type="continuationSeparator" w:id="0">
    <w:p w:rsidR="00E04B94" w:rsidRDefault="00E04B94" w:rsidP="0019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3C1" w:rsidRDefault="008D644A" w:rsidP="008D644A">
    <w:pPr>
      <w:pStyle w:val="Zhlav"/>
      <w:pBdr>
        <w:bottom w:val="single" w:sz="4" w:space="1" w:color="auto"/>
      </w:pBdr>
    </w:pPr>
    <w:r>
      <w:rPr>
        <w:rFonts w:ascii="Tahoma" w:hAnsi="Tahoma" w:cs="Tahoma"/>
        <w:color w:val="000000"/>
        <w:sz w:val="20"/>
        <w:szCs w:val="20"/>
      </w:rPr>
      <w:t>Č. j.: 2017/4593/NM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EB"/>
    <w:rsid w:val="0000007D"/>
    <w:rsid w:val="00000C84"/>
    <w:rsid w:val="000043AB"/>
    <w:rsid w:val="00010ADA"/>
    <w:rsid w:val="00013DE9"/>
    <w:rsid w:val="00020258"/>
    <w:rsid w:val="00022140"/>
    <w:rsid w:val="00022A4B"/>
    <w:rsid w:val="00023B4F"/>
    <w:rsid w:val="00026BDF"/>
    <w:rsid w:val="00043C58"/>
    <w:rsid w:val="00043F24"/>
    <w:rsid w:val="00045B45"/>
    <w:rsid w:val="00051D74"/>
    <w:rsid w:val="000613AD"/>
    <w:rsid w:val="00063A69"/>
    <w:rsid w:val="000676F5"/>
    <w:rsid w:val="00073CC5"/>
    <w:rsid w:val="000770EF"/>
    <w:rsid w:val="00082EE3"/>
    <w:rsid w:val="00083A75"/>
    <w:rsid w:val="0008610D"/>
    <w:rsid w:val="000927DF"/>
    <w:rsid w:val="000A284C"/>
    <w:rsid w:val="000A7D9D"/>
    <w:rsid w:val="000B1A01"/>
    <w:rsid w:val="000B5312"/>
    <w:rsid w:val="000C27FE"/>
    <w:rsid w:val="000D017F"/>
    <w:rsid w:val="000D525A"/>
    <w:rsid w:val="000D7B68"/>
    <w:rsid w:val="000E05FE"/>
    <w:rsid w:val="000E487F"/>
    <w:rsid w:val="000F1D6D"/>
    <w:rsid w:val="000F3D40"/>
    <w:rsid w:val="000F4BA9"/>
    <w:rsid w:val="00100AD2"/>
    <w:rsid w:val="001077A1"/>
    <w:rsid w:val="001126F4"/>
    <w:rsid w:val="00112A4B"/>
    <w:rsid w:val="00114473"/>
    <w:rsid w:val="0012565C"/>
    <w:rsid w:val="00133676"/>
    <w:rsid w:val="00137F21"/>
    <w:rsid w:val="00143621"/>
    <w:rsid w:val="001444B1"/>
    <w:rsid w:val="00144571"/>
    <w:rsid w:val="00147788"/>
    <w:rsid w:val="00147B76"/>
    <w:rsid w:val="00152691"/>
    <w:rsid w:val="00165E4F"/>
    <w:rsid w:val="001665EE"/>
    <w:rsid w:val="00166D5A"/>
    <w:rsid w:val="00181FB4"/>
    <w:rsid w:val="001846D4"/>
    <w:rsid w:val="00185196"/>
    <w:rsid w:val="00185564"/>
    <w:rsid w:val="00190049"/>
    <w:rsid w:val="00197290"/>
    <w:rsid w:val="001A0560"/>
    <w:rsid w:val="001A202F"/>
    <w:rsid w:val="001B0052"/>
    <w:rsid w:val="001B03BB"/>
    <w:rsid w:val="001C0B3B"/>
    <w:rsid w:val="001C0EE9"/>
    <w:rsid w:val="001C1DD6"/>
    <w:rsid w:val="001C4EB2"/>
    <w:rsid w:val="001D2315"/>
    <w:rsid w:val="001D75B4"/>
    <w:rsid w:val="001E554D"/>
    <w:rsid w:val="001F1AA6"/>
    <w:rsid w:val="001F5489"/>
    <w:rsid w:val="002011D5"/>
    <w:rsid w:val="002022FA"/>
    <w:rsid w:val="00221274"/>
    <w:rsid w:val="002250C8"/>
    <w:rsid w:val="00227C99"/>
    <w:rsid w:val="00240733"/>
    <w:rsid w:val="00240B83"/>
    <w:rsid w:val="00241A3B"/>
    <w:rsid w:val="0024278D"/>
    <w:rsid w:val="00242BF9"/>
    <w:rsid w:val="00243681"/>
    <w:rsid w:val="00244616"/>
    <w:rsid w:val="002501AE"/>
    <w:rsid w:val="002565D7"/>
    <w:rsid w:val="00262BE7"/>
    <w:rsid w:val="00263E69"/>
    <w:rsid w:val="002668D0"/>
    <w:rsid w:val="002832F1"/>
    <w:rsid w:val="002914B2"/>
    <w:rsid w:val="002A42C9"/>
    <w:rsid w:val="002A50FE"/>
    <w:rsid w:val="002A5B78"/>
    <w:rsid w:val="002B6029"/>
    <w:rsid w:val="002B6FD9"/>
    <w:rsid w:val="002C17E3"/>
    <w:rsid w:val="002D1AB9"/>
    <w:rsid w:val="002D4B96"/>
    <w:rsid w:val="002E0462"/>
    <w:rsid w:val="002E0D52"/>
    <w:rsid w:val="002E506F"/>
    <w:rsid w:val="002F0FFF"/>
    <w:rsid w:val="002F1462"/>
    <w:rsid w:val="002F23EF"/>
    <w:rsid w:val="002F32B9"/>
    <w:rsid w:val="002F3DAA"/>
    <w:rsid w:val="002F4D99"/>
    <w:rsid w:val="002F61FC"/>
    <w:rsid w:val="002F767F"/>
    <w:rsid w:val="003017F6"/>
    <w:rsid w:val="0031054A"/>
    <w:rsid w:val="0031074F"/>
    <w:rsid w:val="00310CCE"/>
    <w:rsid w:val="0031156C"/>
    <w:rsid w:val="003122E4"/>
    <w:rsid w:val="0031593A"/>
    <w:rsid w:val="00316119"/>
    <w:rsid w:val="0032374E"/>
    <w:rsid w:val="00324E51"/>
    <w:rsid w:val="00326CE4"/>
    <w:rsid w:val="0032789A"/>
    <w:rsid w:val="003301B6"/>
    <w:rsid w:val="00333731"/>
    <w:rsid w:val="003415B7"/>
    <w:rsid w:val="003546C8"/>
    <w:rsid w:val="00355E27"/>
    <w:rsid w:val="00357C7A"/>
    <w:rsid w:val="0036010F"/>
    <w:rsid w:val="003605BC"/>
    <w:rsid w:val="003615C6"/>
    <w:rsid w:val="00367F8C"/>
    <w:rsid w:val="00371C95"/>
    <w:rsid w:val="00373AA8"/>
    <w:rsid w:val="00385E7D"/>
    <w:rsid w:val="00395296"/>
    <w:rsid w:val="003A231A"/>
    <w:rsid w:val="003A39CE"/>
    <w:rsid w:val="003A4511"/>
    <w:rsid w:val="003A68FB"/>
    <w:rsid w:val="003B03DF"/>
    <w:rsid w:val="003B3F6D"/>
    <w:rsid w:val="003C2C25"/>
    <w:rsid w:val="003C4070"/>
    <w:rsid w:val="003D1970"/>
    <w:rsid w:val="003D2C5F"/>
    <w:rsid w:val="003D4694"/>
    <w:rsid w:val="003D7D91"/>
    <w:rsid w:val="003E0588"/>
    <w:rsid w:val="003E0652"/>
    <w:rsid w:val="003E3D60"/>
    <w:rsid w:val="003F2D03"/>
    <w:rsid w:val="0040044F"/>
    <w:rsid w:val="00400B6C"/>
    <w:rsid w:val="00405E6E"/>
    <w:rsid w:val="00407A65"/>
    <w:rsid w:val="00414584"/>
    <w:rsid w:val="00422394"/>
    <w:rsid w:val="0043079E"/>
    <w:rsid w:val="0043390B"/>
    <w:rsid w:val="00443426"/>
    <w:rsid w:val="00443BB9"/>
    <w:rsid w:val="00447EC0"/>
    <w:rsid w:val="004504BE"/>
    <w:rsid w:val="00452345"/>
    <w:rsid w:val="0045403F"/>
    <w:rsid w:val="00457D44"/>
    <w:rsid w:val="0046660E"/>
    <w:rsid w:val="00466F10"/>
    <w:rsid w:val="00467256"/>
    <w:rsid w:val="00471CB2"/>
    <w:rsid w:val="00476532"/>
    <w:rsid w:val="004816A2"/>
    <w:rsid w:val="004831E4"/>
    <w:rsid w:val="00496706"/>
    <w:rsid w:val="004A184F"/>
    <w:rsid w:val="004A19F5"/>
    <w:rsid w:val="004A4649"/>
    <w:rsid w:val="004B07D3"/>
    <w:rsid w:val="004B0CDE"/>
    <w:rsid w:val="004B15F6"/>
    <w:rsid w:val="004B6367"/>
    <w:rsid w:val="004B665A"/>
    <w:rsid w:val="004B7551"/>
    <w:rsid w:val="004C0EED"/>
    <w:rsid w:val="004C185D"/>
    <w:rsid w:val="004D0E46"/>
    <w:rsid w:val="004D7829"/>
    <w:rsid w:val="004E2768"/>
    <w:rsid w:val="004E30C0"/>
    <w:rsid w:val="004E78C1"/>
    <w:rsid w:val="004F31D3"/>
    <w:rsid w:val="0050079D"/>
    <w:rsid w:val="00502FF4"/>
    <w:rsid w:val="00506F0C"/>
    <w:rsid w:val="005111D4"/>
    <w:rsid w:val="0051174E"/>
    <w:rsid w:val="00512046"/>
    <w:rsid w:val="0051223D"/>
    <w:rsid w:val="00514E7D"/>
    <w:rsid w:val="00521214"/>
    <w:rsid w:val="005309FB"/>
    <w:rsid w:val="00534C63"/>
    <w:rsid w:val="00546972"/>
    <w:rsid w:val="00547EA3"/>
    <w:rsid w:val="00553579"/>
    <w:rsid w:val="00553D4E"/>
    <w:rsid w:val="00554026"/>
    <w:rsid w:val="0055577E"/>
    <w:rsid w:val="005562E6"/>
    <w:rsid w:val="00556719"/>
    <w:rsid w:val="00557DC1"/>
    <w:rsid w:val="0056463E"/>
    <w:rsid w:val="00564EB1"/>
    <w:rsid w:val="005672A1"/>
    <w:rsid w:val="005676F5"/>
    <w:rsid w:val="005705B3"/>
    <w:rsid w:val="00572015"/>
    <w:rsid w:val="00575867"/>
    <w:rsid w:val="005847F6"/>
    <w:rsid w:val="005874CD"/>
    <w:rsid w:val="0058760E"/>
    <w:rsid w:val="00587EB0"/>
    <w:rsid w:val="00587FF9"/>
    <w:rsid w:val="0059119D"/>
    <w:rsid w:val="00591C0D"/>
    <w:rsid w:val="005A2368"/>
    <w:rsid w:val="005A3F60"/>
    <w:rsid w:val="005A5A8D"/>
    <w:rsid w:val="005B1FB4"/>
    <w:rsid w:val="005B5491"/>
    <w:rsid w:val="005C3A22"/>
    <w:rsid w:val="005C45D8"/>
    <w:rsid w:val="005C5649"/>
    <w:rsid w:val="005D264C"/>
    <w:rsid w:val="005D2C79"/>
    <w:rsid w:val="005D3058"/>
    <w:rsid w:val="005E2340"/>
    <w:rsid w:val="005E29CA"/>
    <w:rsid w:val="005E3F79"/>
    <w:rsid w:val="005F28F0"/>
    <w:rsid w:val="00601C8A"/>
    <w:rsid w:val="00602B27"/>
    <w:rsid w:val="006051B0"/>
    <w:rsid w:val="00607183"/>
    <w:rsid w:val="00612E33"/>
    <w:rsid w:val="0061403E"/>
    <w:rsid w:val="0061679A"/>
    <w:rsid w:val="006229F9"/>
    <w:rsid w:val="00622ECA"/>
    <w:rsid w:val="006277DB"/>
    <w:rsid w:val="00627E3F"/>
    <w:rsid w:val="00633D76"/>
    <w:rsid w:val="006453A7"/>
    <w:rsid w:val="00654203"/>
    <w:rsid w:val="00662BB9"/>
    <w:rsid w:val="00672CBA"/>
    <w:rsid w:val="00676150"/>
    <w:rsid w:val="006816E4"/>
    <w:rsid w:val="006900CD"/>
    <w:rsid w:val="00696644"/>
    <w:rsid w:val="006A3541"/>
    <w:rsid w:val="006A54E6"/>
    <w:rsid w:val="006B0720"/>
    <w:rsid w:val="006B13BC"/>
    <w:rsid w:val="006B4582"/>
    <w:rsid w:val="006B56CC"/>
    <w:rsid w:val="006C5FC9"/>
    <w:rsid w:val="006D034F"/>
    <w:rsid w:val="006D2ECD"/>
    <w:rsid w:val="006E0916"/>
    <w:rsid w:val="006E1AD6"/>
    <w:rsid w:val="006E58ED"/>
    <w:rsid w:val="006F3E19"/>
    <w:rsid w:val="006F3E76"/>
    <w:rsid w:val="006F7DA8"/>
    <w:rsid w:val="007063A0"/>
    <w:rsid w:val="00716E29"/>
    <w:rsid w:val="00723539"/>
    <w:rsid w:val="007241D5"/>
    <w:rsid w:val="00726F83"/>
    <w:rsid w:val="00730BCE"/>
    <w:rsid w:val="007310CF"/>
    <w:rsid w:val="00740CDF"/>
    <w:rsid w:val="00744156"/>
    <w:rsid w:val="00744A1C"/>
    <w:rsid w:val="00753128"/>
    <w:rsid w:val="00762097"/>
    <w:rsid w:val="007643E5"/>
    <w:rsid w:val="007668CD"/>
    <w:rsid w:val="00775127"/>
    <w:rsid w:val="00776CF4"/>
    <w:rsid w:val="00781345"/>
    <w:rsid w:val="00781F22"/>
    <w:rsid w:val="007838B6"/>
    <w:rsid w:val="00786258"/>
    <w:rsid w:val="00790E79"/>
    <w:rsid w:val="007932A5"/>
    <w:rsid w:val="0079624B"/>
    <w:rsid w:val="007A0278"/>
    <w:rsid w:val="007A5214"/>
    <w:rsid w:val="007B11FB"/>
    <w:rsid w:val="007B51CD"/>
    <w:rsid w:val="007B5C8A"/>
    <w:rsid w:val="007B7127"/>
    <w:rsid w:val="007C28F0"/>
    <w:rsid w:val="007C72DE"/>
    <w:rsid w:val="007C735E"/>
    <w:rsid w:val="007C77BD"/>
    <w:rsid w:val="007D428C"/>
    <w:rsid w:val="007D72D1"/>
    <w:rsid w:val="007E06A3"/>
    <w:rsid w:val="007E1290"/>
    <w:rsid w:val="00801F67"/>
    <w:rsid w:val="00805033"/>
    <w:rsid w:val="00806FA7"/>
    <w:rsid w:val="00820350"/>
    <w:rsid w:val="0082249A"/>
    <w:rsid w:val="00824533"/>
    <w:rsid w:val="00824760"/>
    <w:rsid w:val="008303BC"/>
    <w:rsid w:val="00831A2B"/>
    <w:rsid w:val="00833271"/>
    <w:rsid w:val="008364AB"/>
    <w:rsid w:val="0084274B"/>
    <w:rsid w:val="00855B14"/>
    <w:rsid w:val="008566B9"/>
    <w:rsid w:val="00856D2E"/>
    <w:rsid w:val="008650CC"/>
    <w:rsid w:val="00866084"/>
    <w:rsid w:val="00866ED9"/>
    <w:rsid w:val="00867865"/>
    <w:rsid w:val="00867D46"/>
    <w:rsid w:val="0087307D"/>
    <w:rsid w:val="00881996"/>
    <w:rsid w:val="0088273C"/>
    <w:rsid w:val="00892CEC"/>
    <w:rsid w:val="008963BD"/>
    <w:rsid w:val="00896B4B"/>
    <w:rsid w:val="00897390"/>
    <w:rsid w:val="008A34E8"/>
    <w:rsid w:val="008B511B"/>
    <w:rsid w:val="008B7329"/>
    <w:rsid w:val="008D0C51"/>
    <w:rsid w:val="008D0C75"/>
    <w:rsid w:val="008D2D05"/>
    <w:rsid w:val="008D3455"/>
    <w:rsid w:val="008D358A"/>
    <w:rsid w:val="008D3B6E"/>
    <w:rsid w:val="008D3BF6"/>
    <w:rsid w:val="008D63A9"/>
    <w:rsid w:val="008D644A"/>
    <w:rsid w:val="008E1262"/>
    <w:rsid w:val="008E35DF"/>
    <w:rsid w:val="008E363E"/>
    <w:rsid w:val="008F0510"/>
    <w:rsid w:val="008F3031"/>
    <w:rsid w:val="008F31BB"/>
    <w:rsid w:val="008F6033"/>
    <w:rsid w:val="008F7791"/>
    <w:rsid w:val="0090289C"/>
    <w:rsid w:val="00902B36"/>
    <w:rsid w:val="00905F48"/>
    <w:rsid w:val="00911099"/>
    <w:rsid w:val="00912350"/>
    <w:rsid w:val="009123A8"/>
    <w:rsid w:val="00920F69"/>
    <w:rsid w:val="009352F9"/>
    <w:rsid w:val="009415D8"/>
    <w:rsid w:val="00942B67"/>
    <w:rsid w:val="00952019"/>
    <w:rsid w:val="0095320F"/>
    <w:rsid w:val="00954043"/>
    <w:rsid w:val="00954711"/>
    <w:rsid w:val="00957334"/>
    <w:rsid w:val="00960A4B"/>
    <w:rsid w:val="00967596"/>
    <w:rsid w:val="009676EE"/>
    <w:rsid w:val="00975A95"/>
    <w:rsid w:val="00977D8E"/>
    <w:rsid w:val="009911B4"/>
    <w:rsid w:val="00992CF3"/>
    <w:rsid w:val="009A1E80"/>
    <w:rsid w:val="009A5518"/>
    <w:rsid w:val="009A5E7F"/>
    <w:rsid w:val="009A7914"/>
    <w:rsid w:val="009B06EB"/>
    <w:rsid w:val="009B16BA"/>
    <w:rsid w:val="009B36FC"/>
    <w:rsid w:val="009B4032"/>
    <w:rsid w:val="009B712F"/>
    <w:rsid w:val="009C16D5"/>
    <w:rsid w:val="009C22B5"/>
    <w:rsid w:val="009C39FE"/>
    <w:rsid w:val="009C3BDC"/>
    <w:rsid w:val="009C4520"/>
    <w:rsid w:val="009C4D45"/>
    <w:rsid w:val="009C6E76"/>
    <w:rsid w:val="009D5FD0"/>
    <w:rsid w:val="009E3F90"/>
    <w:rsid w:val="009E791D"/>
    <w:rsid w:val="009F0BD1"/>
    <w:rsid w:val="00A0456A"/>
    <w:rsid w:val="00A04F6A"/>
    <w:rsid w:val="00A07098"/>
    <w:rsid w:val="00A135AA"/>
    <w:rsid w:val="00A14BCB"/>
    <w:rsid w:val="00A209AE"/>
    <w:rsid w:val="00A24787"/>
    <w:rsid w:val="00A27406"/>
    <w:rsid w:val="00A420EE"/>
    <w:rsid w:val="00A508B9"/>
    <w:rsid w:val="00A51923"/>
    <w:rsid w:val="00A53AEE"/>
    <w:rsid w:val="00A558F8"/>
    <w:rsid w:val="00A561C9"/>
    <w:rsid w:val="00A72F15"/>
    <w:rsid w:val="00A76021"/>
    <w:rsid w:val="00A7619B"/>
    <w:rsid w:val="00A83E40"/>
    <w:rsid w:val="00A95362"/>
    <w:rsid w:val="00AA0CD8"/>
    <w:rsid w:val="00AA15E9"/>
    <w:rsid w:val="00AA4C53"/>
    <w:rsid w:val="00AA7F48"/>
    <w:rsid w:val="00AB2CA2"/>
    <w:rsid w:val="00AB6D75"/>
    <w:rsid w:val="00AC009D"/>
    <w:rsid w:val="00AC057C"/>
    <w:rsid w:val="00AC5A06"/>
    <w:rsid w:val="00AC79CB"/>
    <w:rsid w:val="00AE08D1"/>
    <w:rsid w:val="00AE22A5"/>
    <w:rsid w:val="00B15FE2"/>
    <w:rsid w:val="00B1701A"/>
    <w:rsid w:val="00B17A8A"/>
    <w:rsid w:val="00B24B56"/>
    <w:rsid w:val="00B27392"/>
    <w:rsid w:val="00B41BA5"/>
    <w:rsid w:val="00B43567"/>
    <w:rsid w:val="00B43841"/>
    <w:rsid w:val="00B442BC"/>
    <w:rsid w:val="00B47378"/>
    <w:rsid w:val="00B47C68"/>
    <w:rsid w:val="00B52C1D"/>
    <w:rsid w:val="00B60DF4"/>
    <w:rsid w:val="00B63035"/>
    <w:rsid w:val="00B7368B"/>
    <w:rsid w:val="00B7564B"/>
    <w:rsid w:val="00B80076"/>
    <w:rsid w:val="00B84597"/>
    <w:rsid w:val="00B90982"/>
    <w:rsid w:val="00B968FC"/>
    <w:rsid w:val="00BA42EB"/>
    <w:rsid w:val="00BB2428"/>
    <w:rsid w:val="00BB4A95"/>
    <w:rsid w:val="00BB5CE9"/>
    <w:rsid w:val="00BB6DFE"/>
    <w:rsid w:val="00BC02DC"/>
    <w:rsid w:val="00BC1B5C"/>
    <w:rsid w:val="00BC1FD9"/>
    <w:rsid w:val="00BC70A3"/>
    <w:rsid w:val="00BD24FB"/>
    <w:rsid w:val="00BD26FE"/>
    <w:rsid w:val="00BD2B8F"/>
    <w:rsid w:val="00BD7FD3"/>
    <w:rsid w:val="00BE1D86"/>
    <w:rsid w:val="00BF13C1"/>
    <w:rsid w:val="00BF1530"/>
    <w:rsid w:val="00BF7232"/>
    <w:rsid w:val="00C00FA8"/>
    <w:rsid w:val="00C04011"/>
    <w:rsid w:val="00C04A04"/>
    <w:rsid w:val="00C12897"/>
    <w:rsid w:val="00C208D8"/>
    <w:rsid w:val="00C238B7"/>
    <w:rsid w:val="00C266F6"/>
    <w:rsid w:val="00C27B72"/>
    <w:rsid w:val="00C27B76"/>
    <w:rsid w:val="00C32D58"/>
    <w:rsid w:val="00C33484"/>
    <w:rsid w:val="00C42CD3"/>
    <w:rsid w:val="00C46478"/>
    <w:rsid w:val="00C46B5D"/>
    <w:rsid w:val="00C50C46"/>
    <w:rsid w:val="00C523EC"/>
    <w:rsid w:val="00C6114B"/>
    <w:rsid w:val="00C660AE"/>
    <w:rsid w:val="00C74873"/>
    <w:rsid w:val="00C7606A"/>
    <w:rsid w:val="00C82281"/>
    <w:rsid w:val="00C87B4C"/>
    <w:rsid w:val="00C95A0E"/>
    <w:rsid w:val="00C96D0A"/>
    <w:rsid w:val="00CA0FE9"/>
    <w:rsid w:val="00CA3070"/>
    <w:rsid w:val="00CA503D"/>
    <w:rsid w:val="00CB57C2"/>
    <w:rsid w:val="00CC7529"/>
    <w:rsid w:val="00CD07F8"/>
    <w:rsid w:val="00CD1694"/>
    <w:rsid w:val="00CD185F"/>
    <w:rsid w:val="00CE2A3C"/>
    <w:rsid w:val="00CE322B"/>
    <w:rsid w:val="00CE60A0"/>
    <w:rsid w:val="00CF0D2D"/>
    <w:rsid w:val="00CF0F6B"/>
    <w:rsid w:val="00CF36E6"/>
    <w:rsid w:val="00D05640"/>
    <w:rsid w:val="00D10BAD"/>
    <w:rsid w:val="00D12855"/>
    <w:rsid w:val="00D12A0F"/>
    <w:rsid w:val="00D228D7"/>
    <w:rsid w:val="00D23BCA"/>
    <w:rsid w:val="00D255BC"/>
    <w:rsid w:val="00D26704"/>
    <w:rsid w:val="00D30ED7"/>
    <w:rsid w:val="00D32634"/>
    <w:rsid w:val="00D33D93"/>
    <w:rsid w:val="00D34396"/>
    <w:rsid w:val="00D34E51"/>
    <w:rsid w:val="00D47C23"/>
    <w:rsid w:val="00D47F03"/>
    <w:rsid w:val="00D52258"/>
    <w:rsid w:val="00D53AFF"/>
    <w:rsid w:val="00D541CD"/>
    <w:rsid w:val="00D54F81"/>
    <w:rsid w:val="00D616EE"/>
    <w:rsid w:val="00D64E25"/>
    <w:rsid w:val="00D6700D"/>
    <w:rsid w:val="00D718D2"/>
    <w:rsid w:val="00D748A2"/>
    <w:rsid w:val="00D766AA"/>
    <w:rsid w:val="00D76A89"/>
    <w:rsid w:val="00D846E0"/>
    <w:rsid w:val="00D93197"/>
    <w:rsid w:val="00DA29B1"/>
    <w:rsid w:val="00DA4626"/>
    <w:rsid w:val="00DB2DB4"/>
    <w:rsid w:val="00DB531A"/>
    <w:rsid w:val="00DD2357"/>
    <w:rsid w:val="00DD2728"/>
    <w:rsid w:val="00DD700B"/>
    <w:rsid w:val="00DD78E2"/>
    <w:rsid w:val="00DE2686"/>
    <w:rsid w:val="00DE2987"/>
    <w:rsid w:val="00DE3DD7"/>
    <w:rsid w:val="00DF08B4"/>
    <w:rsid w:val="00DF4E76"/>
    <w:rsid w:val="00E0379E"/>
    <w:rsid w:val="00E04B94"/>
    <w:rsid w:val="00E17A80"/>
    <w:rsid w:val="00E314DC"/>
    <w:rsid w:val="00E36CD5"/>
    <w:rsid w:val="00E37867"/>
    <w:rsid w:val="00E4069B"/>
    <w:rsid w:val="00E50F48"/>
    <w:rsid w:val="00E63C1F"/>
    <w:rsid w:val="00E65DCB"/>
    <w:rsid w:val="00E6694C"/>
    <w:rsid w:val="00E74428"/>
    <w:rsid w:val="00E74E14"/>
    <w:rsid w:val="00E764B8"/>
    <w:rsid w:val="00E90D68"/>
    <w:rsid w:val="00E92D20"/>
    <w:rsid w:val="00E96E0E"/>
    <w:rsid w:val="00EA104F"/>
    <w:rsid w:val="00EA2A10"/>
    <w:rsid w:val="00EA4A5F"/>
    <w:rsid w:val="00EA6BA9"/>
    <w:rsid w:val="00EC044C"/>
    <w:rsid w:val="00EC3B8B"/>
    <w:rsid w:val="00ED335D"/>
    <w:rsid w:val="00ED35D8"/>
    <w:rsid w:val="00EE071B"/>
    <w:rsid w:val="00EE4ED1"/>
    <w:rsid w:val="00EE5CDD"/>
    <w:rsid w:val="00EF0DFB"/>
    <w:rsid w:val="00EF4F1A"/>
    <w:rsid w:val="00F00B54"/>
    <w:rsid w:val="00F00DFF"/>
    <w:rsid w:val="00F05A09"/>
    <w:rsid w:val="00F05DD3"/>
    <w:rsid w:val="00F066E6"/>
    <w:rsid w:val="00F10AD1"/>
    <w:rsid w:val="00F2626B"/>
    <w:rsid w:val="00F26FD8"/>
    <w:rsid w:val="00F32C2E"/>
    <w:rsid w:val="00F35372"/>
    <w:rsid w:val="00F40426"/>
    <w:rsid w:val="00F44120"/>
    <w:rsid w:val="00F45822"/>
    <w:rsid w:val="00F4657B"/>
    <w:rsid w:val="00F51543"/>
    <w:rsid w:val="00F526C1"/>
    <w:rsid w:val="00F56BCF"/>
    <w:rsid w:val="00F57DEF"/>
    <w:rsid w:val="00F83632"/>
    <w:rsid w:val="00F8643A"/>
    <w:rsid w:val="00F92FB4"/>
    <w:rsid w:val="00FA348C"/>
    <w:rsid w:val="00FA5222"/>
    <w:rsid w:val="00FB1C56"/>
    <w:rsid w:val="00FB3EE9"/>
    <w:rsid w:val="00FC28E5"/>
    <w:rsid w:val="00FD1787"/>
    <w:rsid w:val="00FD4CE9"/>
    <w:rsid w:val="00FD57F7"/>
    <w:rsid w:val="00FD7A52"/>
    <w:rsid w:val="00FE15F0"/>
    <w:rsid w:val="00FE309D"/>
    <w:rsid w:val="00FE5720"/>
    <w:rsid w:val="00FE5A4A"/>
    <w:rsid w:val="00FF0E3B"/>
    <w:rsid w:val="00FF322A"/>
    <w:rsid w:val="00FF4C53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FDED2-D32B-4C4C-A902-CEF9BC95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1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table" w:customStyle="1" w:styleId="Mkatabulky2">
    <w:name w:val="Mřížka tabulky2"/>
    <w:basedOn w:val="Normlntabulka"/>
    <w:uiPriority w:val="59"/>
    <w:rsid w:val="0062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E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653F-3DC5-42EC-9350-AFA5074B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Dagmar Fialová</cp:lastModifiedBy>
  <cp:revision>3</cp:revision>
  <cp:lastPrinted>2017-08-28T14:43:00Z</cp:lastPrinted>
  <dcterms:created xsi:type="dcterms:W3CDTF">2017-09-05T12:28:00Z</dcterms:created>
  <dcterms:modified xsi:type="dcterms:W3CDTF">2017-09-05T12:31:00Z</dcterms:modified>
</cp:coreProperties>
</file>