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Příloha č. 4 SOD č. 1137/2025</w:t>
      </w:r>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ČESTNÉ PROHLÁŠENÍ K FINANČNÍM SANKCÍM</w:t>
      </w:r>
    </w:p>
    <w:p>
      <w:pPr>
        <w:pStyle w:val="Style2"/>
        <w:keepNext w:val="0"/>
        <w:keepLines w:val="0"/>
        <w:widowControl w:val="0"/>
        <w:shd w:val="clear" w:color="auto" w:fill="auto"/>
        <w:tabs>
          <w:tab w:pos="2381" w:val="left"/>
        </w:tabs>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“VD Přísečnice, odběrný objekt - plošina pro kontrolu</w:t>
      </w:r>
    </w:p>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z w:val="24"/>
          <w:szCs w:val="24"/>
          <w:shd w:val="clear" w:color="auto" w:fill="auto"/>
          <w:lang w:val="cs-CZ" w:eastAsia="cs-CZ" w:bidi="cs-CZ"/>
        </w:rPr>
        <w:t>odběrné šachty horolezeckou technikou”</w:t>
      </w:r>
    </w:p>
    <w:p>
      <w:pPr>
        <w:pStyle w:val="Style2"/>
        <w:keepNext w:val="0"/>
        <w:keepLines w:val="0"/>
        <w:widowControl w:val="0"/>
        <w:shd w:val="clear" w:color="auto" w:fill="auto"/>
        <w:tabs>
          <w:tab w:pos="2381" w:val="left"/>
        </w:tabs>
        <w:bidi w:val="0"/>
        <w:spacing w:before="0" w:after="180" w:line="240" w:lineRule="auto"/>
        <w:ind w:left="0" w:right="0" w:firstLine="24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BOS – Radovan Vítámvás, spol. s r.o.</w:t>
      </w:r>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 xml:space="preserve">Účastník zadávacího řízení </w:t>
      </w:r>
      <w:r>
        <w:rPr>
          <w:color w:val="000000"/>
          <w:spacing w:val="0"/>
          <w:w w:val="100"/>
          <w:position w:val="0"/>
          <w:sz w:val="24"/>
          <w:szCs w:val="24"/>
          <w:shd w:val="clear" w:color="auto" w:fill="auto"/>
          <w:lang w:val="cs-CZ" w:eastAsia="cs-CZ" w:bidi="cs-CZ"/>
        </w:rPr>
        <w:t>o veřejnou zakázku na akci:</w:t>
      </w:r>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4"/>
          <w:szCs w:val="24"/>
          <w:shd w:val="clear" w:color="auto" w:fill="auto"/>
          <w:lang w:val="cs-CZ" w:eastAsia="cs-CZ" w:bidi="cs-CZ"/>
        </w:rPr>
        <w:t>VD Přísečnice, odběrný objekt - plošina pro kontrolu odběrné šachty horolezeckou technikou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BOS – Radovan Vítámvás, spol. s r.o., A. Muchy 4996, Chomutov 430 01, IČO: 25412396 jednající prostřednictvím</w:t>
      </w:r>
    </w:p>
    <w:p>
      <w:pPr>
        <w:pStyle w:val="Style2"/>
        <w:keepNext w:val="0"/>
        <w:keepLines w:val="0"/>
        <w:widowControl w:val="0"/>
        <w:shd w:val="clear" w:color="auto" w:fill="auto"/>
        <w:bidi w:val="0"/>
        <w:spacing w:before="0" w:after="0" w:line="240" w:lineRule="auto"/>
        <w:ind w:left="1820" w:right="0" w:firstLine="0"/>
        <w:jc w:val="left"/>
      </w:pPr>
      <w:r>
        <w:rPr>
          <w:color w:val="000000"/>
          <w:spacing w:val="0"/>
          <w:w w:val="100"/>
          <w:position w:val="0"/>
          <w:sz w:val="24"/>
          <w:szCs w:val="24"/>
          <w:shd w:val="clear" w:color="auto" w:fill="auto"/>
          <w:lang w:val="cs-CZ" w:eastAsia="cs-CZ" w:bidi="cs-CZ"/>
        </w:rPr>
        <w:t>- jednatel</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z w:val="24"/>
          <w:szCs w:val="24"/>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Dodavatel čestně prohlašuje, že</w:t>
      </w:r>
    </w:p>
    <w:p>
      <w:pPr>
        <w:pStyle w:val="Style5"/>
        <w:keepNext/>
        <w:keepLines/>
        <w:widowControl w:val="0"/>
        <w:numPr>
          <w:ilvl w:val="0"/>
          <w:numId w:val="1"/>
        </w:numPr>
        <w:shd w:val="clear" w:color="auto" w:fill="auto"/>
        <w:tabs>
          <w:tab w:pos="967" w:val="left"/>
        </w:tabs>
        <w:bidi w:val="0"/>
        <w:spacing w:before="0" w:after="0" w:line="240" w:lineRule="auto"/>
        <w:ind w:left="240" w:right="0"/>
        <w:jc w:val="both"/>
      </w:pPr>
      <w:bookmarkStart w:id="0" w:name="bookmark0"/>
      <w:bookmarkStart w:id="1" w:name="bookmark1"/>
      <w:bookmarkStart w:id="2" w:name="bookmark2"/>
      <w:bookmarkStart w:id="3" w:name="bookmark3"/>
      <w:bookmarkEnd w:id="2"/>
      <w:r>
        <w:rPr>
          <w:color w:val="000000"/>
          <w:spacing w:val="0"/>
          <w:w w:val="100"/>
          <w:position w:val="0"/>
          <w:sz w:val="24"/>
          <w:szCs w:val="24"/>
          <w:shd w:val="clear" w:color="auto" w:fill="auto"/>
          <w:lang w:val="cs-CZ" w:eastAsia="cs-CZ" w:bidi="cs-CZ"/>
        </w:rPr>
        <w:t>a) 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8"/>
        <w:keepNext/>
        <w:keepLines/>
        <w:widowControl w:val="0"/>
        <w:numPr>
          <w:ilvl w:val="0"/>
          <w:numId w:val="3"/>
        </w:numPr>
        <w:shd w:val="clear" w:color="auto" w:fill="auto"/>
        <w:tabs>
          <w:tab w:pos="701"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4"/>
          <w:szCs w:val="24"/>
          <w:shd w:val="clear" w:color="auto" w:fill="auto"/>
          <w:lang w:val="cs-CZ" w:eastAsia="cs-CZ" w:bidi="cs-CZ"/>
        </w:rPr>
        <w:t>a.i. mezinárodní finanční sankce ve smyslu rozhodnutí a nařízení Rady EU vydaných</w:t>
      </w:r>
      <w:bookmarkEnd w:id="4"/>
      <w:bookmarkEnd w:id="5"/>
      <w:bookmarkEnd w:id="7"/>
    </w:p>
    <w:p>
      <w:pPr>
        <w:pStyle w:val="Style2"/>
        <w:keepNext w:val="0"/>
        <w:keepLines w:val="0"/>
        <w:widowControl w:val="0"/>
        <w:shd w:val="clear" w:color="auto" w:fill="auto"/>
        <w:bidi w:val="0"/>
        <w:spacing w:before="0" w:after="0" w:line="240" w:lineRule="auto"/>
        <w:ind w:left="240" w:right="0" w:firstLine="80"/>
        <w:jc w:val="both"/>
      </w:pPr>
      <w:r>
        <w:rPr>
          <w:color w:val="000000"/>
          <w:spacing w:val="0"/>
          <w:w w:val="100"/>
          <w:position w:val="0"/>
          <w:sz w:val="24"/>
          <w:szCs w:val="24"/>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keepLines/>
        <w:widowControl w:val="0"/>
        <w:numPr>
          <w:ilvl w:val="0"/>
          <w:numId w:val="5"/>
        </w:numPr>
        <w:shd w:val="clear" w:color="auto" w:fill="auto"/>
        <w:tabs>
          <w:tab w:pos="701" w:val="left"/>
        </w:tabs>
        <w:bidi w:val="0"/>
        <w:spacing w:before="0" w:after="0" w:line="240" w:lineRule="auto"/>
        <w:ind w:left="0" w:right="0" w:firstLine="0"/>
        <w:jc w:val="both"/>
      </w:pPr>
      <w:bookmarkStart w:id="10" w:name="bookmark10"/>
      <w:bookmarkStart w:id="11" w:name="bookmark11"/>
      <w:bookmarkStart w:id="8" w:name="bookmark8"/>
      <w:bookmarkStart w:id="9" w:name="bookmark9"/>
      <w:bookmarkEnd w:id="10"/>
      <w:r>
        <w:rPr>
          <w:color w:val="000000"/>
          <w:spacing w:val="0"/>
          <w:w w:val="100"/>
          <w:position w:val="0"/>
          <w:sz w:val="24"/>
          <w:szCs w:val="24"/>
          <w:shd w:val="clear" w:color="auto" w:fill="auto"/>
          <w:lang w:val="cs-CZ" w:eastAsia="cs-CZ" w:bidi="cs-CZ"/>
        </w:rPr>
        <w:t>a.ii. jiné aplikovatelné sankce platné v České republice nebo zemi sídla dodavatele,</w:t>
      </w:r>
      <w:bookmarkEnd w:id="11"/>
      <w:bookmarkEnd w:id="8"/>
      <w:bookmarkEnd w:id="9"/>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kterými je sledován stejný účel jako těmi ze Základních nařízení;</w:t>
      </w:r>
    </w:p>
    <w:p>
      <w:pPr>
        <w:pStyle w:val="Style5"/>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a</w:t>
      </w:r>
      <w:bookmarkEnd w:id="12"/>
      <w:bookmarkEnd w:id="13"/>
      <w:bookmarkEnd w:id="14"/>
    </w:p>
    <w:p>
      <w:pPr>
        <w:pStyle w:val="Style5"/>
        <w:keepNext/>
        <w:keepLines/>
        <w:widowControl w:val="0"/>
        <w:numPr>
          <w:ilvl w:val="0"/>
          <w:numId w:val="7"/>
        </w:numPr>
        <w:shd w:val="clear" w:color="auto" w:fill="auto"/>
        <w:tabs>
          <w:tab w:pos="997" w:val="left"/>
        </w:tabs>
        <w:bidi w:val="0"/>
        <w:spacing w:before="0" w:after="0" w:line="240" w:lineRule="auto"/>
        <w:ind w:left="0" w:right="0" w:firstLine="320"/>
        <w:jc w:val="both"/>
      </w:pPr>
      <w:bookmarkStart w:id="15" w:name="bookmark15"/>
      <w:bookmarkStart w:id="16" w:name="bookmark16"/>
      <w:bookmarkStart w:id="17" w:name="bookmark17"/>
      <w:bookmarkStart w:id="18" w:name="bookmark18"/>
      <w:bookmarkEnd w:id="17"/>
      <w:r>
        <w:rPr>
          <w:color w:val="000000"/>
          <w:spacing w:val="0"/>
          <w:w w:val="100"/>
          <w:position w:val="0"/>
          <w:sz w:val="24"/>
          <w:szCs w:val="24"/>
          <w:shd w:val="clear" w:color="auto" w:fill="auto"/>
          <w:lang w:val="cs-CZ" w:eastAsia="cs-CZ" w:bidi="cs-CZ"/>
        </w:rPr>
        <w:t>b) bude-li s ním uzavřena smlouva na veřejnou zakázku, zajistí po celou dobu plnění</w:t>
      </w:r>
      <w:bookmarkEnd w:id="15"/>
      <w:bookmarkEnd w:id="16"/>
      <w:bookmarkEnd w:id="18"/>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shd w:val="clear" w:color="auto" w:fill="auto"/>
          <w:lang w:val="cs-CZ" w:eastAsia="cs-CZ" w:bidi="cs-CZ"/>
        </w:rPr>
        <w:t>veřejné zakázky, že</w:t>
      </w:r>
    </w:p>
    <w:p>
      <w:pPr>
        <w:pStyle w:val="Style8"/>
        <w:keepNext/>
        <w:keepLines/>
        <w:widowControl w:val="0"/>
        <w:numPr>
          <w:ilvl w:val="0"/>
          <w:numId w:val="9"/>
        </w:numPr>
        <w:shd w:val="clear" w:color="auto" w:fill="auto"/>
        <w:tabs>
          <w:tab w:pos="701"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z w:val="24"/>
          <w:szCs w:val="24"/>
          <w:shd w:val="clear" w:color="auto" w:fill="auto"/>
          <w:lang w:val="cs-CZ" w:eastAsia="cs-CZ" w:bidi="cs-CZ"/>
        </w:rPr>
        <w:t>b.i. k jejímu plnění nevyužije poddodavatele, na nějž byly takové sankce uvaleny, a to</w:t>
      </w:r>
      <w:bookmarkEnd w:id="19"/>
      <w:bookmarkEnd w:id="20"/>
      <w:bookmarkEnd w:id="22"/>
    </w:p>
    <w:p>
      <w:pPr>
        <w:pStyle w:val="Style2"/>
        <w:keepNext w:val="0"/>
        <w:keepLines w:val="0"/>
        <w:widowControl w:val="0"/>
        <w:shd w:val="clear" w:color="auto" w:fill="auto"/>
        <w:bidi w:val="0"/>
        <w:spacing w:before="0" w:after="100" w:line="240" w:lineRule="auto"/>
        <w:ind w:left="240" w:right="0" w:firstLine="80"/>
        <w:jc w:val="both"/>
      </w:pPr>
      <w:r>
        <w:rPr>
          <w:color w:val="000000"/>
          <w:spacing w:val="0"/>
          <w:w w:val="100"/>
          <w:position w:val="0"/>
          <w:sz w:val="24"/>
          <w:szCs w:val="24"/>
          <w:shd w:val="clear" w:color="auto" w:fill="auto"/>
          <w:lang w:val="cs-CZ" w:eastAsia="cs-CZ" w:bidi="cs-CZ"/>
        </w:rPr>
        <w:t>ať už se budou týkat přímo osoby poddodavatele nebo jeho přímých nebo nepřímých vlastníků, a</w:t>
      </w:r>
    </w:p>
    <w:p>
      <w:pPr>
        <w:pStyle w:val="Style8"/>
        <w:keepNext/>
        <w:keepLines/>
        <w:widowControl w:val="0"/>
        <w:numPr>
          <w:ilvl w:val="0"/>
          <w:numId w:val="11"/>
        </w:numPr>
        <w:shd w:val="clear" w:color="auto" w:fill="auto"/>
        <w:tabs>
          <w:tab w:pos="701" w:val="left"/>
        </w:tabs>
        <w:bidi w:val="0"/>
        <w:spacing w:before="0" w:after="0" w:line="240" w:lineRule="auto"/>
        <w:ind w:left="0" w:right="0" w:firstLine="0"/>
        <w:jc w:val="left"/>
      </w:pPr>
      <w:bookmarkStart w:id="23" w:name="bookmark23"/>
      <w:bookmarkStart w:id="24" w:name="bookmark24"/>
      <w:bookmarkStart w:id="25" w:name="bookmark25"/>
      <w:bookmarkStart w:id="26" w:name="bookmark26"/>
      <w:bookmarkEnd w:id="25"/>
      <w:r>
        <w:rPr>
          <w:color w:val="000000"/>
          <w:spacing w:val="0"/>
          <w:w w:val="100"/>
          <w:position w:val="0"/>
          <w:sz w:val="24"/>
          <w:szCs w:val="24"/>
          <w:shd w:val="clear" w:color="auto" w:fill="auto"/>
          <w:lang w:val="cs-CZ" w:eastAsia="cs-CZ" w:bidi="cs-CZ"/>
        </w:rPr>
        <w:t>b.ii. v případě uvalení sankcí na kteréhokoliv svého poddodavatele nebo jeho přímého</w:t>
      </w:r>
      <w:bookmarkEnd w:id="23"/>
      <w:bookmarkEnd w:id="24"/>
      <w:bookmarkEnd w:id="26"/>
    </w:p>
    <w:p>
      <w:pPr>
        <w:pStyle w:val="Style2"/>
        <w:keepNext w:val="0"/>
        <w:keepLines w:val="0"/>
        <w:widowControl w:val="0"/>
        <w:shd w:val="clear" w:color="auto" w:fill="auto"/>
        <w:bidi w:val="0"/>
        <w:spacing w:before="0" w:after="0" w:line="240" w:lineRule="auto"/>
        <w:ind w:left="320" w:right="0" w:firstLine="0"/>
        <w:jc w:val="both"/>
        <w:sectPr>
          <w:footnotePr>
            <w:pos w:val="pageBottom"/>
            <w:numFmt w:val="decimal"/>
            <w:numRestart w:val="continuous"/>
          </w:footnotePr>
          <w:pgSz w:w="11909" w:h="16838"/>
          <w:pgMar w:top="797" w:left="1088" w:right="1086" w:bottom="2805" w:header="369" w:footer="2377"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640" w:line="240" w:lineRule="auto"/>
        <w:ind w:left="0" w:right="0" w:firstLine="0"/>
        <w:jc w:val="left"/>
      </w:pPr>
      <w:r>
        <w:rPr>
          <w:b/>
          <w:bCs/>
          <w:color w:val="000000"/>
          <w:spacing w:val="0"/>
          <w:w w:val="100"/>
          <w:position w:val="0"/>
          <w:sz w:val="24"/>
          <w:szCs w:val="24"/>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640" w:line="240" w:lineRule="auto"/>
        <w:ind w:left="0" w:right="0" w:firstLine="0"/>
        <w:jc w:val="left"/>
      </w:pPr>
      <w:r>
        <w:rPr>
          <w:color w:val="000000"/>
          <w:spacing w:val="0"/>
          <w:w w:val="100"/>
          <w:position w:val="0"/>
          <w:sz w:val="24"/>
          <w:szCs w:val="24"/>
          <w:shd w:val="clear" w:color="auto" w:fill="auto"/>
          <w:lang w:val="cs-CZ" w:eastAsia="cs-CZ" w:bidi="cs-CZ"/>
        </w:rPr>
        <w:t>Jméno:</w:t>
      </w:r>
    </w:p>
    <w:p>
      <w:pPr>
        <w:pStyle w:val="Style2"/>
        <w:keepNext w:val="0"/>
        <w:keepLines w:val="0"/>
        <w:widowControl w:val="0"/>
        <w:shd w:val="clear" w:color="auto" w:fill="auto"/>
        <w:tabs>
          <w:tab w:pos="1430" w:val="left"/>
        </w:tabs>
        <w:bidi w:val="0"/>
        <w:spacing w:before="0" w:after="640" w:line="240" w:lineRule="auto"/>
        <w:ind w:left="0" w:right="0" w:firstLine="0"/>
        <w:jc w:val="left"/>
      </w:pPr>
      <w:r>
        <w:rPr>
          <w:color w:val="000000"/>
          <w:spacing w:val="0"/>
          <w:w w:val="100"/>
          <w:position w:val="0"/>
          <w:sz w:val="24"/>
          <w:szCs w:val="24"/>
          <w:shd w:val="clear" w:color="auto" w:fill="auto"/>
          <w:lang w:val="cs-CZ" w:eastAsia="cs-CZ" w:bidi="cs-CZ"/>
        </w:rPr>
        <w:t>Datum:</w:t>
        <w:tab/>
        <w:t>16.9.2025</w:t>
      </w:r>
    </w:p>
    <w:sectPr>
      <w:footnotePr>
        <w:pos w:val="pageBottom"/>
        <w:numFmt w:val="decimal"/>
        <w:numRestart w:val="continuous"/>
      </w:footnotePr>
      <w:pgSz w:w="11909" w:h="16838"/>
      <w:pgMar w:top="792" w:left="1089" w:right="1209" w:bottom="792" w:header="364" w:footer="36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ind w:left="120" w:firstLine="80"/>
      <w:outlineLvl w:val="0"/>
    </w:pPr>
    <w:rPr>
      <w:rFonts w:ascii="Arial" w:eastAsia="Arial" w:hAnsi="Arial" w:cs="Arial"/>
      <w:b w:val="0"/>
      <w:bCs w:val="0"/>
      <w:i w:val="0"/>
      <w:iCs w:val="0"/>
      <w:smallCaps w:val="0"/>
      <w:strike w:val="0"/>
      <w:u w:val="none"/>
    </w:rPr>
  </w:style>
  <w:style w:type="paragraph" w:customStyle="1" w:styleId="Style8">
    <w:name w:val="Style 8"/>
    <w:basedOn w:val="Normal"/>
    <w:link w:val="CharStyle9"/>
    <w:pPr>
      <w:widowControl w:val="0"/>
      <w:shd w:val="clear" w:color="auto" w:fill="FFFFFF"/>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