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E51A1" w:rsidRDefault="00CB7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SMLOUVA O POSKYTNUTÍ SOFTWARE JAKO SLUŽBY</w:t>
      </w:r>
    </w:p>
    <w:p w14:paraId="00000002" w14:textId="77777777" w:rsidR="008E51A1" w:rsidRDefault="00CB7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rPr>
          <w:color w:val="000000"/>
        </w:rPr>
      </w:pPr>
      <w:r>
        <w:rPr>
          <w:color w:val="000000"/>
        </w:rPr>
        <w:t>dle ustanovení § 1746 odst. 2 zákona č. 89/2012 Sb., občanský zákoník, ve znění pozdějších předpisů</w:t>
      </w:r>
    </w:p>
    <w:p w14:paraId="00000003" w14:textId="77777777" w:rsidR="008E51A1" w:rsidRDefault="00CB7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center"/>
        <w:rPr>
          <w:b/>
          <w:color w:val="000000"/>
        </w:rPr>
      </w:pPr>
      <w:r>
        <w:rPr>
          <w:color w:val="000000"/>
        </w:rPr>
        <w:t>(„</w:t>
      </w:r>
      <w:r>
        <w:rPr>
          <w:b/>
          <w:color w:val="000000"/>
        </w:rPr>
        <w:t>Smlouva</w:t>
      </w:r>
      <w:r>
        <w:rPr>
          <w:color w:val="000000"/>
        </w:rPr>
        <w:t>“ a „</w:t>
      </w:r>
      <w:r>
        <w:rPr>
          <w:b/>
          <w:color w:val="000000"/>
        </w:rPr>
        <w:t>OZ</w:t>
      </w:r>
      <w:r>
        <w:rPr>
          <w:color w:val="000000"/>
        </w:rPr>
        <w:t>“)</w:t>
      </w:r>
    </w:p>
    <w:p w14:paraId="00000004" w14:textId="77777777" w:rsidR="008E51A1" w:rsidRDefault="008E51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color w:val="000000"/>
        </w:rPr>
      </w:pPr>
    </w:p>
    <w:p w14:paraId="00000005" w14:textId="77777777" w:rsidR="008E51A1" w:rsidRDefault="00CB767C">
      <w:pPr>
        <w:widowControl w:val="0"/>
        <w:spacing w:after="0"/>
        <w:rPr>
          <w:b/>
        </w:rPr>
      </w:pPr>
      <w:r>
        <w:rPr>
          <w:b/>
        </w:rPr>
        <w:t>Eventee s.r.o.,</w:t>
      </w:r>
    </w:p>
    <w:p w14:paraId="00000006" w14:textId="77777777" w:rsidR="008E51A1" w:rsidRDefault="00CB767C">
      <w:pPr>
        <w:widowControl w:val="0"/>
        <w:spacing w:after="0"/>
      </w:pPr>
      <w:r>
        <w:t>se sídlem Kopečná 940/14, Staré Brno, 60200 Brno,</w:t>
      </w:r>
    </w:p>
    <w:p w14:paraId="00000007" w14:textId="77777777" w:rsidR="008E51A1" w:rsidRDefault="00CB767C">
      <w:pPr>
        <w:widowControl w:val="0"/>
        <w:spacing w:after="0"/>
      </w:pPr>
      <w:r>
        <w:t>IČO: 29307236, DIČ: CZ29307236,</w:t>
      </w:r>
    </w:p>
    <w:p w14:paraId="00000008" w14:textId="77777777" w:rsidR="008E51A1" w:rsidRDefault="00CB767C">
      <w:pPr>
        <w:widowControl w:val="0"/>
        <w:spacing w:after="0"/>
      </w:pPr>
      <w:r>
        <w:t>sp. zn. C 72788, vedená u Krajského soudu v Brně</w:t>
      </w:r>
    </w:p>
    <w:p w14:paraId="00000009" w14:textId="79C18FED" w:rsidR="008E51A1" w:rsidRDefault="00CB767C">
      <w:pPr>
        <w:widowControl w:val="0"/>
        <w:spacing w:after="0"/>
      </w:pPr>
      <w:r>
        <w:t>zastoupe</w:t>
      </w:r>
      <w:r w:rsidR="00A500E5">
        <w:t>ná</w:t>
      </w:r>
      <w:r>
        <w:t xml:space="preserve"> Romanem Maštalířem, jednatelem</w:t>
      </w:r>
    </w:p>
    <w:p w14:paraId="0000000A" w14:textId="77777777" w:rsidR="008E51A1" w:rsidRDefault="00CB767C">
      <w:pPr>
        <w:widowControl w:val="0"/>
        <w:spacing w:after="0"/>
      </w:pPr>
      <w:r>
        <w:t>(„</w:t>
      </w:r>
      <w:r>
        <w:rPr>
          <w:b/>
        </w:rPr>
        <w:t>Poskytovatel</w:t>
      </w:r>
      <w:r>
        <w:t>“)</w:t>
      </w:r>
    </w:p>
    <w:p w14:paraId="0000000B" w14:textId="77777777" w:rsidR="008E51A1" w:rsidRDefault="008E51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color w:val="000000"/>
        </w:rPr>
      </w:pPr>
    </w:p>
    <w:p w14:paraId="0000000C" w14:textId="77777777" w:rsidR="008E51A1" w:rsidRDefault="00CB7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color w:val="000000"/>
        </w:rPr>
        <w:t>a</w:t>
      </w:r>
    </w:p>
    <w:p w14:paraId="0000000D" w14:textId="77777777" w:rsidR="008E51A1" w:rsidRDefault="008E51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color w:val="000000"/>
        </w:rPr>
      </w:pPr>
    </w:p>
    <w:p w14:paraId="0000000E" w14:textId="62C79129" w:rsidR="008E51A1" w:rsidRDefault="00D82C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color w:val="000000"/>
        </w:rPr>
      </w:pPr>
      <w:r>
        <w:rPr>
          <w:b/>
          <w:color w:val="000000"/>
        </w:rPr>
        <w:t>Technická univerzita v Liberci</w:t>
      </w:r>
    </w:p>
    <w:p w14:paraId="45C0B406" w14:textId="03912972" w:rsidR="00882FF9" w:rsidRDefault="00CB7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color w:val="000000"/>
        </w:rPr>
        <w:t xml:space="preserve">se sídlem </w:t>
      </w:r>
      <w:r w:rsidR="00882FF9" w:rsidRPr="00882FF9">
        <w:rPr>
          <w:color w:val="000000"/>
        </w:rPr>
        <w:t>Studentská 1402/2, 461 17 Liberec</w:t>
      </w:r>
      <w:r w:rsidR="00A500E5">
        <w:rPr>
          <w:color w:val="000000"/>
        </w:rPr>
        <w:t>,</w:t>
      </w:r>
    </w:p>
    <w:p w14:paraId="00000010" w14:textId="2C0E21E1" w:rsidR="008E51A1" w:rsidRDefault="00CB7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color w:val="000000"/>
        </w:rPr>
        <w:t xml:space="preserve">IČO: </w:t>
      </w:r>
      <w:r w:rsidR="00882FF9" w:rsidRPr="00882FF9">
        <w:rPr>
          <w:color w:val="000000"/>
        </w:rPr>
        <w:t>46747885</w:t>
      </w:r>
      <w:r>
        <w:rPr>
          <w:color w:val="000000"/>
        </w:rPr>
        <w:t xml:space="preserve">, DIČ: </w:t>
      </w:r>
      <w:r w:rsidR="00882FF9" w:rsidRPr="00882FF9">
        <w:rPr>
          <w:color w:val="000000"/>
        </w:rPr>
        <w:t>CZ46747885</w:t>
      </w:r>
      <w:r>
        <w:rPr>
          <w:color w:val="000000"/>
        </w:rPr>
        <w:t>,</w:t>
      </w:r>
    </w:p>
    <w:p w14:paraId="7E8EE50E" w14:textId="1D072453" w:rsidR="00882FF9" w:rsidRDefault="00CB7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color w:val="000000"/>
        </w:rPr>
        <w:t>zastoupen</w:t>
      </w:r>
      <w:r w:rsidR="00A500E5">
        <w:rPr>
          <w:color w:val="000000"/>
        </w:rPr>
        <w:t>á</w:t>
      </w:r>
      <w:r>
        <w:rPr>
          <w:color w:val="000000"/>
        </w:rPr>
        <w:t xml:space="preserve"> </w:t>
      </w:r>
      <w:r w:rsidR="00882FF9" w:rsidRPr="00882FF9">
        <w:rPr>
          <w:color w:val="000000"/>
        </w:rPr>
        <w:t>doc. RNDr. Miroslav</w:t>
      </w:r>
      <w:r w:rsidR="00A500E5">
        <w:rPr>
          <w:color w:val="000000"/>
        </w:rPr>
        <w:t>em</w:t>
      </w:r>
      <w:r w:rsidR="00882FF9" w:rsidRPr="00882FF9">
        <w:rPr>
          <w:color w:val="000000"/>
        </w:rPr>
        <w:t xml:space="preserve"> Brzezin</w:t>
      </w:r>
      <w:r w:rsidR="00A500E5">
        <w:rPr>
          <w:color w:val="000000"/>
        </w:rPr>
        <w:t>ou</w:t>
      </w:r>
      <w:r w:rsidR="00882FF9" w:rsidRPr="00882FF9">
        <w:rPr>
          <w:color w:val="000000"/>
        </w:rPr>
        <w:t>, CSc., dr.h.c., rektor</w:t>
      </w:r>
      <w:r w:rsidR="00A500E5">
        <w:rPr>
          <w:color w:val="000000"/>
        </w:rPr>
        <w:t xml:space="preserve">em, </w:t>
      </w:r>
    </w:p>
    <w:p w14:paraId="00000013" w14:textId="4CA14C6F" w:rsidR="008E51A1" w:rsidRDefault="00882F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color w:val="000000"/>
        </w:rPr>
        <w:t xml:space="preserve">kontaktní </w:t>
      </w:r>
      <w:r w:rsidR="00CB767C">
        <w:rPr>
          <w:color w:val="000000"/>
        </w:rPr>
        <w:t xml:space="preserve">e-mail: </w:t>
      </w:r>
      <w:r w:rsidR="00E56C2A">
        <w:t>XXXXXXXX</w:t>
      </w:r>
    </w:p>
    <w:p w14:paraId="00000014" w14:textId="57EC2EF0" w:rsidR="008E51A1" w:rsidRDefault="00CB767C">
      <w:pPr>
        <w:widowControl w:val="0"/>
        <w:spacing w:after="0"/>
      </w:pPr>
      <w:r>
        <w:t>(„</w:t>
      </w:r>
      <w:r>
        <w:rPr>
          <w:b/>
        </w:rPr>
        <w:t>Objednatel</w:t>
      </w:r>
      <w:r>
        <w:t>“, Objednatel a Poskytovatel dále společně také jako „</w:t>
      </w:r>
      <w:r>
        <w:rPr>
          <w:b/>
        </w:rPr>
        <w:t>Smluvní strany</w:t>
      </w:r>
      <w:r>
        <w:t>“ či jednotlivě jako „</w:t>
      </w:r>
      <w:r>
        <w:rPr>
          <w:b/>
        </w:rPr>
        <w:t>Smluvní strana</w:t>
      </w:r>
      <w:r>
        <w:t>“)</w:t>
      </w:r>
    </w:p>
    <w:p w14:paraId="1AD18202" w14:textId="727551E0" w:rsidR="00882FF9" w:rsidRDefault="00882FF9">
      <w:pPr>
        <w:widowControl w:val="0"/>
        <w:spacing w:after="0"/>
      </w:pPr>
    </w:p>
    <w:p w14:paraId="19D305B3" w14:textId="4F8E594D" w:rsidR="00882FF9" w:rsidRDefault="00882FF9">
      <w:pPr>
        <w:widowControl w:val="0"/>
        <w:spacing w:after="0"/>
      </w:pPr>
    </w:p>
    <w:p w14:paraId="2304BE6F" w14:textId="77777777" w:rsidR="00882FF9" w:rsidRDefault="00882FF9">
      <w:pPr>
        <w:widowControl w:val="0"/>
        <w:spacing w:after="0"/>
      </w:pPr>
    </w:p>
    <w:p w14:paraId="00000015" w14:textId="77777777" w:rsidR="008E51A1" w:rsidRDefault="00CB76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b/>
          <w:color w:val="000000"/>
        </w:rPr>
      </w:pPr>
      <w:r>
        <w:rPr>
          <w:b/>
          <w:color w:val="000000"/>
        </w:rPr>
        <w:t>P R E A M B U L E</w:t>
      </w:r>
    </w:p>
    <w:p w14:paraId="00000016" w14:textId="77777777" w:rsidR="008E51A1" w:rsidRDefault="00CB767C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>
        <w:rPr>
          <w:color w:val="000000"/>
        </w:rPr>
        <w:t>Poskytovatel je obchodní společností, která je poskytovatelem cloudové služby představované </w:t>
      </w:r>
      <w:r>
        <w:rPr>
          <w:b/>
          <w:color w:val="000000"/>
        </w:rPr>
        <w:t>webovou a mobilní</w:t>
      </w:r>
      <w:r>
        <w:rPr>
          <w:color w:val="000000"/>
        </w:rPr>
        <w:t xml:space="preserve"> </w:t>
      </w:r>
      <w:r>
        <w:rPr>
          <w:b/>
          <w:color w:val="000000"/>
        </w:rPr>
        <w:t>aplikací Eventee</w:t>
      </w:r>
      <w:r>
        <w:rPr>
          <w:color w:val="000000"/>
        </w:rPr>
        <w:t xml:space="preserve"> určenou k organizování hybridních, virtuálních a fyzických eventů („</w:t>
      </w:r>
      <w:r>
        <w:rPr>
          <w:b/>
          <w:color w:val="000000"/>
        </w:rPr>
        <w:t>Software</w:t>
      </w:r>
      <w:r>
        <w:rPr>
          <w:color w:val="000000"/>
        </w:rPr>
        <w:t>“) a má zájem Objednateli poskytnout Software v rozsahu a za podmínek stanovených níže.</w:t>
      </w:r>
    </w:p>
    <w:p w14:paraId="00000017" w14:textId="78C2A2D8" w:rsidR="008E51A1" w:rsidRDefault="00CB767C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>
        <w:rPr>
          <w:color w:val="000000"/>
        </w:rPr>
        <w:t xml:space="preserve">Objednatel je </w:t>
      </w:r>
      <w:r w:rsidR="00D82C39">
        <w:rPr>
          <w:color w:val="000000"/>
        </w:rPr>
        <w:t>vzdělávací instituce v Libereckém kraji</w:t>
      </w:r>
      <w:r>
        <w:rPr>
          <w:color w:val="000000"/>
        </w:rPr>
        <w:t>, kter</w:t>
      </w:r>
      <w:r w:rsidR="00D82C39">
        <w:rPr>
          <w:color w:val="000000"/>
        </w:rPr>
        <w:t>á</w:t>
      </w:r>
      <w:r>
        <w:rPr>
          <w:color w:val="000000"/>
        </w:rPr>
        <w:t xml:space="preserve"> má zájem užívat Software Poskytovatele, a to v rozsahu a za podmínek stanovených níže.</w:t>
      </w:r>
    </w:p>
    <w:p w14:paraId="00000018" w14:textId="77777777" w:rsidR="008E51A1" w:rsidRDefault="00CB767C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>
        <w:rPr>
          <w:color w:val="000000"/>
        </w:rPr>
        <w:t>Sml</w:t>
      </w:r>
      <w:r>
        <w:t xml:space="preserve">uvní strany se rozhodly uzavřít tuto Smlouvu a vymezit tak jejich vzájemná </w:t>
      </w:r>
      <w:r>
        <w:rPr>
          <w:color w:val="000000"/>
        </w:rPr>
        <w:t>práva a povinnosti při poskytování a užívání Software.</w:t>
      </w:r>
    </w:p>
    <w:p w14:paraId="00000019" w14:textId="77777777" w:rsidR="008E51A1" w:rsidRDefault="008E51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rPr>
          <w:color w:val="000000"/>
        </w:rPr>
      </w:pPr>
    </w:p>
    <w:p w14:paraId="0000001A" w14:textId="77777777" w:rsidR="008E51A1" w:rsidRDefault="00CB767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0" w:right="-15" w:hanging="270"/>
        <w:jc w:val="center"/>
      </w:pPr>
      <w:r>
        <w:rPr>
          <w:b/>
          <w:color w:val="000000"/>
        </w:rPr>
        <w:t>Předmět Smlouvy</w:t>
      </w:r>
    </w:p>
    <w:p w14:paraId="0000001B" w14:textId="77777777" w:rsidR="008E51A1" w:rsidRDefault="00CB767C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Poskytovatel se touto Smlouvou zavazuje zpřístupnit Objednateli Software a poskytovat Objednateli související služby dle čl. II této Smlouvy („</w:t>
      </w:r>
      <w:r>
        <w:rPr>
          <w:b/>
          <w:color w:val="000000"/>
        </w:rPr>
        <w:t>Služby</w:t>
      </w:r>
      <w:r>
        <w:rPr>
          <w:color w:val="000000"/>
        </w:rPr>
        <w:t>“) a udělit Objednateli licenci k Software dle čl. III této Smlouvy („</w:t>
      </w:r>
      <w:r>
        <w:rPr>
          <w:b/>
          <w:color w:val="000000"/>
        </w:rPr>
        <w:t>Licence</w:t>
      </w:r>
      <w:r>
        <w:rPr>
          <w:color w:val="000000"/>
        </w:rPr>
        <w:t>“).</w:t>
      </w:r>
    </w:p>
    <w:p w14:paraId="0000001C" w14:textId="77777777" w:rsidR="008E51A1" w:rsidRDefault="00CB767C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Objednatel se zavazuje za řádně poskytnuté Služby a Licenci zaplatit Poskytovateli roční odměnu dle čl. IV. této Smlouvy („</w:t>
      </w:r>
      <w:r>
        <w:rPr>
          <w:b/>
          <w:color w:val="000000"/>
        </w:rPr>
        <w:t>Odměna</w:t>
      </w:r>
      <w:r>
        <w:rPr>
          <w:color w:val="000000"/>
        </w:rPr>
        <w:t>“).</w:t>
      </w:r>
    </w:p>
    <w:p w14:paraId="0000001D" w14:textId="77777777" w:rsidR="008E51A1" w:rsidRDefault="00CB767C">
      <w:pPr>
        <w:keepNext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90"/>
        <w:jc w:val="center"/>
      </w:pPr>
      <w:r>
        <w:rPr>
          <w:b/>
          <w:color w:val="000000"/>
        </w:rPr>
        <w:t>Služby</w:t>
      </w:r>
    </w:p>
    <w:p w14:paraId="0000001E" w14:textId="77777777" w:rsidR="008E51A1" w:rsidRDefault="00CB767C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bookmarkStart w:id="0" w:name="_heading=h.gjdgxs" w:colFirst="0" w:colLast="0"/>
      <w:bookmarkEnd w:id="0"/>
      <w:r>
        <w:rPr>
          <w:color w:val="000000"/>
        </w:rPr>
        <w:t>Poskytovatel se zavazuje, že po dobu trvání této smlouvy bude:</w:t>
      </w:r>
    </w:p>
    <w:p w14:paraId="0000001F" w14:textId="77777777" w:rsidR="008E51A1" w:rsidRDefault="00CB767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provozovat Software tak, aby umožnil osobám registrovaným do Software se souhlasem nebo na pokyn Objednatele („</w:t>
      </w:r>
      <w:r>
        <w:rPr>
          <w:b/>
          <w:color w:val="000000"/>
        </w:rPr>
        <w:t>Oprávněná osoba</w:t>
      </w:r>
      <w:r>
        <w:rPr>
          <w:color w:val="000000"/>
        </w:rPr>
        <w:t>“) plný a nerušený přístup do Software;</w:t>
      </w:r>
    </w:p>
    <w:p w14:paraId="00000020" w14:textId="77777777" w:rsidR="008E51A1" w:rsidRDefault="00CB767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highlight w:val="white"/>
        </w:rPr>
        <w:t>umožnit Oprávněným osobám užívání Software prostřednictvím sítě Internet;</w:t>
      </w:r>
    </w:p>
    <w:p w14:paraId="00000021" w14:textId="77777777" w:rsidR="008E51A1" w:rsidRDefault="00CB767C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poskytovat technickou podporu k Software, a to poskytnutím </w:t>
      </w:r>
    </w:p>
    <w:p w14:paraId="00000022" w14:textId="77777777" w:rsidR="008E51A1" w:rsidRDefault="00CB767C">
      <w:pPr>
        <w:widowControl w:val="0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0"/>
      </w:pPr>
      <w:r>
        <w:rPr>
          <w:color w:val="000000"/>
        </w:rPr>
        <w:t>databáze běžných problémů dostupné na https://help.eventee.co/; a</w:t>
      </w:r>
    </w:p>
    <w:p w14:paraId="1ECAB5BA" w14:textId="63BBB5E0" w:rsidR="00F40AEB" w:rsidRDefault="00CB767C" w:rsidP="00F40AEB">
      <w:pPr>
        <w:widowControl w:val="0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</w:pPr>
      <w:r>
        <w:rPr>
          <w:color w:val="000000"/>
        </w:rPr>
        <w:t xml:space="preserve">‍standardní technické podpory prostřednictvím chatu v aplikaci Eventee, případně na a e-mailové adrese: </w:t>
      </w:r>
      <w:hyperlink r:id="rId11">
        <w:r>
          <w:rPr>
            <w:color w:val="0563C1"/>
            <w:u w:val="single"/>
          </w:rPr>
          <w:t>SUPPORT@EVENTEE.CO</w:t>
        </w:r>
      </w:hyperlink>
      <w:r>
        <w:rPr>
          <w:color w:val="000000"/>
        </w:rPr>
        <w:t>, a to v pracovní dny (pondělí až pátek) od 9:00 do 18:00 SEČ.</w:t>
      </w:r>
    </w:p>
    <w:p w14:paraId="4D34E762" w14:textId="42D3E110" w:rsidR="00F40AEB" w:rsidRPr="00882FF9" w:rsidRDefault="00F40AEB" w:rsidP="00882FF9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882FF9">
        <w:rPr>
          <w:color w:val="000000"/>
        </w:rPr>
        <w:lastRenderedPageBreak/>
        <w:t xml:space="preserve">2. Poskytovatel se zavazuje podniknout všechny kroky v rámci svých technických možností, aby zajistil funkčnost a dostupnost </w:t>
      </w:r>
      <w:r>
        <w:rPr>
          <w:color w:val="000000"/>
        </w:rPr>
        <w:t>Software</w:t>
      </w:r>
      <w:r w:rsidRPr="00882FF9">
        <w:rPr>
          <w:color w:val="000000"/>
        </w:rPr>
        <w:t xml:space="preserve">. Pokud Objednatel zjistí problém související s dostupností a funkčností </w:t>
      </w:r>
      <w:r w:rsidR="00D35EA7">
        <w:rPr>
          <w:color w:val="000000"/>
        </w:rPr>
        <w:t>Software,</w:t>
      </w:r>
      <w:r w:rsidRPr="00882FF9">
        <w:rPr>
          <w:color w:val="000000"/>
        </w:rPr>
        <w:t xml:space="preserve"> nahlásí tuto událost </w:t>
      </w:r>
      <w:r w:rsidR="00D35EA7">
        <w:rPr>
          <w:color w:val="000000"/>
        </w:rPr>
        <w:t>P</w:t>
      </w:r>
      <w:r w:rsidRPr="00882FF9">
        <w:rPr>
          <w:color w:val="000000"/>
        </w:rPr>
        <w:t>oskytovateli</w:t>
      </w:r>
      <w:r w:rsidR="00D35EA7">
        <w:rPr>
          <w:color w:val="000000"/>
        </w:rPr>
        <w:t xml:space="preserve">. </w:t>
      </w:r>
      <w:r w:rsidRPr="00882FF9">
        <w:rPr>
          <w:color w:val="000000"/>
        </w:rPr>
        <w:t xml:space="preserve">Poskytovatel se zavazuje takový nedostatek/vadu odstranit nejpozději do tří pracovních dnů od nahlášení incidentu. V případě, že bude funkčnost </w:t>
      </w:r>
      <w:r w:rsidR="00D35EA7">
        <w:rPr>
          <w:color w:val="000000"/>
        </w:rPr>
        <w:t xml:space="preserve">Software </w:t>
      </w:r>
      <w:r w:rsidRPr="00882FF9">
        <w:rPr>
          <w:color w:val="000000"/>
        </w:rPr>
        <w:t xml:space="preserve">omezena </w:t>
      </w:r>
      <w:r w:rsidR="00D35EA7">
        <w:rPr>
          <w:color w:val="000000"/>
        </w:rPr>
        <w:t xml:space="preserve">nebo bude Software zcela nefunkční </w:t>
      </w:r>
      <w:r w:rsidRPr="00882FF9">
        <w:rPr>
          <w:color w:val="000000"/>
        </w:rPr>
        <w:t>po dobu delší než 14 kalendářních dnů, je Objednatel oprávněn od smlouvy odstoup</w:t>
      </w:r>
      <w:r w:rsidR="00D35EA7">
        <w:rPr>
          <w:color w:val="000000"/>
        </w:rPr>
        <w:t>i</w:t>
      </w:r>
      <w:r w:rsidRPr="00882FF9">
        <w:rPr>
          <w:color w:val="000000"/>
        </w:rPr>
        <w:t>t a požadovat vrácení poměrné části ceny již uhrazené Odměny</w:t>
      </w:r>
      <w:r w:rsidR="00D35EA7">
        <w:rPr>
          <w:color w:val="000000"/>
        </w:rPr>
        <w:t xml:space="preserve"> za dané období. </w:t>
      </w:r>
    </w:p>
    <w:p w14:paraId="00000024" w14:textId="77777777" w:rsidR="008E51A1" w:rsidRDefault="00CB767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0"/>
        <w:jc w:val="center"/>
      </w:pPr>
      <w:bookmarkStart w:id="1" w:name="_heading=h.30j0zll" w:colFirst="0" w:colLast="0"/>
      <w:bookmarkEnd w:id="1"/>
      <w:r>
        <w:rPr>
          <w:b/>
          <w:color w:val="000000"/>
        </w:rPr>
        <w:t>Licence</w:t>
      </w:r>
    </w:p>
    <w:p w14:paraId="00000025" w14:textId="77777777" w:rsidR="008E51A1" w:rsidRDefault="00CB767C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Poskytovatel uděluje Objednateli nevýhradní, časově omezenou licenci k užívání Software, včetně jeho updatů a upgradů. Licence je poskytnuta v rozsahu tzv. </w:t>
      </w:r>
      <w:r>
        <w:rPr>
          <w:b/>
          <w:color w:val="000000"/>
        </w:rPr>
        <w:t>business licence</w:t>
      </w:r>
      <w:r>
        <w:rPr>
          <w:color w:val="000000"/>
        </w:rPr>
        <w:t xml:space="preserve"> </w:t>
      </w:r>
      <w:r>
        <w:rPr>
          <w:b/>
          <w:color w:val="000000"/>
        </w:rPr>
        <w:t>Poskytovatele</w:t>
      </w:r>
      <w:r>
        <w:rPr>
          <w:color w:val="000000"/>
        </w:rPr>
        <w:t xml:space="preserve"> (viz </w:t>
      </w:r>
      <w:hyperlink r:id="rId12">
        <w:r>
          <w:rPr>
            <w:color w:val="0563C1"/>
            <w:u w:val="single"/>
          </w:rPr>
          <w:t>https://eventee.co/pricing</w:t>
        </w:r>
      </w:hyperlink>
      <w:r>
        <w:rPr>
          <w:color w:val="000000"/>
        </w:rPr>
        <w:t xml:space="preserve">), a to teritoriálně neomezená, na </w:t>
      </w:r>
      <w:r>
        <w:rPr>
          <w:b/>
          <w:color w:val="000000"/>
        </w:rPr>
        <w:t>pořádání 6 eventů ročně s max 1000 účastníky na eventu a 10 „team members“</w:t>
      </w:r>
      <w:r>
        <w:rPr>
          <w:color w:val="000000"/>
        </w:rPr>
        <w:t>.</w:t>
      </w:r>
    </w:p>
    <w:p w14:paraId="00000026" w14:textId="77777777" w:rsidR="008E51A1" w:rsidRDefault="00CB767C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Licence se poskytuje </w:t>
      </w:r>
      <w:r>
        <w:rPr>
          <w:b/>
          <w:color w:val="000000"/>
        </w:rPr>
        <w:t>na dobu trvání této Smlouvy</w:t>
      </w:r>
      <w:r>
        <w:rPr>
          <w:color w:val="000000"/>
        </w:rPr>
        <w:t>.</w:t>
      </w:r>
    </w:p>
    <w:p w14:paraId="00000027" w14:textId="77777777" w:rsidR="008E51A1" w:rsidRDefault="00CB767C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Odměna za poskytnutí Licence je zahrnuta v Odměně dle čl. IV této Smlouvy.</w:t>
      </w:r>
    </w:p>
    <w:p w14:paraId="00000028" w14:textId="77777777" w:rsidR="008E51A1" w:rsidRDefault="00CB767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0"/>
        <w:jc w:val="center"/>
      </w:pPr>
      <w:r>
        <w:rPr>
          <w:b/>
          <w:color w:val="000000"/>
        </w:rPr>
        <w:t>Odměna</w:t>
      </w:r>
    </w:p>
    <w:p w14:paraId="00000029" w14:textId="77777777" w:rsidR="008E51A1" w:rsidRDefault="00CB767C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Objednatel se zavazuje zaplatit Poskytovateli Odměnu za roční poskytování Služeb a Licence dle této Smlouvy, a to ve výši </w:t>
      </w:r>
      <w:r>
        <w:rPr>
          <w:b/>
          <w:color w:val="000000"/>
        </w:rPr>
        <w:t>59.999</w:t>
      </w:r>
      <w:r>
        <w:rPr>
          <w:color w:val="000000"/>
        </w:rPr>
        <w:t xml:space="preserve"> </w:t>
      </w:r>
      <w:r>
        <w:rPr>
          <w:b/>
          <w:color w:val="000000"/>
        </w:rPr>
        <w:t>Kč</w:t>
      </w:r>
      <w:r>
        <w:rPr>
          <w:color w:val="000000"/>
        </w:rPr>
        <w:t xml:space="preserve"> (slovy: </w:t>
      </w:r>
      <w:r>
        <w:rPr>
          <w:i/>
          <w:color w:val="000000"/>
        </w:rPr>
        <w:t>padesát devět tisíc devět set devadesát devět</w:t>
      </w:r>
      <w:r>
        <w:rPr>
          <w:color w:val="000000"/>
        </w:rPr>
        <w:t xml:space="preserve"> </w:t>
      </w:r>
      <w:r>
        <w:rPr>
          <w:i/>
          <w:color w:val="000000"/>
        </w:rPr>
        <w:t>korun českých</w:t>
      </w:r>
      <w:r>
        <w:rPr>
          <w:color w:val="000000"/>
        </w:rPr>
        <w:t xml:space="preserve">) </w:t>
      </w:r>
      <w:r>
        <w:rPr>
          <w:b/>
          <w:color w:val="000000"/>
        </w:rPr>
        <w:t>+ DPH</w:t>
      </w:r>
      <w:r>
        <w:rPr>
          <w:color w:val="000000"/>
        </w:rPr>
        <w:t>.</w:t>
      </w:r>
    </w:p>
    <w:p w14:paraId="0000002A" w14:textId="77777777" w:rsidR="008E51A1" w:rsidRDefault="00CB767C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Odměna bude uhrazena Objednatelem na základě faktury, která bude Poskytovatelem vystavena nejpozději </w:t>
      </w:r>
      <w:r>
        <w:rPr>
          <w:b/>
          <w:color w:val="000000"/>
        </w:rPr>
        <w:t xml:space="preserve">do </w:t>
      </w:r>
      <w:r w:rsidRPr="00BA1865">
        <w:rPr>
          <w:b/>
        </w:rPr>
        <w:t>30</w:t>
      </w:r>
      <w:r>
        <w:rPr>
          <w:b/>
          <w:color w:val="000000"/>
        </w:rPr>
        <w:t xml:space="preserve"> dnů od uzavření této Smlouvy</w:t>
      </w:r>
      <w:r>
        <w:rPr>
          <w:color w:val="000000"/>
        </w:rPr>
        <w:t xml:space="preserve">. </w:t>
      </w:r>
    </w:p>
    <w:p w14:paraId="0000002B" w14:textId="77777777" w:rsidR="008E51A1" w:rsidRDefault="00CB767C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Faktura musí obsahovat všechny zákonné náležitosti daňového dokladu. Splatnost faktury bude alespoň 14 dní ode dne jejího doručení Objednateli na e-mailovou adresu Objednatele uvedenou v záhlaví této Smlouvy, a to formou bezhotovostního převodu ve prospěch účtu Poskytovatele uvedeného na faktuře.</w:t>
      </w:r>
    </w:p>
    <w:p w14:paraId="0000002C" w14:textId="77777777" w:rsidR="008E51A1" w:rsidRDefault="00CB767C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V případě, že faktura nebude mít odpovídající náležitosti, je Objednatel oprávněn fakturu vrátit ve lhůtě splatnosti zpět Poskytovateli k nápravě, aniž se tak dostane do prodlení se splatností. Lhůta splatnosti počíná běžet znovu od opětovného doručení náležitě doplněné či opravené faktury Objednateli.</w:t>
      </w:r>
    </w:p>
    <w:p w14:paraId="0000002D" w14:textId="77777777" w:rsidR="008E51A1" w:rsidRDefault="00CB767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0"/>
        <w:jc w:val="center"/>
      </w:pPr>
      <w:bookmarkStart w:id="2" w:name="_heading=h.1fob9te" w:colFirst="0" w:colLast="0"/>
      <w:bookmarkEnd w:id="2"/>
      <w:r>
        <w:rPr>
          <w:b/>
          <w:color w:val="000000"/>
        </w:rPr>
        <w:t>Trvání Smlouvy</w:t>
      </w:r>
    </w:p>
    <w:p w14:paraId="0000002E" w14:textId="77777777" w:rsidR="008E51A1" w:rsidRDefault="00CB767C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Poskytovatel se zavazuje zpřístupnit Objednateli Software nejpozději v den vystavení faktury dle čl. IV této Smlouvy.</w:t>
      </w:r>
    </w:p>
    <w:p w14:paraId="0000002F" w14:textId="550FD2C4" w:rsidR="008E51A1" w:rsidRDefault="00CB767C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Tato Smlouva se uzavírá na dobu 1 roku od data zpřístupnění Software, přičemž Smlouvou lze prodloužit vzájemnou dohodou Smluvních stran.</w:t>
      </w:r>
      <w:r w:rsidR="00985C27">
        <w:rPr>
          <w:color w:val="000000"/>
        </w:rPr>
        <w:t xml:space="preserve"> Automatické prodloužení uvedené v Terms of Service se neuplatní a smlouva končí uplynutím doby platnosti</w:t>
      </w:r>
      <w:r w:rsidR="00F40AEB">
        <w:rPr>
          <w:color w:val="000000"/>
        </w:rPr>
        <w:t xml:space="preserve">, pokud se smluvní strany nedohodnou jinak. </w:t>
      </w:r>
      <w:r w:rsidR="00985C27">
        <w:rPr>
          <w:color w:val="000000"/>
        </w:rPr>
        <w:t xml:space="preserve"> </w:t>
      </w:r>
    </w:p>
    <w:p w14:paraId="00000030" w14:textId="77777777" w:rsidR="008E51A1" w:rsidRDefault="00CB767C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Poskytovatel může Smlouvu vypovědět písemnou výpovědí bez výpovědní doby pro závažné porušení povinnosti Objednatele vyplývající ze Smlouvy, příp. Terms of Service.</w:t>
      </w:r>
    </w:p>
    <w:p w14:paraId="00000031" w14:textId="77777777" w:rsidR="008E51A1" w:rsidRDefault="00CB767C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Strany se dohodly, že v případě ukončení Smlouvy Poskytovatel na výslovnou písemnou žádost Objednatele smaže bezodkladně veškerá data vložená Oprávněnými osobami do Software i jakákoli data odvozená od takových dat.</w:t>
      </w:r>
    </w:p>
    <w:p w14:paraId="00000032" w14:textId="77777777" w:rsidR="008E51A1" w:rsidRDefault="008E51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color w:val="000000"/>
        </w:rPr>
      </w:pPr>
      <w:bookmarkStart w:id="4" w:name="_heading=h.2et92p0" w:colFirst="0" w:colLast="0"/>
      <w:bookmarkEnd w:id="4"/>
    </w:p>
    <w:p w14:paraId="00000033" w14:textId="77777777" w:rsidR="008E51A1" w:rsidRDefault="00CB7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center"/>
        <w:rPr>
          <w:b/>
          <w:color w:val="000000"/>
        </w:rPr>
      </w:pPr>
      <w:r>
        <w:rPr>
          <w:b/>
          <w:color w:val="000000"/>
        </w:rPr>
        <w:t>VII. Závěrečná ustanovení</w:t>
      </w:r>
    </w:p>
    <w:p w14:paraId="00000034" w14:textId="77777777" w:rsidR="008E51A1" w:rsidRDefault="00CB767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Tato Smlouva se řídí právním řádem České republiky (zejména OZ) a případné spory z této Smlouvy budou řešeny obecnými soudy České republiky.</w:t>
      </w:r>
    </w:p>
    <w:p w14:paraId="00000035" w14:textId="77777777" w:rsidR="008E51A1" w:rsidRDefault="00CB767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Pokud by bylo kterékoli ustanovení této Smlouvy zcela nebo zčásti neplatné, neúčinné, nevymahatelné, nebo jestliže některá otázka není touto Smlouvou upravována, zbývající ustanovení Smlouvy nejsou tímto dotčena.</w:t>
      </w:r>
    </w:p>
    <w:p w14:paraId="00000036" w14:textId="390D8D22" w:rsidR="008E51A1" w:rsidRDefault="00CB767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Tato Smlouva nabývá platnosti dnem jejího podpisu oběma Smluvními stranami</w:t>
      </w:r>
      <w:r w:rsidR="00B95537">
        <w:rPr>
          <w:color w:val="000000"/>
        </w:rPr>
        <w:t xml:space="preserve"> a účinnosti dnem zveřejnění v Registru smluv v souladu se zákonem č. 340/2015 Sb., o registru smluv, ve znění pozdějších předpisů</w:t>
      </w:r>
      <w:r>
        <w:rPr>
          <w:color w:val="000000"/>
        </w:rPr>
        <w:t>.</w:t>
      </w:r>
      <w:r w:rsidR="00B95537">
        <w:rPr>
          <w:color w:val="000000"/>
        </w:rPr>
        <w:t xml:space="preserve"> Zveřejnění provede TUL. Obě smluvní strany jsou povinny označit části smlouvy, které mají být předmětem anonymizace. Za zveřejnění takto neoznačených údajů nenese TUL žádnou odpovědnost. </w:t>
      </w:r>
    </w:p>
    <w:p w14:paraId="00000037" w14:textId="77777777" w:rsidR="008E51A1" w:rsidRDefault="00CB767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Tato Smlouva byla sepsána ve dvou (2) stejnopisech s tím, že každá ze Smluvních stran obdrží jedno (1) vyhotovení.</w:t>
      </w:r>
    </w:p>
    <w:p w14:paraId="00000038" w14:textId="77777777" w:rsidR="008E51A1" w:rsidRDefault="00CB767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Jakékoliv změny či doplňky této Smlouvy je možné činit po vzájemné dohodě Smluvních stran, a to </w:t>
      </w:r>
      <w:r>
        <w:rPr>
          <w:color w:val="000000"/>
        </w:rPr>
        <w:lastRenderedPageBreak/>
        <w:t>písemnou formou, jinak jsou neplatné.</w:t>
      </w:r>
    </w:p>
    <w:p w14:paraId="00000039" w14:textId="77777777" w:rsidR="008E51A1" w:rsidRDefault="00CB767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Otázky touto Smlouvou výslovně neupravené se řídí Terms of Service, které jsou dostupné na webu Poskytovatele: </w:t>
      </w:r>
      <w:hyperlink r:id="rId13">
        <w:r>
          <w:rPr>
            <w:color w:val="0563C1"/>
            <w:u w:val="single"/>
          </w:rPr>
          <w:t>https://eventee.co/legal</w:t>
        </w:r>
      </w:hyperlink>
      <w:r>
        <w:rPr>
          <w:color w:val="000000"/>
        </w:rPr>
        <w:t>. Objednatel se zavazuje tyto Terms of Service dodržovat. V případě rozporu mezi Terms of Service a touto Smlouvou, má tato Smlouva přednost.</w:t>
      </w:r>
    </w:p>
    <w:p w14:paraId="17F64DE9" w14:textId="77777777" w:rsidR="00BA1865" w:rsidRDefault="00BA1865" w:rsidP="00BA18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A26AE3E" w14:textId="77777777" w:rsidR="00BA1865" w:rsidRDefault="00BA1865" w:rsidP="00BA18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086DF2C" w14:textId="77777777" w:rsidR="00BA1865" w:rsidRDefault="00BA1865" w:rsidP="00BA18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D7FC2E1" w14:textId="77777777" w:rsidR="00BA1865" w:rsidRDefault="00BA1865" w:rsidP="00BA18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3A" w14:textId="04AE7E77" w:rsidR="008E51A1" w:rsidRDefault="00CB76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529"/>
        </w:tabs>
        <w:spacing w:before="840" w:after="0"/>
        <w:rPr>
          <w:color w:val="000000"/>
        </w:rPr>
      </w:pPr>
      <w:r w:rsidRPr="00BA1865">
        <w:rPr>
          <w:color w:val="000000"/>
        </w:rPr>
        <w:t xml:space="preserve">V </w:t>
      </w:r>
      <w:r w:rsidR="0069054C">
        <w:rPr>
          <w:color w:val="000000"/>
        </w:rPr>
        <w:t>Liberci</w:t>
      </w:r>
      <w:r w:rsidRPr="00BA1865">
        <w:rPr>
          <w:color w:val="000000"/>
        </w:rPr>
        <w:t xml:space="preserve"> dne </w:t>
      </w:r>
      <w:r w:rsidR="00E56C2A">
        <w:rPr>
          <w:color w:val="000000"/>
        </w:rPr>
        <w:t>4. 9. 2025</w:t>
      </w:r>
      <w:r w:rsidRPr="00BA1865">
        <w:rPr>
          <w:color w:val="000000"/>
        </w:rPr>
        <w:tab/>
        <w:t xml:space="preserve">V </w:t>
      </w:r>
      <w:r w:rsidR="00E56C2A">
        <w:rPr>
          <w:color w:val="000000"/>
        </w:rPr>
        <w:t>Brně</w:t>
      </w:r>
      <w:r w:rsidRPr="00BA1865">
        <w:rPr>
          <w:color w:val="000000"/>
        </w:rPr>
        <w:t xml:space="preserve"> dne </w:t>
      </w:r>
      <w:r w:rsidR="00E56C2A">
        <w:rPr>
          <w:color w:val="000000"/>
        </w:rPr>
        <w:t>13. 8. 2025</w:t>
      </w:r>
    </w:p>
    <w:p w14:paraId="0000003B" w14:textId="77777777" w:rsidR="008E51A1" w:rsidRDefault="00CB767C">
      <w:pPr>
        <w:widowControl w:val="0"/>
        <w:tabs>
          <w:tab w:val="left" w:pos="5529"/>
        </w:tabs>
        <w:spacing w:before="360" w:after="0"/>
      </w:pPr>
      <w:r>
        <w:t>Objednatel</w:t>
      </w:r>
      <w:r>
        <w:tab/>
        <w:t>Poskytovatel</w:t>
      </w:r>
    </w:p>
    <w:p w14:paraId="0000003C" w14:textId="22508CCF" w:rsidR="008E51A1" w:rsidRDefault="00E56C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529"/>
        </w:tabs>
        <w:spacing w:before="360" w:after="0"/>
        <w:rPr>
          <w:color w:val="000000"/>
        </w:rPr>
      </w:pPr>
      <w:r>
        <w:t>XXXXXXXX</w:t>
      </w:r>
      <w:r w:rsidR="00CB767C">
        <w:rPr>
          <w:color w:val="000000"/>
        </w:rPr>
        <w:tab/>
      </w:r>
      <w:r>
        <w:t>XXXXXXXX</w:t>
      </w:r>
    </w:p>
    <w:p w14:paraId="0000003D" w14:textId="170F69AC" w:rsidR="008E51A1" w:rsidRDefault="00CB76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529"/>
        </w:tabs>
        <w:spacing w:after="0"/>
        <w:jc w:val="left"/>
        <w:rPr>
          <w:b/>
          <w:color w:val="000000"/>
        </w:rPr>
      </w:pPr>
      <w:r>
        <w:rPr>
          <w:color w:val="000000"/>
        </w:rPr>
        <w:t>za</w:t>
      </w:r>
      <w:r>
        <w:rPr>
          <w:b/>
          <w:color w:val="000000"/>
        </w:rPr>
        <w:t xml:space="preserve"> </w:t>
      </w:r>
      <w:r w:rsidR="00D82C39">
        <w:rPr>
          <w:b/>
          <w:color w:val="000000"/>
        </w:rPr>
        <w:t>TUL</w:t>
      </w:r>
      <w:r>
        <w:rPr>
          <w:color w:val="000000"/>
        </w:rPr>
        <w:tab/>
        <w:t xml:space="preserve">za </w:t>
      </w:r>
      <w:r>
        <w:rPr>
          <w:b/>
          <w:color w:val="000000"/>
        </w:rPr>
        <w:t>Eventee s.r.o.</w:t>
      </w:r>
      <w:r>
        <w:rPr>
          <w:color w:val="000000"/>
        </w:rPr>
        <w:br/>
      </w:r>
      <w:r w:rsidR="0069054C" w:rsidRPr="0069054C">
        <w:rPr>
          <w:b/>
          <w:color w:val="000000"/>
        </w:rPr>
        <w:t>doc. RNDr. Miroslav Brzezin</w:t>
      </w:r>
      <w:r w:rsidR="0069054C">
        <w:rPr>
          <w:b/>
          <w:color w:val="000000"/>
        </w:rPr>
        <w:t>a</w:t>
      </w:r>
      <w:r w:rsidR="0069054C" w:rsidRPr="0069054C">
        <w:rPr>
          <w:b/>
          <w:color w:val="000000"/>
        </w:rPr>
        <w:t>, CSc., dr.h.c.</w:t>
      </w:r>
      <w:r w:rsidR="0069054C" w:rsidRPr="0069054C">
        <w:rPr>
          <w:color w:val="000000"/>
        </w:rPr>
        <w:t>, rektor</w:t>
      </w:r>
      <w:r>
        <w:rPr>
          <w:color w:val="000000"/>
        </w:rPr>
        <w:tab/>
      </w:r>
      <w:r>
        <w:rPr>
          <w:b/>
          <w:color w:val="000000"/>
        </w:rPr>
        <w:t>Roman Maštalíř</w:t>
      </w:r>
      <w:r>
        <w:rPr>
          <w:color w:val="000000"/>
        </w:rPr>
        <w:t>, jednatel</w:t>
      </w:r>
    </w:p>
    <w:p w14:paraId="0000003E" w14:textId="77777777" w:rsidR="008E51A1" w:rsidRDefault="00CB7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14:paraId="0000003F" w14:textId="77777777" w:rsidR="008E51A1" w:rsidRDefault="008E51A1">
      <w:pPr>
        <w:spacing w:after="0"/>
        <w:jc w:val="left"/>
        <w:rPr>
          <w:b/>
          <w:sz w:val="28"/>
          <w:szCs w:val="28"/>
        </w:rPr>
      </w:pPr>
    </w:p>
    <w:sectPr w:rsidR="008E51A1">
      <w:footerReference w:type="default" r:id="rId14"/>
      <w:pgSz w:w="11906" w:h="16838"/>
      <w:pgMar w:top="1417" w:right="712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F33F" w14:textId="77777777" w:rsidR="009A6AB6" w:rsidRDefault="009A6AB6">
      <w:pPr>
        <w:spacing w:after="0" w:line="240" w:lineRule="auto"/>
      </w:pPr>
      <w:r>
        <w:separator/>
      </w:r>
    </w:p>
  </w:endnote>
  <w:endnote w:type="continuationSeparator" w:id="0">
    <w:p w14:paraId="1A227C40" w14:textId="77777777" w:rsidR="009A6AB6" w:rsidRDefault="009A6AB6">
      <w:pPr>
        <w:spacing w:after="0" w:line="240" w:lineRule="auto"/>
      </w:pPr>
      <w:r>
        <w:continuationSeparator/>
      </w:r>
    </w:p>
  </w:endnote>
  <w:endnote w:type="continuationNotice" w:id="1">
    <w:p w14:paraId="3F58B531" w14:textId="77777777" w:rsidR="009A6AB6" w:rsidRDefault="009A6A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0" w14:textId="1923454F" w:rsidR="008E51A1" w:rsidRDefault="00CB76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A1865">
      <w:rPr>
        <w:noProof/>
        <w:color w:val="000000"/>
      </w:rPr>
      <w:t>1</w:t>
    </w:r>
    <w:r>
      <w:rPr>
        <w:color w:val="000000"/>
      </w:rPr>
      <w:fldChar w:fldCharType="end"/>
    </w:r>
  </w:p>
  <w:p w14:paraId="00000041" w14:textId="77777777" w:rsidR="008E51A1" w:rsidRDefault="008E51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2062" w14:textId="77777777" w:rsidR="009A6AB6" w:rsidRDefault="009A6AB6">
      <w:pPr>
        <w:spacing w:after="0" w:line="240" w:lineRule="auto"/>
      </w:pPr>
      <w:r>
        <w:separator/>
      </w:r>
    </w:p>
  </w:footnote>
  <w:footnote w:type="continuationSeparator" w:id="0">
    <w:p w14:paraId="5590F986" w14:textId="77777777" w:rsidR="009A6AB6" w:rsidRDefault="009A6AB6">
      <w:pPr>
        <w:spacing w:after="0" w:line="240" w:lineRule="auto"/>
      </w:pPr>
      <w:r>
        <w:continuationSeparator/>
      </w:r>
    </w:p>
  </w:footnote>
  <w:footnote w:type="continuationNotice" w:id="1">
    <w:p w14:paraId="5A834F6A" w14:textId="77777777" w:rsidR="009A6AB6" w:rsidRDefault="009A6A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B1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E64A4C"/>
    <w:multiLevelType w:val="multilevel"/>
    <w:tmpl w:val="FFFFFFFF"/>
    <w:lvl w:ilvl="0">
      <w:start w:val="1"/>
      <w:numFmt w:val="decimal"/>
      <w:pStyle w:val="Style4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2705A2"/>
    <w:multiLevelType w:val="multilevel"/>
    <w:tmpl w:val="FFFFFFFF"/>
    <w:lvl w:ilvl="0">
      <w:start w:val="1"/>
      <w:numFmt w:val="upperLetter"/>
      <w:pStyle w:val="lnek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57D6E"/>
    <w:multiLevelType w:val="multilevel"/>
    <w:tmpl w:val="FFFFFFFF"/>
    <w:lvl w:ilvl="0">
      <w:start w:val="1"/>
      <w:numFmt w:val="decimal"/>
      <w:pStyle w:val="slovanodstave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E8A271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01411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90" w:hanging="28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9E0BA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675211"/>
    <w:multiLevelType w:val="multilevel"/>
    <w:tmpl w:val="FFFFFFFF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lowerLetter"/>
      <w:pStyle w:val="Nadpis2"/>
      <w:lvlText w:val="%2."/>
      <w:lvlJc w:val="left"/>
      <w:pPr>
        <w:ind w:left="1080" w:hanging="360"/>
      </w:pPr>
    </w:lvl>
    <w:lvl w:ilvl="2">
      <w:start w:val="1"/>
      <w:numFmt w:val="lowerRoman"/>
      <w:pStyle w:val="Nadpis3"/>
      <w:lvlText w:val="%3."/>
      <w:lvlJc w:val="right"/>
      <w:pPr>
        <w:ind w:left="1800" w:hanging="180"/>
      </w:pPr>
    </w:lvl>
    <w:lvl w:ilvl="3">
      <w:start w:val="1"/>
      <w:numFmt w:val="decimal"/>
      <w:pStyle w:val="Nadpis4"/>
      <w:lvlText w:val="%4."/>
      <w:lvlJc w:val="left"/>
      <w:pPr>
        <w:ind w:left="2520" w:hanging="360"/>
      </w:pPr>
    </w:lvl>
    <w:lvl w:ilvl="4">
      <w:start w:val="1"/>
      <w:numFmt w:val="lowerLetter"/>
      <w:pStyle w:val="Nadpis5"/>
      <w:lvlText w:val="%5."/>
      <w:lvlJc w:val="left"/>
      <w:pPr>
        <w:ind w:left="3240" w:hanging="360"/>
      </w:pPr>
    </w:lvl>
    <w:lvl w:ilvl="5">
      <w:start w:val="1"/>
      <w:numFmt w:val="lowerRoman"/>
      <w:pStyle w:val="Nadpis6"/>
      <w:lvlText w:val="%6."/>
      <w:lvlJc w:val="right"/>
      <w:pPr>
        <w:ind w:left="3960" w:hanging="180"/>
      </w:pPr>
    </w:lvl>
    <w:lvl w:ilvl="6">
      <w:start w:val="1"/>
      <w:numFmt w:val="decimal"/>
      <w:pStyle w:val="Nadpis7"/>
      <w:lvlText w:val="%7."/>
      <w:lvlJc w:val="left"/>
      <w:pPr>
        <w:ind w:left="4680" w:hanging="360"/>
      </w:pPr>
    </w:lvl>
    <w:lvl w:ilvl="7">
      <w:start w:val="1"/>
      <w:numFmt w:val="lowerLetter"/>
      <w:pStyle w:val="Nadpis8"/>
      <w:lvlText w:val="%8."/>
      <w:lvlJc w:val="left"/>
      <w:pPr>
        <w:ind w:left="5400" w:hanging="360"/>
      </w:pPr>
    </w:lvl>
    <w:lvl w:ilvl="8">
      <w:start w:val="1"/>
      <w:numFmt w:val="lowerRoman"/>
      <w:pStyle w:val="Nadpis9"/>
      <w:lvlText w:val="%9."/>
      <w:lvlJc w:val="right"/>
      <w:pPr>
        <w:ind w:left="6120" w:hanging="180"/>
      </w:pPr>
    </w:lvl>
  </w:abstractNum>
  <w:abstractNum w:abstractNumId="8" w15:restartNumberingAfterBreak="0">
    <w:nsid w:val="4D103128"/>
    <w:multiLevelType w:val="multilevel"/>
    <w:tmpl w:val="FFFFFFFF"/>
    <w:lvl w:ilvl="0">
      <w:start w:val="1"/>
      <w:numFmt w:val="decimal"/>
      <w:pStyle w:val="Heading1-leftCZ"/>
      <w:lvlText w:val="%1."/>
      <w:lvlJc w:val="left"/>
      <w:pPr>
        <w:ind w:left="360" w:hanging="360"/>
      </w:pPr>
    </w:lvl>
    <w:lvl w:ilvl="1">
      <w:start w:val="1"/>
      <w:numFmt w:val="lowerLetter"/>
      <w:pStyle w:val="Heading2-leftCZ"/>
      <w:lvlText w:val="%2."/>
      <w:lvlJc w:val="left"/>
      <w:pPr>
        <w:ind w:left="1080" w:hanging="360"/>
      </w:pPr>
    </w:lvl>
    <w:lvl w:ilvl="2">
      <w:start w:val="1"/>
      <w:numFmt w:val="lowerRoman"/>
      <w:pStyle w:val="Heading3-leftCZ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B27691"/>
    <w:multiLevelType w:val="multilevel"/>
    <w:tmpl w:val="FFFFFFFF"/>
    <w:lvl w:ilvl="0">
      <w:start w:val="1"/>
      <w:numFmt w:val="upperRoman"/>
      <w:lvlText w:val="%1."/>
      <w:lvlJc w:val="left"/>
      <w:pPr>
        <w:ind w:left="9072" w:firstLine="0"/>
      </w:pPr>
    </w:lvl>
    <w:lvl w:ilvl="1">
      <w:start w:val="1"/>
      <w:numFmt w:val="decimal"/>
      <w:pStyle w:val="Style6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0065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484B1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5F4375"/>
    <w:multiLevelType w:val="multilevel"/>
    <w:tmpl w:val="FFFFFFFF"/>
    <w:lvl w:ilvl="0">
      <w:start w:val="1"/>
      <w:numFmt w:val="decimal"/>
      <w:pStyle w:val="Style7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433ED6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F49B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A5D183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A03E73"/>
    <w:multiLevelType w:val="multilevel"/>
    <w:tmpl w:val="FFFFFFFF"/>
    <w:lvl w:ilvl="0">
      <w:start w:val="1"/>
      <w:numFmt w:val="upperRoman"/>
      <w:lvlText w:val="%1."/>
      <w:lvlJc w:val="left"/>
      <w:pPr>
        <w:ind w:left="9072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4652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90" w:hanging="28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97611961">
    <w:abstractNumId w:val="0"/>
  </w:num>
  <w:num w:numId="2" w16cid:durableId="1429962440">
    <w:abstractNumId w:val="16"/>
  </w:num>
  <w:num w:numId="3" w16cid:durableId="1987080307">
    <w:abstractNumId w:val="10"/>
  </w:num>
  <w:num w:numId="4" w16cid:durableId="1107191053">
    <w:abstractNumId w:val="6"/>
  </w:num>
  <w:num w:numId="5" w16cid:durableId="2042629571">
    <w:abstractNumId w:val="15"/>
  </w:num>
  <w:num w:numId="6" w16cid:durableId="1442648982">
    <w:abstractNumId w:val="11"/>
  </w:num>
  <w:num w:numId="7" w16cid:durableId="326514393">
    <w:abstractNumId w:val="13"/>
  </w:num>
  <w:num w:numId="8" w16cid:durableId="1814366283">
    <w:abstractNumId w:val="17"/>
  </w:num>
  <w:num w:numId="9" w16cid:durableId="1646812292">
    <w:abstractNumId w:val="14"/>
  </w:num>
  <w:num w:numId="10" w16cid:durableId="1456674767">
    <w:abstractNumId w:val="8"/>
  </w:num>
  <w:num w:numId="11" w16cid:durableId="290863012">
    <w:abstractNumId w:val="9"/>
  </w:num>
  <w:num w:numId="12" w16cid:durableId="1324621959">
    <w:abstractNumId w:val="12"/>
  </w:num>
  <w:num w:numId="13" w16cid:durableId="229657421">
    <w:abstractNumId w:val="1"/>
  </w:num>
  <w:num w:numId="14" w16cid:durableId="693773243">
    <w:abstractNumId w:val="4"/>
  </w:num>
  <w:num w:numId="15" w16cid:durableId="638535000">
    <w:abstractNumId w:val="7"/>
  </w:num>
  <w:num w:numId="16" w16cid:durableId="741751854">
    <w:abstractNumId w:val="2"/>
  </w:num>
  <w:num w:numId="17" w16cid:durableId="1454208095">
    <w:abstractNumId w:val="5"/>
  </w:num>
  <w:num w:numId="18" w16cid:durableId="806624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28"/>
    <w:rsid w:val="00036795"/>
    <w:rsid w:val="00111F6B"/>
    <w:rsid w:val="001D1328"/>
    <w:rsid w:val="00252D12"/>
    <w:rsid w:val="00261D5C"/>
    <w:rsid w:val="002D44C2"/>
    <w:rsid w:val="00303CF0"/>
    <w:rsid w:val="00357F6B"/>
    <w:rsid w:val="00491B7C"/>
    <w:rsid w:val="004B140F"/>
    <w:rsid w:val="005011A8"/>
    <w:rsid w:val="0053155E"/>
    <w:rsid w:val="005C5DC0"/>
    <w:rsid w:val="0069054C"/>
    <w:rsid w:val="00702454"/>
    <w:rsid w:val="0078147D"/>
    <w:rsid w:val="0088154B"/>
    <w:rsid w:val="00882FF9"/>
    <w:rsid w:val="008E51A1"/>
    <w:rsid w:val="00985C27"/>
    <w:rsid w:val="00994F0E"/>
    <w:rsid w:val="009A6AB6"/>
    <w:rsid w:val="00A500E5"/>
    <w:rsid w:val="00A64BB0"/>
    <w:rsid w:val="00A75809"/>
    <w:rsid w:val="00B95537"/>
    <w:rsid w:val="00BA1865"/>
    <w:rsid w:val="00CB767C"/>
    <w:rsid w:val="00D00936"/>
    <w:rsid w:val="00D35EA7"/>
    <w:rsid w:val="00D82C39"/>
    <w:rsid w:val="00E56C2A"/>
    <w:rsid w:val="00E85921"/>
    <w:rsid w:val="00F40AEB"/>
    <w:rsid w:val="00FD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2917"/>
  <w15:docId w15:val="{6CAA3840-D5E0-44E4-A21B-F6849218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ja-JP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3F98"/>
  </w:style>
  <w:style w:type="paragraph" w:styleId="Nadpis1">
    <w:name w:val="heading 1"/>
    <w:basedOn w:val="Normln"/>
    <w:next w:val="Normln"/>
    <w:link w:val="Nadpis1Char"/>
    <w:uiPriority w:val="9"/>
    <w:qFormat/>
    <w:rsid w:val="00D64C6E"/>
    <w:pPr>
      <w:keepNext/>
      <w:numPr>
        <w:numId w:val="15"/>
      </w:numPr>
      <w:spacing w:before="48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4C6E"/>
    <w:pPr>
      <w:keepNext/>
      <w:numPr>
        <w:ilvl w:val="1"/>
        <w:numId w:val="15"/>
      </w:numPr>
      <w:spacing w:before="120" w:after="120" w:line="240" w:lineRule="auto"/>
      <w:outlineLvl w:val="1"/>
    </w:pPr>
    <w:rPr>
      <w:rFonts w:ascii="Times New Roman" w:eastAsia="Times New Roman" w:hAnsi="Times New Roman" w:cs="Times New Roman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4C6E"/>
    <w:pPr>
      <w:keepNext/>
      <w:numPr>
        <w:ilvl w:val="2"/>
        <w:numId w:val="15"/>
      </w:numPr>
      <w:spacing w:before="120" w:after="120" w:line="240" w:lineRule="auto"/>
      <w:outlineLvl w:val="2"/>
    </w:pPr>
    <w:rPr>
      <w:rFonts w:ascii="Times New Roman" w:eastAsia="Times New Roman" w:hAnsi="Times New Roman" w:cs="Times New Roman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4C6E"/>
    <w:pPr>
      <w:keepNext/>
      <w:numPr>
        <w:ilvl w:val="3"/>
        <w:numId w:val="15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4C6E"/>
    <w:pPr>
      <w:numPr>
        <w:ilvl w:val="4"/>
        <w:numId w:val="15"/>
      </w:numPr>
      <w:spacing w:before="120" w:after="12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4C6E"/>
    <w:pPr>
      <w:numPr>
        <w:ilvl w:val="5"/>
        <w:numId w:val="1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D64C6E"/>
    <w:pPr>
      <w:numPr>
        <w:ilvl w:val="6"/>
        <w:numId w:val="15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D64C6E"/>
    <w:pPr>
      <w:numPr>
        <w:ilvl w:val="7"/>
        <w:numId w:val="15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D64C6E"/>
    <w:pPr>
      <w:numPr>
        <w:ilvl w:val="8"/>
        <w:numId w:val="15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-leftCZ">
    <w:name w:val="Heading 1 - left CZ"/>
    <w:autoRedefine/>
    <w:qFormat/>
    <w:rsid w:val="0009227A"/>
    <w:pPr>
      <w:keepNext/>
      <w:numPr>
        <w:numId w:val="10"/>
      </w:numPr>
      <w:tabs>
        <w:tab w:val="num" w:pos="360"/>
      </w:tabs>
      <w:spacing w:after="240" w:line="240" w:lineRule="auto"/>
      <w:ind w:left="461" w:hanging="461"/>
      <w:jc w:val="center"/>
    </w:pPr>
    <w:rPr>
      <w:rFonts w:ascii="Times New Roman Bold" w:eastAsia="Times New Roman" w:hAnsi="Times New Roman Bold" w:cs="Times New Roman"/>
      <w:b/>
      <w:bCs/>
    </w:rPr>
  </w:style>
  <w:style w:type="paragraph" w:customStyle="1" w:styleId="Heading2-leftCZ">
    <w:name w:val="Heading 2 - left CZ"/>
    <w:autoRedefine/>
    <w:qFormat/>
    <w:rsid w:val="00C006D3"/>
    <w:pPr>
      <w:numPr>
        <w:ilvl w:val="1"/>
        <w:numId w:val="10"/>
      </w:numPr>
      <w:tabs>
        <w:tab w:val="num" w:pos="360"/>
      </w:tabs>
      <w:spacing w:after="240" w:line="240" w:lineRule="auto"/>
      <w:ind w:left="461" w:hanging="461"/>
    </w:pPr>
    <w:rPr>
      <w:rFonts w:ascii="Times New Roman Bold" w:eastAsia="Times New Roman" w:hAnsi="Times New Roman Bold" w:cs="Times New Roman"/>
      <w:szCs w:val="20"/>
    </w:rPr>
  </w:style>
  <w:style w:type="paragraph" w:customStyle="1" w:styleId="Heading3-leftCZ">
    <w:name w:val="Heading 3 - left CZ"/>
    <w:autoRedefine/>
    <w:qFormat/>
    <w:rsid w:val="00C006D3"/>
    <w:pPr>
      <w:numPr>
        <w:ilvl w:val="2"/>
        <w:numId w:val="10"/>
      </w:numPr>
      <w:tabs>
        <w:tab w:val="num" w:pos="360"/>
      </w:tabs>
      <w:spacing w:after="240" w:line="240" w:lineRule="auto"/>
      <w:ind w:left="0" w:firstLine="0"/>
    </w:pPr>
    <w:rPr>
      <w:rFonts w:ascii="Times New Roman Bold" w:eastAsia="Times New Roman" w:hAnsi="Times New Roman Bold" w:cs="Times New Roman"/>
      <w:szCs w:val="20"/>
    </w:rPr>
  </w:style>
  <w:style w:type="paragraph" w:customStyle="1" w:styleId="MargintextCZ">
    <w:name w:val="Margin text CZ"/>
    <w:autoRedefine/>
    <w:qFormat/>
    <w:rsid w:val="00C006D3"/>
    <w:pPr>
      <w:spacing w:after="240" w:line="240" w:lineRule="auto"/>
      <w:jc w:val="center"/>
    </w:pPr>
    <w:rPr>
      <w:rFonts w:ascii="Times New Roman" w:eastAsia="STZhongsong" w:hAnsi="Times New Roman" w:cs="Times New Roman"/>
      <w:kern w:val="28"/>
      <w:sz w:val="24"/>
      <w:szCs w:val="24"/>
      <w:lang w:eastAsia="zh-CN"/>
    </w:rPr>
  </w:style>
  <w:style w:type="paragraph" w:customStyle="1" w:styleId="Headingleft-a">
    <w:name w:val="Heading left - a"/>
    <w:aliases w:val="b"/>
    <w:basedOn w:val="Nadpis"/>
    <w:qFormat/>
    <w:rsid w:val="008149EE"/>
  </w:style>
  <w:style w:type="paragraph" w:styleId="Textbubliny">
    <w:name w:val="Balloon Text"/>
    <w:basedOn w:val="Normln"/>
    <w:link w:val="TextbublinyChar"/>
    <w:uiPriority w:val="99"/>
    <w:semiHidden/>
    <w:unhideWhenUsed/>
    <w:rsid w:val="00B8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7F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877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877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77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7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77F8"/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88367A"/>
    <w:pPr>
      <w:spacing w:after="120" w:line="240" w:lineRule="auto"/>
      <w:ind w:left="283"/>
    </w:pPr>
    <w:rPr>
      <w:rFonts w:ascii="Tahoma" w:eastAsia="Times New Roman" w:hAnsi="Tahoma" w:cs="Times New Roman"/>
      <w:sz w:val="16"/>
      <w:szCs w:val="16"/>
      <w:lang w:val="en-GB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88367A"/>
    <w:rPr>
      <w:rFonts w:ascii="Tahoma" w:eastAsia="Times New Roman" w:hAnsi="Tahoma" w:cs="Times New Roman"/>
      <w:sz w:val="16"/>
      <w:szCs w:val="16"/>
      <w:lang w:val="en-GB" w:eastAsia="cs-CZ"/>
    </w:rPr>
  </w:style>
  <w:style w:type="paragraph" w:styleId="Zkladntext">
    <w:name w:val="Body Text"/>
    <w:basedOn w:val="Normln"/>
    <w:link w:val="ZkladntextChar"/>
    <w:rsid w:val="008836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8367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64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983"/>
  </w:style>
  <w:style w:type="paragraph" w:styleId="Zpat">
    <w:name w:val="footer"/>
    <w:basedOn w:val="Normln"/>
    <w:link w:val="ZpatChar"/>
    <w:uiPriority w:val="99"/>
    <w:unhideWhenUsed/>
    <w:rsid w:val="00E64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983"/>
  </w:style>
  <w:style w:type="character" w:styleId="Siln">
    <w:name w:val="Strong"/>
    <w:basedOn w:val="Standardnpsmoodstavce"/>
    <w:uiPriority w:val="22"/>
    <w:qFormat/>
    <w:rsid w:val="00A14F97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1352D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E4E5B"/>
    <w:rPr>
      <w:color w:val="0563C1" w:themeColor="hyperlink"/>
      <w:u w:val="single"/>
    </w:rPr>
  </w:style>
  <w:style w:type="paragraph" w:customStyle="1" w:styleId="Style1">
    <w:name w:val="Style1"/>
    <w:basedOn w:val="Normln"/>
    <w:qFormat/>
    <w:rsid w:val="00BD63DA"/>
    <w:pPr>
      <w:spacing w:after="80" w:line="240" w:lineRule="auto"/>
    </w:pPr>
    <w:rPr>
      <w:rFonts w:cstheme="minorHAnsi"/>
      <w:bCs/>
      <w:lang w:val="en-US"/>
    </w:rPr>
  </w:style>
  <w:style w:type="paragraph" w:customStyle="1" w:styleId="Style2">
    <w:name w:val="Style2"/>
    <w:basedOn w:val="Style1"/>
    <w:qFormat/>
    <w:rsid w:val="00BD63DA"/>
    <w:pPr>
      <w:ind w:firstLine="426"/>
    </w:pPr>
  </w:style>
  <w:style w:type="paragraph" w:customStyle="1" w:styleId="Style3">
    <w:name w:val="Style3"/>
    <w:basedOn w:val="Style2"/>
    <w:qFormat/>
    <w:rsid w:val="00BD63DA"/>
    <w:pPr>
      <w:ind w:left="450" w:hanging="24"/>
    </w:pPr>
  </w:style>
  <w:style w:type="paragraph" w:customStyle="1" w:styleId="Style4">
    <w:name w:val="Style4"/>
    <w:basedOn w:val="Normln"/>
    <w:qFormat/>
    <w:rsid w:val="00BD63DA"/>
    <w:pPr>
      <w:numPr>
        <w:numId w:val="13"/>
      </w:numPr>
      <w:spacing w:after="0" w:line="240" w:lineRule="auto"/>
    </w:pPr>
    <w:rPr>
      <w:rFonts w:cstheme="minorHAnsi"/>
      <w:szCs w:val="23"/>
    </w:rPr>
  </w:style>
  <w:style w:type="paragraph" w:customStyle="1" w:styleId="Style5">
    <w:name w:val="Style5"/>
    <w:basedOn w:val="Style1"/>
    <w:qFormat/>
    <w:rsid w:val="00BD63DA"/>
  </w:style>
  <w:style w:type="paragraph" w:customStyle="1" w:styleId="Style6">
    <w:name w:val="Style6"/>
    <w:basedOn w:val="Normln"/>
    <w:qFormat/>
    <w:rsid w:val="00BD63DA"/>
    <w:pPr>
      <w:numPr>
        <w:ilvl w:val="1"/>
        <w:numId w:val="11"/>
      </w:numPr>
      <w:tabs>
        <w:tab w:val="num" w:pos="709"/>
      </w:tabs>
      <w:spacing w:after="0" w:line="240" w:lineRule="auto"/>
      <w:ind w:left="709" w:hanging="283"/>
    </w:pPr>
    <w:rPr>
      <w:rFonts w:cstheme="minorHAnsi"/>
    </w:rPr>
  </w:style>
  <w:style w:type="paragraph" w:customStyle="1" w:styleId="Style7">
    <w:name w:val="Style7"/>
    <w:basedOn w:val="Normln"/>
    <w:qFormat/>
    <w:rsid w:val="00D046DA"/>
    <w:pPr>
      <w:numPr>
        <w:numId w:val="12"/>
      </w:numPr>
      <w:spacing w:after="0" w:line="240" w:lineRule="auto"/>
    </w:pPr>
    <w:rPr>
      <w:rFonts w:cstheme="minorHAnsi"/>
    </w:rPr>
  </w:style>
  <w:style w:type="paragraph" w:customStyle="1" w:styleId="Style8">
    <w:name w:val="Style8"/>
    <w:basedOn w:val="Normln"/>
    <w:qFormat/>
    <w:rsid w:val="009D6C0A"/>
    <w:rPr>
      <w:rFonts w:cstheme="minorHAnsi"/>
      <w:iCs/>
      <w:noProof/>
      <w:snapToGrid w:val="0"/>
    </w:rPr>
  </w:style>
  <w:style w:type="paragraph" w:customStyle="1" w:styleId="Style9">
    <w:name w:val="Style9"/>
    <w:basedOn w:val="Normln"/>
    <w:qFormat/>
    <w:rsid w:val="009D6C0A"/>
    <w:rPr>
      <w:rFonts w:cstheme="minorHAnsi"/>
    </w:rPr>
  </w:style>
  <w:style w:type="paragraph" w:customStyle="1" w:styleId="dleustanoven">
    <w:name w:val="&quot;dle ustanovení&quot;"/>
    <w:basedOn w:val="slovanodstavec"/>
    <w:qFormat/>
    <w:rsid w:val="00904252"/>
    <w:pPr>
      <w:numPr>
        <w:numId w:val="0"/>
      </w:numPr>
      <w:spacing w:before="360"/>
      <w:ind w:left="357" w:hanging="357"/>
    </w:pPr>
    <w:rPr>
      <w:b/>
      <w:bCs/>
    </w:rPr>
  </w:style>
  <w:style w:type="paragraph" w:customStyle="1" w:styleId="Nadpis">
    <w:name w:val="Nadpis"/>
    <w:basedOn w:val="Normln"/>
    <w:qFormat/>
    <w:rsid w:val="00F97D4F"/>
    <w:pPr>
      <w:spacing w:after="0"/>
      <w:jc w:val="center"/>
    </w:pPr>
    <w:rPr>
      <w:rFonts w:cstheme="minorHAnsi"/>
      <w:b/>
      <w:sz w:val="28"/>
      <w:szCs w:val="28"/>
    </w:rPr>
  </w:style>
  <w:style w:type="paragraph" w:customStyle="1" w:styleId="lnek">
    <w:name w:val="Článek č."/>
    <w:basedOn w:val="Normln"/>
    <w:qFormat/>
    <w:rsid w:val="00B3665F"/>
    <w:pPr>
      <w:keepNext/>
      <w:numPr>
        <w:numId w:val="16"/>
      </w:numPr>
      <w:spacing w:before="240" w:after="240"/>
      <w:ind w:left="0"/>
      <w:jc w:val="center"/>
    </w:pPr>
    <w:rPr>
      <w:rFonts w:cstheme="minorHAnsi"/>
      <w:b/>
    </w:rPr>
  </w:style>
  <w:style w:type="paragraph" w:customStyle="1" w:styleId="slovanodstavec">
    <w:name w:val="Číslovaný odstavec"/>
    <w:basedOn w:val="Normln"/>
    <w:qFormat/>
    <w:rsid w:val="00E25772"/>
    <w:pPr>
      <w:numPr>
        <w:numId w:val="18"/>
      </w:numPr>
      <w:spacing w:line="240" w:lineRule="auto"/>
    </w:pPr>
    <w:rPr>
      <w:rFonts w:cstheme="minorHAnsi"/>
      <w:noProof/>
    </w:rPr>
  </w:style>
  <w:style w:type="character" w:customStyle="1" w:styleId="Nadpis1Char">
    <w:name w:val="Nadpis 1 Char"/>
    <w:basedOn w:val="Standardnpsmoodstavce"/>
    <w:link w:val="Nadpis1"/>
    <w:rsid w:val="00D64C6E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Nadpis2Char">
    <w:name w:val="Nadpis 2 Char"/>
    <w:basedOn w:val="Standardnpsmoodstavce"/>
    <w:link w:val="Nadpis2"/>
    <w:rsid w:val="00D64C6E"/>
    <w:rPr>
      <w:rFonts w:ascii="Times New Roman" w:eastAsia="Times New Roman" w:hAnsi="Times New Roman" w:cs="Times New Roman"/>
      <w:szCs w:val="20"/>
    </w:rPr>
  </w:style>
  <w:style w:type="character" w:customStyle="1" w:styleId="Nadpis3Char">
    <w:name w:val="Nadpis 3 Char"/>
    <w:basedOn w:val="Standardnpsmoodstavce"/>
    <w:link w:val="Nadpis3"/>
    <w:rsid w:val="00D64C6E"/>
    <w:rPr>
      <w:rFonts w:ascii="Times New Roman" w:eastAsia="Times New Roman" w:hAnsi="Times New Roman" w:cs="Times New Roman"/>
      <w:szCs w:val="20"/>
    </w:rPr>
  </w:style>
  <w:style w:type="character" w:customStyle="1" w:styleId="Nadpis4Char">
    <w:name w:val="Nadpis 4 Char"/>
    <w:basedOn w:val="Standardnpsmoodstavce"/>
    <w:link w:val="Nadpis4"/>
    <w:rsid w:val="00D64C6E"/>
    <w:rPr>
      <w:rFonts w:ascii="Times New Roman" w:eastAsia="Times New Roman" w:hAnsi="Times New Roman" w:cs="Times New Roman"/>
      <w:szCs w:val="20"/>
    </w:rPr>
  </w:style>
  <w:style w:type="character" w:customStyle="1" w:styleId="Nadpis5Char">
    <w:name w:val="Nadpis 5 Char"/>
    <w:basedOn w:val="Standardnpsmoodstavce"/>
    <w:link w:val="Nadpis5"/>
    <w:rsid w:val="00D64C6E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rsid w:val="00D64C6E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Standardnpsmoodstavce"/>
    <w:link w:val="Nadpis7"/>
    <w:rsid w:val="00D64C6E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D64C6E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D64C6E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64C6E"/>
  </w:style>
  <w:style w:type="paragraph" w:customStyle="1" w:styleId="Podpisy">
    <w:name w:val="Podpisy"/>
    <w:basedOn w:val="Normln"/>
    <w:qFormat/>
    <w:rsid w:val="0079686B"/>
    <w:pPr>
      <w:spacing w:before="360" w:after="0"/>
    </w:pPr>
    <w:rPr>
      <w:rFonts w:cstheme="minorHAnsi"/>
    </w:rPr>
  </w:style>
  <w:style w:type="paragraph" w:customStyle="1" w:styleId="Vmstopodpisudne">
    <w:name w:val="V místo podpisu dne...."/>
    <w:basedOn w:val="Style8"/>
    <w:qFormat/>
    <w:rsid w:val="00671A5C"/>
    <w:pPr>
      <w:spacing w:before="360"/>
    </w:pPr>
  </w:style>
  <w:style w:type="paragraph" w:customStyle="1" w:styleId="Numberedparagraph">
    <w:name w:val="Numbered paragraph"/>
    <w:basedOn w:val="Normln"/>
    <w:link w:val="NumberedparagraphChar"/>
    <w:qFormat/>
    <w:rsid w:val="00A0480B"/>
    <w:pPr>
      <w:spacing w:before="240" w:after="24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NumberedparagraphChar">
    <w:name w:val="Numbered paragraph Char"/>
    <w:basedOn w:val="Standardnpsmoodstavce"/>
    <w:link w:val="Numberedparagraph"/>
    <w:rsid w:val="00A0480B"/>
    <w:rPr>
      <w:rFonts w:ascii="Tahoma" w:eastAsia="Times New Roman" w:hAnsi="Tahoma" w:cs="Tahoma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710AB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492D11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700FE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ventee.co/lega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ventee.co/pric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@EVENTEE.C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24EBBD70634429154F4FBA1CD44E5" ma:contentTypeVersion="18" ma:contentTypeDescription="Vytvoří nový dokument" ma:contentTypeScope="" ma:versionID="168895a71f232d0497700e4bd8430b2b">
  <xsd:schema xmlns:xsd="http://www.w3.org/2001/XMLSchema" xmlns:xs="http://www.w3.org/2001/XMLSchema" xmlns:p="http://schemas.microsoft.com/office/2006/metadata/properties" xmlns:ns2="c86cb64d-5822-4d3b-b29b-ce0d510ae485" xmlns:ns3="75452730-46d5-4312-9d5a-9424d364c37c" targetNamespace="http://schemas.microsoft.com/office/2006/metadata/properties" ma:root="true" ma:fieldsID="a23675ee1244ecb3add7a3afefcabd80" ns2:_="" ns3:_="">
    <xsd:import namespace="c86cb64d-5822-4d3b-b29b-ce0d510ae485"/>
    <xsd:import namespace="75452730-46d5-4312-9d5a-9424d364c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Poznamka" minOccurs="0"/>
                <xsd:element ref="ns2:MediaServiceSearchProperties" minOccurs="0"/>
                <xsd:element ref="ns2:Datum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cb64d-5822-4d3b-b29b-ce0d510ae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6a5530a-6835-4f4a-8a8c-48981b68a2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Poznamka" ma:index="22" nillable="true" ma:displayName="Poznamka" ma:format="Dropdown" ma:internalName="Poznamka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52730-46d5-4312-9d5a-9424d364c37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4a7a5a0-5a5c-4c1e-a830-80e1d2e30291}" ma:internalName="TaxCatchAll" ma:showField="CatchAllData" ma:web="75452730-46d5-4312-9d5a-9424d364c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WeNfNVIdM8rx7T4jbdGzcrYJWQ==">CgMxLjAyCGguZ2pkZ3hzMgloLjMwajB6bGwyCWguMWZvYjl0ZTIJaC4zem55c2g3MgloLjJldDkycDA4AHIhMVJlYTY1Ylk0al90X0tLaVdxV0xhYkllN3ZweDM4T01k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cb64d-5822-4d3b-b29b-ce0d510ae485">
      <Terms xmlns="http://schemas.microsoft.com/office/infopath/2007/PartnerControls"/>
    </lcf76f155ced4ddcb4097134ff3c332f>
    <Datum xmlns="c86cb64d-5822-4d3b-b29b-ce0d510ae485" xsi:nil="true"/>
    <Poznamka xmlns="c86cb64d-5822-4d3b-b29b-ce0d510ae485" xsi:nil="true"/>
    <TaxCatchAll xmlns="75452730-46d5-4312-9d5a-9424d364c37c" xsi:nil="true"/>
  </documentManagement>
</p:properties>
</file>

<file path=customXml/itemProps1.xml><?xml version="1.0" encoding="utf-8"?>
<ds:datastoreItem xmlns:ds="http://schemas.openxmlformats.org/officeDocument/2006/customXml" ds:itemID="{6845024A-8BF1-43D4-9410-CF762E41D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cb64d-5822-4d3b-b29b-ce0d510ae485"/>
    <ds:schemaRef ds:uri="75452730-46d5-4312-9d5a-9424d364c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3651382-D101-4590-89F2-C3BE3DC5EA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8F8D0A-DA53-4D2A-A044-695216752A1E}">
  <ds:schemaRefs>
    <ds:schemaRef ds:uri="http://schemas.microsoft.com/office/2006/metadata/properties"/>
    <ds:schemaRef ds:uri="http://schemas.microsoft.com/office/infopath/2007/PartnerControls"/>
    <ds:schemaRef ds:uri="c86cb64d-5822-4d3b-b29b-ce0d510ae485"/>
    <ds:schemaRef ds:uri="75452730-46d5-4312-9d5a-9424d364c3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Timanová | JIC</dc:creator>
  <cp:keywords/>
  <cp:lastModifiedBy>Bianca Lamrová</cp:lastModifiedBy>
  <cp:revision>3</cp:revision>
  <dcterms:created xsi:type="dcterms:W3CDTF">2025-07-23T06:37:00Z</dcterms:created>
  <dcterms:modified xsi:type="dcterms:W3CDTF">2025-11-03T06:36:00Z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0x010100ADC24EBBD70634429154F4FBA1CD44E5</vt:lpwstr>
  </property>
  <property fmtid="{D5CDD505-2E9C-101B-9397-08002B2CF9AE}" pid="3" name="MediaServiceImageTags">
    <vt:lpwstr/>
  </property>
</Properties>
</file>