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8F84" w14:textId="77777777" w:rsidR="007200E1" w:rsidRDefault="007200E1" w:rsidP="007200E1">
      <w:pPr>
        <w:pStyle w:val="Nzev"/>
        <w:spacing w:line="276" w:lineRule="auto"/>
        <w:outlineLvl w:val="0"/>
        <w:rPr>
          <w:rFonts w:ascii="Arial" w:hAnsi="Arial" w:cs="Arial"/>
          <w:b w:val="0"/>
          <w:szCs w:val="28"/>
        </w:rPr>
      </w:pPr>
      <w:r>
        <w:rPr>
          <w:rFonts w:ascii="Arial" w:hAnsi="Arial" w:cs="Arial"/>
          <w:szCs w:val="28"/>
        </w:rPr>
        <w:t xml:space="preserve">Dodatek č. 1 ke kupní smlouvě </w:t>
      </w:r>
      <w:r>
        <w:rPr>
          <w:rFonts w:ascii="Arial" w:hAnsi="Arial" w:cs="Arial"/>
          <w:b w:val="0"/>
          <w:szCs w:val="28"/>
        </w:rPr>
        <w:t xml:space="preserve"> </w:t>
      </w:r>
    </w:p>
    <w:p w14:paraId="0B818F8D" w14:textId="77777777" w:rsidR="007200E1" w:rsidRDefault="007200E1" w:rsidP="007200E1">
      <w:pPr>
        <w:pStyle w:val="Nzev"/>
        <w:spacing w:line="276" w:lineRule="auto"/>
        <w:outlineLvl w:val="0"/>
        <w:rPr>
          <w:rFonts w:ascii="Arial" w:hAnsi="Arial" w:cs="Arial"/>
          <w:b w:val="0"/>
          <w:sz w:val="20"/>
          <w:szCs w:val="20"/>
        </w:rPr>
      </w:pPr>
      <w:r>
        <w:rPr>
          <w:rFonts w:ascii="Arial" w:hAnsi="Arial" w:cs="Arial"/>
          <w:b w:val="0"/>
          <w:sz w:val="20"/>
          <w:szCs w:val="20"/>
        </w:rPr>
        <w:t>uzavřené smluvními stranami dne 25. 09. 2025</w:t>
      </w:r>
    </w:p>
    <w:p w14:paraId="046CCA7A" w14:textId="77777777" w:rsidR="007200E1" w:rsidRDefault="007200E1" w:rsidP="007200E1">
      <w:pPr>
        <w:tabs>
          <w:tab w:val="left" w:pos="1440"/>
        </w:tabs>
        <w:spacing w:line="276" w:lineRule="auto"/>
        <w:rPr>
          <w:rFonts w:ascii="Arial" w:hAnsi="Arial" w:cs="Arial"/>
          <w:b/>
          <w:sz w:val="20"/>
          <w:szCs w:val="20"/>
        </w:rPr>
      </w:pPr>
    </w:p>
    <w:p w14:paraId="5CA04AEA" w14:textId="77777777" w:rsidR="007200E1" w:rsidRDefault="007200E1" w:rsidP="007200E1">
      <w:pPr>
        <w:tabs>
          <w:tab w:val="left" w:pos="1440"/>
        </w:tabs>
        <w:spacing w:line="276" w:lineRule="auto"/>
        <w:outlineLvl w:val="0"/>
        <w:rPr>
          <w:rFonts w:ascii="Arial" w:hAnsi="Arial" w:cs="Arial"/>
          <w:b/>
          <w:sz w:val="20"/>
          <w:szCs w:val="20"/>
        </w:rPr>
      </w:pPr>
      <w:r>
        <w:rPr>
          <w:rFonts w:ascii="Arial" w:hAnsi="Arial" w:cs="Arial"/>
          <w:b/>
          <w:sz w:val="20"/>
          <w:szCs w:val="20"/>
        </w:rPr>
        <w:t>Smluvní strany:</w:t>
      </w:r>
    </w:p>
    <w:p w14:paraId="0C66CD60" w14:textId="77777777" w:rsidR="007200E1" w:rsidRDefault="007200E1" w:rsidP="007200E1">
      <w:pPr>
        <w:tabs>
          <w:tab w:val="left" w:pos="1440"/>
        </w:tabs>
        <w:spacing w:line="276" w:lineRule="auto"/>
        <w:outlineLvl w:val="0"/>
        <w:rPr>
          <w:rFonts w:ascii="Arial" w:hAnsi="Arial" w:cs="Arial"/>
          <w:b/>
          <w:sz w:val="20"/>
          <w:szCs w:val="20"/>
        </w:rPr>
      </w:pPr>
    </w:p>
    <w:p w14:paraId="5EE19199" w14:textId="77777777" w:rsidR="007200E1" w:rsidRDefault="007200E1" w:rsidP="007200E1">
      <w:pPr>
        <w:tabs>
          <w:tab w:val="left" w:pos="1440"/>
        </w:tabs>
        <w:spacing w:line="276" w:lineRule="auto"/>
        <w:outlineLvl w:val="0"/>
        <w:rPr>
          <w:rFonts w:ascii="Arial" w:hAnsi="Arial" w:cs="Arial"/>
          <w:b/>
          <w:bCs/>
          <w:sz w:val="20"/>
          <w:szCs w:val="20"/>
        </w:rPr>
      </w:pPr>
      <w:r>
        <w:rPr>
          <w:rFonts w:ascii="Arial" w:hAnsi="Arial" w:cs="Arial"/>
          <w:b/>
          <w:sz w:val="20"/>
          <w:szCs w:val="20"/>
        </w:rPr>
        <w:t>BTL zdravotnická technika, a.s.</w:t>
      </w:r>
    </w:p>
    <w:p w14:paraId="0E9B7D7E" w14:textId="77777777" w:rsidR="007200E1" w:rsidRDefault="007200E1" w:rsidP="007200E1">
      <w:pPr>
        <w:tabs>
          <w:tab w:val="left" w:pos="1440"/>
        </w:tabs>
        <w:spacing w:line="276" w:lineRule="auto"/>
        <w:rPr>
          <w:rFonts w:ascii="Arial" w:hAnsi="Arial" w:cs="Arial"/>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t>Makovského náměstí 3147/2, Žabovřesky, 616 00 Brno</w:t>
      </w:r>
    </w:p>
    <w:p w14:paraId="7E29F541" w14:textId="77777777" w:rsidR="007200E1" w:rsidRDefault="007200E1" w:rsidP="007200E1">
      <w:pPr>
        <w:tabs>
          <w:tab w:val="left" w:pos="1440"/>
        </w:tabs>
        <w:spacing w:line="276" w:lineRule="auto"/>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t>26884143</w:t>
      </w:r>
    </w:p>
    <w:p w14:paraId="2AB2BE71" w14:textId="77777777" w:rsidR="007200E1" w:rsidRDefault="007200E1" w:rsidP="007200E1">
      <w:pPr>
        <w:tabs>
          <w:tab w:val="left" w:pos="1440"/>
        </w:tabs>
        <w:spacing w:line="276" w:lineRule="auto"/>
        <w:rPr>
          <w:rFonts w:ascii="Arial" w:hAnsi="Arial" w:cs="Arial"/>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t>CZ26884143</w:t>
      </w:r>
    </w:p>
    <w:p w14:paraId="2640CA65" w14:textId="77777777" w:rsidR="007200E1" w:rsidRDefault="007200E1" w:rsidP="007200E1">
      <w:pPr>
        <w:tabs>
          <w:tab w:val="left" w:pos="0"/>
        </w:tabs>
        <w:spacing w:line="276" w:lineRule="auto"/>
        <w:rPr>
          <w:rFonts w:ascii="Arial" w:hAnsi="Arial" w:cs="Arial"/>
          <w:sz w:val="20"/>
          <w:szCs w:val="20"/>
        </w:rPr>
      </w:pPr>
      <w:r>
        <w:rPr>
          <w:rFonts w:ascii="Arial" w:hAnsi="Arial" w:cs="Arial"/>
          <w:sz w:val="20"/>
          <w:szCs w:val="20"/>
        </w:rPr>
        <w:t>zapsaná v obchodním rejstříku vedeném Krajským soudem v Brně, oddíl B, vložka 3889</w:t>
      </w:r>
    </w:p>
    <w:p w14:paraId="1EA15A43" w14:textId="77777777" w:rsidR="007200E1" w:rsidRDefault="007200E1" w:rsidP="007200E1">
      <w:pPr>
        <w:tabs>
          <w:tab w:val="left" w:pos="1440"/>
        </w:tabs>
        <w:spacing w:line="276" w:lineRule="auto"/>
        <w:ind w:left="1416" w:hanging="1416"/>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t>Československá obchodní banka, a.s., č. účtu: 478546723/0300</w:t>
      </w:r>
    </w:p>
    <w:p w14:paraId="2F108073" w14:textId="77777777" w:rsidR="007200E1" w:rsidRDefault="007200E1" w:rsidP="007200E1">
      <w:pPr>
        <w:tabs>
          <w:tab w:val="left" w:pos="1440"/>
        </w:tabs>
        <w:spacing w:line="276" w:lineRule="auto"/>
        <w:ind w:left="1416" w:hanging="1416"/>
        <w:rPr>
          <w:rFonts w:ascii="Arial" w:hAnsi="Arial" w:cs="Arial"/>
          <w:sz w:val="20"/>
          <w:szCs w:val="20"/>
        </w:rPr>
      </w:pPr>
      <w:r>
        <w:rPr>
          <w:rFonts w:ascii="Arial" w:hAnsi="Arial" w:cs="Arial"/>
          <w:sz w:val="20"/>
          <w:szCs w:val="20"/>
        </w:rPr>
        <w:t xml:space="preserve">zastoupená: </w:t>
      </w:r>
      <w:r>
        <w:rPr>
          <w:rFonts w:ascii="Arial" w:hAnsi="Arial" w:cs="Arial"/>
          <w:sz w:val="20"/>
          <w:szCs w:val="20"/>
        </w:rPr>
        <w:tab/>
      </w:r>
      <w:r>
        <w:rPr>
          <w:rFonts w:ascii="Arial" w:hAnsi="Arial" w:cs="Arial"/>
          <w:sz w:val="20"/>
          <w:szCs w:val="20"/>
        </w:rPr>
        <w:tab/>
      </w:r>
      <w:r>
        <w:rPr>
          <w:rFonts w:ascii="Arial" w:hAnsi="Arial" w:cs="Arial"/>
          <w:sz w:val="20"/>
          <w:szCs w:val="20"/>
        </w:rPr>
        <w:tab/>
        <w:t>Ing. Radovan Sedlář, prokurista společnosti</w:t>
      </w:r>
    </w:p>
    <w:p w14:paraId="271C99E4" w14:textId="77777777" w:rsidR="007200E1" w:rsidRDefault="007200E1" w:rsidP="007200E1">
      <w:pPr>
        <w:tabs>
          <w:tab w:val="left" w:pos="1440"/>
        </w:tabs>
        <w:spacing w:line="276" w:lineRule="auto"/>
        <w:ind w:left="1416" w:hanging="1416"/>
        <w:rPr>
          <w:rFonts w:ascii="Arial" w:hAnsi="Arial" w:cs="Arial"/>
          <w:sz w:val="20"/>
          <w:szCs w:val="20"/>
        </w:rPr>
      </w:pPr>
    </w:p>
    <w:p w14:paraId="0F4878B4" w14:textId="77777777" w:rsidR="007200E1" w:rsidRDefault="007200E1" w:rsidP="007200E1">
      <w:pPr>
        <w:tabs>
          <w:tab w:val="left" w:pos="1440"/>
        </w:tabs>
        <w:spacing w:line="276" w:lineRule="auto"/>
        <w:ind w:left="1416" w:hanging="1416"/>
        <w:rPr>
          <w:rFonts w:ascii="Arial" w:hAnsi="Arial" w:cs="Arial"/>
          <w:sz w:val="20"/>
          <w:szCs w:val="20"/>
        </w:rPr>
      </w:pPr>
      <w:r>
        <w:rPr>
          <w:rFonts w:ascii="Arial" w:hAnsi="Arial" w:cs="Arial"/>
          <w:sz w:val="20"/>
          <w:szCs w:val="20"/>
        </w:rPr>
        <w:t>(dále jako „prodávající“)</w:t>
      </w:r>
    </w:p>
    <w:p w14:paraId="6A4B3FB2" w14:textId="77777777" w:rsidR="007200E1" w:rsidRDefault="007200E1" w:rsidP="007200E1">
      <w:pPr>
        <w:tabs>
          <w:tab w:val="left" w:pos="1440"/>
        </w:tabs>
        <w:spacing w:line="276" w:lineRule="auto"/>
        <w:rPr>
          <w:rFonts w:ascii="Arial" w:hAnsi="Arial" w:cs="Arial"/>
          <w:bCs/>
          <w:sz w:val="20"/>
          <w:szCs w:val="20"/>
        </w:rPr>
      </w:pPr>
    </w:p>
    <w:p w14:paraId="63D7733E" w14:textId="77777777" w:rsidR="007200E1" w:rsidRDefault="007200E1" w:rsidP="007200E1">
      <w:pPr>
        <w:tabs>
          <w:tab w:val="left" w:pos="1440"/>
        </w:tabs>
        <w:spacing w:line="276" w:lineRule="auto"/>
        <w:rPr>
          <w:rFonts w:ascii="Arial" w:hAnsi="Arial" w:cs="Arial"/>
          <w:bCs/>
          <w:sz w:val="20"/>
          <w:szCs w:val="20"/>
        </w:rPr>
      </w:pPr>
      <w:r>
        <w:rPr>
          <w:rFonts w:ascii="Arial" w:hAnsi="Arial" w:cs="Arial"/>
          <w:bCs/>
          <w:sz w:val="20"/>
          <w:szCs w:val="20"/>
        </w:rPr>
        <w:t>a</w:t>
      </w:r>
    </w:p>
    <w:p w14:paraId="5B6CFAB9" w14:textId="77777777" w:rsidR="007200E1" w:rsidRDefault="007200E1" w:rsidP="007200E1">
      <w:pPr>
        <w:tabs>
          <w:tab w:val="left" w:pos="1440"/>
        </w:tabs>
        <w:spacing w:line="276" w:lineRule="auto"/>
        <w:rPr>
          <w:rFonts w:ascii="Arial" w:hAnsi="Arial" w:cs="Arial"/>
          <w:b/>
          <w:sz w:val="20"/>
          <w:szCs w:val="20"/>
        </w:rPr>
      </w:pPr>
    </w:p>
    <w:p w14:paraId="7EDB65F1" w14:textId="77777777" w:rsidR="007200E1" w:rsidRDefault="007200E1" w:rsidP="007200E1">
      <w:pPr>
        <w:tabs>
          <w:tab w:val="left" w:pos="1440"/>
        </w:tabs>
        <w:spacing w:line="276" w:lineRule="auto"/>
        <w:outlineLvl w:val="0"/>
        <w:rPr>
          <w:rFonts w:ascii="Arial" w:hAnsi="Arial" w:cs="Arial"/>
          <w:b/>
          <w:sz w:val="20"/>
          <w:szCs w:val="20"/>
        </w:rPr>
      </w:pPr>
      <w:r>
        <w:rPr>
          <w:rFonts w:ascii="Arial" w:hAnsi="Arial" w:cs="Arial"/>
          <w:b/>
          <w:sz w:val="20"/>
          <w:szCs w:val="20"/>
        </w:rPr>
        <w:t>Fakultní nemocnice Brno</w:t>
      </w:r>
    </w:p>
    <w:p w14:paraId="41E2CD7B" w14:textId="77777777" w:rsidR="007200E1" w:rsidRDefault="007200E1" w:rsidP="007200E1">
      <w:pPr>
        <w:tabs>
          <w:tab w:val="left" w:pos="1440"/>
        </w:tabs>
        <w:spacing w:line="276" w:lineRule="auto"/>
        <w:rPr>
          <w:rFonts w:ascii="Arial" w:hAnsi="Arial" w:cs="Arial"/>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r>
      <w:r w:rsidR="005D3D95">
        <w:rPr>
          <w:rFonts w:ascii="Arial" w:hAnsi="Arial" w:cs="Arial"/>
          <w:sz w:val="20"/>
          <w:szCs w:val="20"/>
        </w:rPr>
        <w:t>Jihlavská 20, 625 00, Brno</w:t>
      </w:r>
    </w:p>
    <w:p w14:paraId="34F1B622" w14:textId="77777777" w:rsidR="007200E1" w:rsidRDefault="005D3D95" w:rsidP="007200E1">
      <w:pPr>
        <w:tabs>
          <w:tab w:val="left" w:pos="1440"/>
        </w:tabs>
        <w:spacing w:line="276" w:lineRule="auto"/>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t>65269705</w:t>
      </w:r>
    </w:p>
    <w:p w14:paraId="37E51703" w14:textId="77777777" w:rsidR="007200E1" w:rsidRDefault="005D3D95" w:rsidP="007200E1">
      <w:pPr>
        <w:tabs>
          <w:tab w:val="left" w:pos="1440"/>
        </w:tabs>
        <w:spacing w:line="276" w:lineRule="auto"/>
        <w:rPr>
          <w:rFonts w:ascii="Arial" w:hAnsi="Arial" w:cs="Arial"/>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t>CZ65269705</w:t>
      </w:r>
    </w:p>
    <w:p w14:paraId="6AB08DB4" w14:textId="77777777" w:rsidR="005D3D95" w:rsidRDefault="007200E1" w:rsidP="007200E1">
      <w:pPr>
        <w:tabs>
          <w:tab w:val="left" w:pos="1440"/>
        </w:tabs>
        <w:spacing w:line="276" w:lineRule="auto"/>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r>
      <w:r w:rsidR="005D3D95">
        <w:rPr>
          <w:rFonts w:ascii="Arial" w:hAnsi="Arial" w:cs="Arial"/>
          <w:sz w:val="20"/>
          <w:szCs w:val="20"/>
        </w:rPr>
        <w:t>Česká národní banka</w:t>
      </w:r>
    </w:p>
    <w:p w14:paraId="12391466" w14:textId="77777777" w:rsidR="007200E1" w:rsidRDefault="007200E1" w:rsidP="007200E1">
      <w:pPr>
        <w:tabs>
          <w:tab w:val="left" w:pos="1440"/>
        </w:tabs>
        <w:spacing w:line="276" w:lineRule="auto"/>
        <w:rPr>
          <w:rFonts w:ascii="Arial" w:hAnsi="Arial" w:cs="Arial"/>
          <w:sz w:val="20"/>
          <w:szCs w:val="20"/>
        </w:rPr>
      </w:pPr>
      <w:r>
        <w:rPr>
          <w:rFonts w:ascii="Arial" w:hAnsi="Arial" w:cs="Arial"/>
          <w:sz w:val="20"/>
          <w:szCs w:val="20"/>
        </w:rPr>
        <w:t>zast</w:t>
      </w:r>
      <w:r w:rsidR="005D3D95">
        <w:rPr>
          <w:rFonts w:ascii="Arial" w:hAnsi="Arial" w:cs="Arial"/>
          <w:sz w:val="20"/>
          <w:szCs w:val="20"/>
        </w:rPr>
        <w:t xml:space="preserve">oupená: </w:t>
      </w:r>
      <w:r w:rsidR="005D3D95">
        <w:rPr>
          <w:rFonts w:ascii="Arial" w:hAnsi="Arial" w:cs="Arial"/>
          <w:sz w:val="20"/>
          <w:szCs w:val="20"/>
        </w:rPr>
        <w:tab/>
      </w:r>
      <w:r w:rsidR="005D3D95">
        <w:rPr>
          <w:rFonts w:ascii="Arial" w:hAnsi="Arial" w:cs="Arial"/>
          <w:sz w:val="20"/>
          <w:szCs w:val="20"/>
        </w:rPr>
        <w:tab/>
        <w:t>MUDr. Ivem Rovným, MBA, ředitelem</w:t>
      </w:r>
    </w:p>
    <w:p w14:paraId="32D05703" w14:textId="77777777" w:rsidR="007200E1" w:rsidRDefault="007200E1" w:rsidP="007200E1">
      <w:pPr>
        <w:tabs>
          <w:tab w:val="left" w:pos="1440"/>
        </w:tabs>
        <w:spacing w:line="276" w:lineRule="auto"/>
        <w:rPr>
          <w:rFonts w:ascii="Arial" w:hAnsi="Arial" w:cs="Arial"/>
          <w:sz w:val="20"/>
          <w:szCs w:val="20"/>
        </w:rPr>
      </w:pPr>
    </w:p>
    <w:p w14:paraId="7DA6CC47" w14:textId="77777777" w:rsidR="007200E1" w:rsidRDefault="007200E1" w:rsidP="007200E1">
      <w:pPr>
        <w:tabs>
          <w:tab w:val="left" w:pos="1440"/>
        </w:tabs>
        <w:spacing w:line="276" w:lineRule="auto"/>
        <w:rPr>
          <w:rFonts w:ascii="Arial" w:hAnsi="Arial" w:cs="Arial"/>
          <w:sz w:val="20"/>
          <w:szCs w:val="20"/>
        </w:rPr>
      </w:pPr>
      <w:r>
        <w:rPr>
          <w:rFonts w:ascii="Arial" w:hAnsi="Arial" w:cs="Arial"/>
          <w:sz w:val="20"/>
          <w:szCs w:val="20"/>
        </w:rPr>
        <w:t>(dále jako „kupující“)</w:t>
      </w:r>
    </w:p>
    <w:p w14:paraId="02F7B6DC" w14:textId="77777777" w:rsidR="007200E1" w:rsidRDefault="007200E1" w:rsidP="007200E1">
      <w:pPr>
        <w:tabs>
          <w:tab w:val="left" w:pos="1440"/>
        </w:tabs>
        <w:spacing w:line="276" w:lineRule="auto"/>
        <w:rPr>
          <w:rFonts w:ascii="Arial" w:hAnsi="Arial" w:cs="Arial"/>
          <w:sz w:val="20"/>
          <w:szCs w:val="20"/>
        </w:rPr>
      </w:pPr>
    </w:p>
    <w:p w14:paraId="742EBB29" w14:textId="77777777" w:rsidR="007200E1" w:rsidRDefault="007200E1" w:rsidP="007200E1">
      <w:pPr>
        <w:spacing w:line="276" w:lineRule="auto"/>
        <w:jc w:val="center"/>
        <w:rPr>
          <w:rFonts w:ascii="Arial" w:hAnsi="Arial" w:cs="Arial"/>
          <w:b/>
          <w:sz w:val="20"/>
          <w:szCs w:val="20"/>
        </w:rPr>
      </w:pPr>
      <w:r>
        <w:rPr>
          <w:rFonts w:ascii="Arial" w:hAnsi="Arial" w:cs="Arial"/>
          <w:sz w:val="20"/>
          <w:szCs w:val="20"/>
        </w:rPr>
        <w:t>uzavírají níže uvedeného dne, měsíce a roku tento dodatek č. 1:</w:t>
      </w:r>
    </w:p>
    <w:p w14:paraId="3FCEF84D" w14:textId="77777777" w:rsidR="007200E1" w:rsidRDefault="007200E1" w:rsidP="007200E1">
      <w:pPr>
        <w:tabs>
          <w:tab w:val="left" w:pos="1440"/>
        </w:tabs>
        <w:spacing w:line="276" w:lineRule="auto"/>
        <w:rPr>
          <w:rFonts w:ascii="Arial" w:hAnsi="Arial" w:cs="Arial"/>
          <w:b/>
          <w:bCs/>
          <w:sz w:val="20"/>
          <w:szCs w:val="20"/>
        </w:rPr>
      </w:pPr>
    </w:p>
    <w:p w14:paraId="02187BD1" w14:textId="77777777" w:rsidR="007200E1" w:rsidRDefault="007200E1" w:rsidP="007200E1">
      <w:pPr>
        <w:tabs>
          <w:tab w:val="left" w:pos="1440"/>
        </w:tabs>
        <w:spacing w:line="276" w:lineRule="auto"/>
        <w:jc w:val="center"/>
        <w:outlineLvl w:val="0"/>
        <w:rPr>
          <w:rFonts w:ascii="Arial" w:hAnsi="Arial" w:cs="Arial"/>
          <w:b/>
          <w:bCs/>
          <w:sz w:val="20"/>
          <w:szCs w:val="20"/>
        </w:rPr>
      </w:pPr>
      <w:r>
        <w:rPr>
          <w:rFonts w:ascii="Arial" w:hAnsi="Arial" w:cs="Arial"/>
          <w:b/>
          <w:bCs/>
          <w:sz w:val="20"/>
          <w:szCs w:val="20"/>
        </w:rPr>
        <w:t>I.</w:t>
      </w:r>
    </w:p>
    <w:p w14:paraId="0052AC3D" w14:textId="77777777" w:rsidR="007200E1" w:rsidRDefault="007200E1" w:rsidP="007200E1">
      <w:pPr>
        <w:spacing w:line="276" w:lineRule="auto"/>
        <w:ind w:left="360" w:hanging="360"/>
        <w:jc w:val="both"/>
        <w:rPr>
          <w:rFonts w:ascii="Arial" w:hAnsi="Arial" w:cs="Arial"/>
          <w:sz w:val="20"/>
          <w:szCs w:val="20"/>
        </w:rPr>
      </w:pPr>
      <w:r>
        <w:rPr>
          <w:rFonts w:ascii="Arial" w:hAnsi="Arial" w:cs="Arial"/>
          <w:sz w:val="20"/>
          <w:szCs w:val="20"/>
        </w:rPr>
        <w:t>1</w:t>
      </w:r>
      <w:r w:rsidR="005D3D95">
        <w:rPr>
          <w:rFonts w:ascii="Arial" w:hAnsi="Arial" w:cs="Arial"/>
          <w:sz w:val="20"/>
          <w:szCs w:val="20"/>
        </w:rPr>
        <w:t>.</w:t>
      </w:r>
      <w:r w:rsidR="005D3D95">
        <w:rPr>
          <w:rFonts w:ascii="Arial" w:hAnsi="Arial" w:cs="Arial"/>
          <w:sz w:val="20"/>
          <w:szCs w:val="20"/>
        </w:rPr>
        <w:tab/>
        <w:t>Smluvní strany uzavřely dne 25. 9</w:t>
      </w:r>
      <w:r>
        <w:rPr>
          <w:rFonts w:ascii="Arial" w:hAnsi="Arial" w:cs="Arial"/>
          <w:sz w:val="20"/>
          <w:szCs w:val="20"/>
        </w:rPr>
        <w:t>. 2025 kupní smlouvu, jejímž předmětem je zajištění nákupu věci: BTL-</w:t>
      </w:r>
      <w:proofErr w:type="spellStart"/>
      <w:r>
        <w:rPr>
          <w:rFonts w:ascii="Arial" w:hAnsi="Arial" w:cs="Arial"/>
          <w:sz w:val="20"/>
          <w:szCs w:val="20"/>
        </w:rPr>
        <w:t>CPMotion</w:t>
      </w:r>
      <w:proofErr w:type="spellEnd"/>
      <w:r>
        <w:rPr>
          <w:rFonts w:ascii="Arial" w:hAnsi="Arial" w:cs="Arial"/>
          <w:sz w:val="20"/>
          <w:szCs w:val="20"/>
        </w:rPr>
        <w:t xml:space="preserve"> K </w:t>
      </w:r>
      <w:proofErr w:type="spellStart"/>
      <w:r>
        <w:rPr>
          <w:rFonts w:ascii="Arial" w:hAnsi="Arial" w:cs="Arial"/>
          <w:sz w:val="20"/>
          <w:szCs w:val="20"/>
        </w:rPr>
        <w:t>Elite</w:t>
      </w:r>
      <w:proofErr w:type="spellEnd"/>
      <w:r>
        <w:rPr>
          <w:rFonts w:ascii="Arial" w:hAnsi="Arial" w:cs="Arial"/>
          <w:sz w:val="20"/>
          <w:szCs w:val="20"/>
        </w:rPr>
        <w:t xml:space="preserve">, a její plné provozuschopnosti, zajištění oprav a náhradních dílů (dále jen „Smlouva“). </w:t>
      </w:r>
    </w:p>
    <w:p w14:paraId="7EA6532F" w14:textId="77777777" w:rsidR="007200E1" w:rsidRDefault="007200E1" w:rsidP="007200E1">
      <w:pPr>
        <w:spacing w:line="276" w:lineRule="auto"/>
        <w:ind w:left="360" w:hanging="36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Smluvní strany se z důvodu nesprávně uvedené výše DPH dohodly na změně Smlouvy formou tohoto dodatku č. 1 ke Smlouvě. Tímto dod</w:t>
      </w:r>
      <w:r w:rsidR="004160C6">
        <w:rPr>
          <w:rFonts w:ascii="Arial" w:hAnsi="Arial" w:cs="Arial"/>
          <w:sz w:val="20"/>
          <w:szCs w:val="20"/>
        </w:rPr>
        <w:t>atkem č. 1 se mění čl. VI odst. VI.1 Smlouvy, a to následujícím způsobem:</w:t>
      </w:r>
    </w:p>
    <w:p w14:paraId="4DD23DA9" w14:textId="77777777" w:rsidR="004160C6" w:rsidRDefault="004160C6" w:rsidP="007200E1">
      <w:pPr>
        <w:spacing w:line="276" w:lineRule="auto"/>
        <w:ind w:left="360" w:hanging="360"/>
        <w:jc w:val="both"/>
        <w:rPr>
          <w:rFonts w:ascii="Arial" w:hAnsi="Arial" w:cs="Arial"/>
          <w:sz w:val="20"/>
          <w:szCs w:val="20"/>
        </w:rPr>
      </w:pPr>
      <w:r>
        <w:rPr>
          <w:rFonts w:ascii="Arial" w:hAnsi="Arial" w:cs="Arial"/>
          <w:sz w:val="20"/>
          <w:szCs w:val="20"/>
        </w:rPr>
        <w:tab/>
        <w:t>Kupní cena se sjednává jako cena pevná a konečná za veškerá plnění poskytovaná Prodávajícím a Kupujícím na základě této smlouvy a činí (dále též jen „</w:t>
      </w:r>
      <w:r w:rsidRPr="004160C6">
        <w:rPr>
          <w:rFonts w:ascii="Arial" w:hAnsi="Arial" w:cs="Arial"/>
          <w:b/>
          <w:sz w:val="20"/>
          <w:szCs w:val="20"/>
        </w:rPr>
        <w:t>kupní cena</w:t>
      </w:r>
      <w:r>
        <w:rPr>
          <w:rFonts w:ascii="Arial" w:hAnsi="Arial" w:cs="Arial"/>
          <w:sz w:val="20"/>
          <w:szCs w:val="20"/>
        </w:rPr>
        <w:t>“ nebo „</w:t>
      </w:r>
      <w:r w:rsidRPr="004160C6">
        <w:rPr>
          <w:rFonts w:ascii="Arial" w:hAnsi="Arial" w:cs="Arial"/>
          <w:b/>
          <w:sz w:val="20"/>
          <w:szCs w:val="20"/>
        </w:rPr>
        <w:t>celková kupní cena</w:t>
      </w:r>
      <w:r>
        <w:rPr>
          <w:rFonts w:ascii="Arial" w:hAnsi="Arial" w:cs="Arial"/>
          <w:sz w:val="20"/>
          <w:szCs w:val="20"/>
        </w:rPr>
        <w:t>“):</w:t>
      </w:r>
    </w:p>
    <w:p w14:paraId="15945556" w14:textId="77777777" w:rsidR="004160C6" w:rsidRDefault="004160C6" w:rsidP="007200E1">
      <w:pPr>
        <w:spacing w:line="276" w:lineRule="auto"/>
        <w:ind w:left="360" w:hanging="360"/>
        <w:jc w:val="both"/>
        <w:rPr>
          <w:rFonts w:ascii="Arial" w:hAnsi="Arial" w:cs="Arial"/>
          <w:sz w:val="20"/>
          <w:szCs w:val="20"/>
        </w:rPr>
      </w:pPr>
      <w:r>
        <w:rPr>
          <w:rFonts w:ascii="Arial" w:hAnsi="Arial" w:cs="Arial"/>
          <w:sz w:val="20"/>
          <w:szCs w:val="20"/>
        </w:rPr>
        <w:tab/>
      </w:r>
    </w:p>
    <w:p w14:paraId="769A8F05" w14:textId="77777777" w:rsidR="004160C6" w:rsidRPr="004160C6" w:rsidRDefault="004160C6" w:rsidP="007200E1">
      <w:pPr>
        <w:spacing w:line="276" w:lineRule="auto"/>
        <w:ind w:left="360" w:hanging="360"/>
        <w:jc w:val="both"/>
        <w:rPr>
          <w:rFonts w:ascii="Arial" w:hAnsi="Arial" w:cs="Arial"/>
          <w:b/>
          <w:sz w:val="20"/>
          <w:szCs w:val="20"/>
        </w:rPr>
      </w:pPr>
      <w:r>
        <w:rPr>
          <w:rFonts w:ascii="Arial" w:hAnsi="Arial" w:cs="Arial"/>
          <w:sz w:val="20"/>
          <w:szCs w:val="20"/>
        </w:rPr>
        <w:tab/>
      </w:r>
      <w:r w:rsidRPr="004160C6">
        <w:rPr>
          <w:rFonts w:ascii="Arial" w:hAnsi="Arial" w:cs="Arial"/>
          <w:b/>
          <w:sz w:val="20"/>
          <w:szCs w:val="20"/>
        </w:rPr>
        <w:t>Kupní cena bez DPH:</w:t>
      </w:r>
      <w:r w:rsidRPr="004160C6">
        <w:rPr>
          <w:rFonts w:ascii="Arial" w:hAnsi="Arial" w:cs="Arial"/>
          <w:b/>
          <w:sz w:val="20"/>
          <w:szCs w:val="20"/>
        </w:rPr>
        <w:tab/>
        <w:t>467 000 Kč</w:t>
      </w:r>
    </w:p>
    <w:p w14:paraId="226D974C" w14:textId="77777777" w:rsidR="004160C6" w:rsidRPr="004160C6" w:rsidRDefault="004160C6" w:rsidP="007200E1">
      <w:pPr>
        <w:spacing w:line="276" w:lineRule="auto"/>
        <w:ind w:left="360" w:hanging="360"/>
        <w:jc w:val="both"/>
        <w:rPr>
          <w:rFonts w:ascii="Arial" w:hAnsi="Arial" w:cs="Arial"/>
          <w:b/>
          <w:sz w:val="20"/>
          <w:szCs w:val="20"/>
        </w:rPr>
      </w:pPr>
      <w:r w:rsidRPr="004160C6">
        <w:rPr>
          <w:rFonts w:ascii="Arial" w:hAnsi="Arial" w:cs="Arial"/>
          <w:b/>
          <w:sz w:val="20"/>
          <w:szCs w:val="20"/>
        </w:rPr>
        <w:tab/>
        <w:t>DPH 12%:</w:t>
      </w:r>
      <w:r w:rsidRPr="004160C6">
        <w:rPr>
          <w:rFonts w:ascii="Arial" w:hAnsi="Arial" w:cs="Arial"/>
          <w:b/>
          <w:sz w:val="20"/>
          <w:szCs w:val="20"/>
        </w:rPr>
        <w:tab/>
      </w:r>
      <w:r w:rsidRPr="004160C6">
        <w:rPr>
          <w:rFonts w:ascii="Arial" w:hAnsi="Arial" w:cs="Arial"/>
          <w:b/>
          <w:sz w:val="20"/>
          <w:szCs w:val="20"/>
        </w:rPr>
        <w:tab/>
      </w:r>
      <w:r w:rsidRPr="004160C6">
        <w:rPr>
          <w:rFonts w:ascii="Arial" w:hAnsi="Arial" w:cs="Arial"/>
          <w:b/>
          <w:sz w:val="20"/>
          <w:szCs w:val="20"/>
        </w:rPr>
        <w:tab/>
        <w:t>56 040 Kč</w:t>
      </w:r>
    </w:p>
    <w:p w14:paraId="61520869" w14:textId="22EC4306" w:rsidR="004160C6" w:rsidRPr="004160C6" w:rsidRDefault="004160C6" w:rsidP="007200E1">
      <w:pPr>
        <w:spacing w:line="276" w:lineRule="auto"/>
        <w:ind w:left="360" w:hanging="360"/>
        <w:jc w:val="both"/>
        <w:rPr>
          <w:rFonts w:ascii="Arial" w:hAnsi="Arial" w:cs="Arial"/>
          <w:b/>
          <w:sz w:val="20"/>
          <w:szCs w:val="20"/>
        </w:rPr>
      </w:pPr>
      <w:r w:rsidRPr="004160C6">
        <w:rPr>
          <w:rFonts w:ascii="Arial" w:hAnsi="Arial" w:cs="Arial"/>
          <w:b/>
          <w:sz w:val="20"/>
          <w:szCs w:val="20"/>
        </w:rPr>
        <w:tab/>
        <w:t>Kupní cena včetně DPH:</w:t>
      </w:r>
      <w:r w:rsidRPr="004160C6">
        <w:rPr>
          <w:rFonts w:ascii="Arial" w:hAnsi="Arial" w:cs="Arial"/>
          <w:b/>
          <w:sz w:val="20"/>
          <w:szCs w:val="20"/>
        </w:rPr>
        <w:tab/>
        <w:t>523 0</w:t>
      </w:r>
      <w:r w:rsidR="00171386">
        <w:rPr>
          <w:rFonts w:ascii="Arial" w:hAnsi="Arial" w:cs="Arial"/>
          <w:b/>
          <w:sz w:val="20"/>
          <w:szCs w:val="20"/>
        </w:rPr>
        <w:t>4</w:t>
      </w:r>
      <w:r w:rsidRPr="004160C6">
        <w:rPr>
          <w:rFonts w:ascii="Arial" w:hAnsi="Arial" w:cs="Arial"/>
          <w:b/>
          <w:sz w:val="20"/>
          <w:szCs w:val="20"/>
        </w:rPr>
        <w:t>0 Kč</w:t>
      </w:r>
    </w:p>
    <w:p w14:paraId="2319A121" w14:textId="77777777" w:rsidR="007200E1" w:rsidRDefault="007200E1" w:rsidP="007200E1">
      <w:pPr>
        <w:tabs>
          <w:tab w:val="left" w:pos="720"/>
        </w:tabs>
        <w:spacing w:line="276" w:lineRule="auto"/>
        <w:rPr>
          <w:rFonts w:ascii="Arial" w:hAnsi="Arial" w:cs="Arial"/>
          <w:b/>
          <w:bCs/>
          <w:sz w:val="20"/>
          <w:szCs w:val="20"/>
        </w:rPr>
      </w:pPr>
    </w:p>
    <w:p w14:paraId="29472191" w14:textId="77777777" w:rsidR="007200E1" w:rsidRDefault="007200E1" w:rsidP="007200E1">
      <w:pPr>
        <w:tabs>
          <w:tab w:val="left" w:pos="720"/>
        </w:tabs>
        <w:spacing w:line="276" w:lineRule="auto"/>
        <w:ind w:left="708" w:hanging="708"/>
        <w:jc w:val="center"/>
        <w:outlineLvl w:val="0"/>
        <w:rPr>
          <w:rFonts w:ascii="Arial" w:hAnsi="Arial" w:cs="Arial"/>
          <w:b/>
          <w:bCs/>
          <w:sz w:val="20"/>
          <w:szCs w:val="20"/>
        </w:rPr>
      </w:pPr>
      <w:r>
        <w:rPr>
          <w:rFonts w:ascii="Arial" w:hAnsi="Arial" w:cs="Arial"/>
          <w:b/>
          <w:bCs/>
          <w:sz w:val="20"/>
          <w:szCs w:val="20"/>
        </w:rPr>
        <w:t>II.</w:t>
      </w:r>
    </w:p>
    <w:p w14:paraId="28DF8275" w14:textId="77777777" w:rsidR="007200E1" w:rsidRDefault="007200E1" w:rsidP="007200E1">
      <w:pPr>
        <w:numPr>
          <w:ilvl w:val="0"/>
          <w:numId w:val="1"/>
        </w:numPr>
        <w:tabs>
          <w:tab w:val="left" w:pos="426"/>
        </w:tabs>
        <w:spacing w:line="276" w:lineRule="auto"/>
        <w:ind w:left="426" w:hanging="426"/>
        <w:jc w:val="both"/>
        <w:rPr>
          <w:rFonts w:ascii="Arial" w:hAnsi="Arial" w:cs="Arial"/>
          <w:sz w:val="20"/>
          <w:szCs w:val="20"/>
        </w:rPr>
      </w:pPr>
      <w:r>
        <w:rPr>
          <w:rFonts w:ascii="Arial" w:hAnsi="Arial" w:cs="Arial"/>
          <w:sz w:val="20"/>
          <w:szCs w:val="20"/>
        </w:rPr>
        <w:t>V případě, že se na Smlouvu, která je měněna tímto dodatkem, vztahuje povinnost jejího uveřejnění prostřednictvím registru smluv jako podmínka nabytí její účinnosti, nabývá tento dodatek účinnosti nejdříve dnem jeho uveřejnění prostřednictvím registru smluv. Jinak nabývá tento dodatek účinnosti dnem jeho podpisu oběma smluvními stranami.</w:t>
      </w:r>
    </w:p>
    <w:p w14:paraId="219C809F" w14:textId="5CD405DC" w:rsidR="007200E1" w:rsidRDefault="007200E1" w:rsidP="007200E1">
      <w:pPr>
        <w:numPr>
          <w:ilvl w:val="0"/>
          <w:numId w:val="1"/>
        </w:numPr>
        <w:tabs>
          <w:tab w:val="left" w:pos="426"/>
        </w:tabs>
        <w:spacing w:line="276" w:lineRule="auto"/>
        <w:ind w:left="426" w:hanging="426"/>
        <w:jc w:val="both"/>
        <w:rPr>
          <w:rFonts w:ascii="Arial" w:hAnsi="Arial" w:cs="Arial"/>
          <w:sz w:val="20"/>
          <w:szCs w:val="20"/>
        </w:rPr>
      </w:pPr>
      <w:r>
        <w:rPr>
          <w:rFonts w:ascii="Arial" w:hAnsi="Arial" w:cs="Arial"/>
          <w:sz w:val="20"/>
          <w:szCs w:val="20"/>
        </w:rPr>
        <w:t xml:space="preserve">Pro případ, že se na tento dodatek vztahuje povinnost uveřejnit ho prostřednictvím registru smluv, smluvní strany shodně prohlašují, že žádné ustanovení tohoto dodatku (včetně přílohy), nepředstavuje obchodní tajemství žádné smluvní strany podle § 504 zákona č. 89/2012 Sb., občanský zákoník, ve znění pozdějších předpisů, a ani důvěrné informace, a souhlasí s jeho uveřejněním v plném rozsahu. Dále se smluvní strany pro tento případ dohodly, že elektronický </w:t>
      </w:r>
      <w:r>
        <w:rPr>
          <w:rFonts w:ascii="Arial" w:hAnsi="Arial" w:cs="Arial"/>
          <w:sz w:val="20"/>
          <w:szCs w:val="20"/>
        </w:rPr>
        <w:lastRenderedPageBreak/>
        <w:t xml:space="preserve">obraz tohoto dodatku a metadata vyžadovaná zákonem o registru smluv zašle správci registru smluv </w:t>
      </w:r>
      <w:r w:rsidR="00F01C38">
        <w:rPr>
          <w:rFonts w:ascii="Arial" w:hAnsi="Arial" w:cs="Arial"/>
          <w:sz w:val="20"/>
          <w:szCs w:val="20"/>
        </w:rPr>
        <w:t>kupující</w:t>
      </w:r>
      <w:r>
        <w:rPr>
          <w:rFonts w:ascii="Arial" w:hAnsi="Arial" w:cs="Arial"/>
          <w:sz w:val="20"/>
          <w:szCs w:val="20"/>
        </w:rPr>
        <w:t xml:space="preserve">, ve lhůtě 14 dní ode dne jeho uzavření. V případě, že tento dodatek nebude uveřejněn prostřednictvím registru smluv v 15. den ode dne jeho uzavření, je oprávněna předat elektronický obraz dodatku a metadata druhá smluvní strana tak, aby byl dodatek poskytnut správci registru smluv v souladu se zákonem o registru smluv. Plnění předmětu tohoto dodatku před jeho účinností se považuje za plnění podle dodatku a práva a povinnosti z něho vzniklé se řídí tímto dodatkem.    </w:t>
      </w:r>
    </w:p>
    <w:p w14:paraId="0BFF1D7F" w14:textId="77777777" w:rsidR="007200E1" w:rsidRDefault="007200E1" w:rsidP="007200E1">
      <w:pPr>
        <w:numPr>
          <w:ilvl w:val="0"/>
          <w:numId w:val="1"/>
        </w:numPr>
        <w:tabs>
          <w:tab w:val="left" w:pos="426"/>
        </w:tabs>
        <w:spacing w:line="276" w:lineRule="auto"/>
        <w:ind w:left="426" w:hanging="426"/>
        <w:jc w:val="both"/>
        <w:rPr>
          <w:rFonts w:ascii="Arial" w:hAnsi="Arial" w:cs="Arial"/>
          <w:sz w:val="20"/>
          <w:szCs w:val="20"/>
        </w:rPr>
      </w:pPr>
      <w:r>
        <w:rPr>
          <w:rFonts w:ascii="Arial" w:hAnsi="Arial" w:cs="Arial"/>
          <w:sz w:val="20"/>
          <w:szCs w:val="20"/>
        </w:rPr>
        <w:t>V ostatních ustanoveních výslovně nedotčených tímto dodatkem zůstává Smlouva beze změn.</w:t>
      </w:r>
    </w:p>
    <w:p w14:paraId="551B3A6C" w14:textId="77777777" w:rsidR="007200E1" w:rsidRDefault="007200E1" w:rsidP="007200E1">
      <w:pPr>
        <w:numPr>
          <w:ilvl w:val="0"/>
          <w:numId w:val="1"/>
        </w:numPr>
        <w:tabs>
          <w:tab w:val="left" w:pos="426"/>
        </w:tabs>
        <w:spacing w:line="276" w:lineRule="auto"/>
        <w:ind w:left="426" w:hanging="426"/>
        <w:jc w:val="both"/>
        <w:rPr>
          <w:rFonts w:ascii="Arial" w:hAnsi="Arial" w:cs="Arial"/>
          <w:sz w:val="20"/>
          <w:szCs w:val="20"/>
        </w:rPr>
      </w:pPr>
      <w:r>
        <w:rPr>
          <w:rFonts w:ascii="Arial" w:hAnsi="Arial" w:cs="Arial"/>
          <w:sz w:val="20"/>
          <w:szCs w:val="20"/>
        </w:rPr>
        <w:t>Tento dodatek je sepsán ve dvou stejnopisech s platností originálu, po jednom pro každou ze smluvních stran.</w:t>
      </w:r>
    </w:p>
    <w:p w14:paraId="109D1E4C" w14:textId="77777777" w:rsidR="007200E1" w:rsidRDefault="007200E1" w:rsidP="007200E1">
      <w:pPr>
        <w:numPr>
          <w:ilvl w:val="0"/>
          <w:numId w:val="1"/>
        </w:numPr>
        <w:tabs>
          <w:tab w:val="left" w:pos="426"/>
        </w:tabs>
        <w:spacing w:line="276" w:lineRule="auto"/>
        <w:ind w:left="426" w:hanging="426"/>
        <w:jc w:val="both"/>
        <w:rPr>
          <w:rFonts w:ascii="Arial" w:hAnsi="Arial" w:cs="Arial"/>
          <w:sz w:val="20"/>
          <w:szCs w:val="20"/>
        </w:rPr>
      </w:pPr>
      <w:r>
        <w:rPr>
          <w:rFonts w:ascii="Arial" w:hAnsi="Arial" w:cs="Arial"/>
          <w:sz w:val="20"/>
          <w:szCs w:val="20"/>
        </w:rPr>
        <w:t xml:space="preserve">Smluvní strany prohlašují, že tento dodatek přečetly, s jeho obsahem souhlasí, což stvrzují vlastnoručními podpisy osob oprávněných za ně jednat. </w:t>
      </w:r>
    </w:p>
    <w:p w14:paraId="76A01403" w14:textId="77777777" w:rsidR="007200E1" w:rsidRDefault="007200E1" w:rsidP="007200E1">
      <w:pPr>
        <w:spacing w:line="276" w:lineRule="auto"/>
        <w:ind w:left="720"/>
        <w:jc w:val="both"/>
        <w:rPr>
          <w:rFonts w:ascii="Arial" w:hAnsi="Arial" w:cs="Arial"/>
          <w:sz w:val="20"/>
          <w:szCs w:val="20"/>
        </w:rPr>
      </w:pPr>
    </w:p>
    <w:p w14:paraId="762C9F16" w14:textId="77777777" w:rsidR="007200E1" w:rsidRDefault="007200E1" w:rsidP="007200E1">
      <w:pPr>
        <w:tabs>
          <w:tab w:val="left" w:pos="720"/>
        </w:tabs>
        <w:spacing w:line="276" w:lineRule="auto"/>
        <w:rPr>
          <w:rFonts w:ascii="Arial" w:hAnsi="Arial" w:cs="Arial"/>
          <w:sz w:val="20"/>
          <w:szCs w:val="20"/>
        </w:rPr>
      </w:pPr>
    </w:p>
    <w:p w14:paraId="28E013B1" w14:textId="77777777" w:rsidR="007200E1" w:rsidRDefault="007200E1" w:rsidP="007200E1">
      <w:pPr>
        <w:tabs>
          <w:tab w:val="left" w:pos="720"/>
        </w:tabs>
        <w:spacing w:line="276" w:lineRule="auto"/>
        <w:rPr>
          <w:rFonts w:ascii="Arial" w:hAnsi="Arial" w:cs="Arial"/>
          <w:sz w:val="20"/>
          <w:szCs w:val="20"/>
        </w:rPr>
      </w:pPr>
    </w:p>
    <w:p w14:paraId="37603B27" w14:textId="77777777" w:rsidR="007200E1" w:rsidRDefault="007200E1" w:rsidP="007200E1">
      <w:pPr>
        <w:tabs>
          <w:tab w:val="left" w:pos="720"/>
        </w:tabs>
        <w:spacing w:line="276" w:lineRule="auto"/>
        <w:rPr>
          <w:rFonts w:ascii="Arial" w:hAnsi="Arial" w:cs="Arial"/>
          <w:sz w:val="20"/>
          <w:szCs w:val="20"/>
        </w:rPr>
      </w:pPr>
    </w:p>
    <w:p w14:paraId="01CA1672" w14:textId="77777777" w:rsidR="007200E1" w:rsidRDefault="007200E1" w:rsidP="007200E1">
      <w:pPr>
        <w:tabs>
          <w:tab w:val="left" w:pos="720"/>
        </w:tabs>
        <w:spacing w:line="276" w:lineRule="auto"/>
        <w:rPr>
          <w:rFonts w:ascii="Arial" w:hAnsi="Arial" w:cs="Arial"/>
          <w:sz w:val="20"/>
          <w:szCs w:val="20"/>
        </w:rPr>
      </w:pPr>
    </w:p>
    <w:p w14:paraId="40CBCDA2" w14:textId="6D899BA0" w:rsidR="007200E1" w:rsidRDefault="007200E1" w:rsidP="007200E1">
      <w:pPr>
        <w:tabs>
          <w:tab w:val="left" w:pos="720"/>
        </w:tabs>
        <w:spacing w:line="276" w:lineRule="auto"/>
        <w:rPr>
          <w:rFonts w:ascii="Arial" w:hAnsi="Arial" w:cs="Arial"/>
          <w:sz w:val="20"/>
          <w:szCs w:val="20"/>
        </w:rPr>
      </w:pPr>
      <w:r>
        <w:rPr>
          <w:rFonts w:ascii="Arial" w:hAnsi="Arial" w:cs="Arial"/>
          <w:sz w:val="20"/>
          <w:szCs w:val="20"/>
        </w:rPr>
        <w:t>V</w:t>
      </w:r>
      <w:r w:rsidR="00842429">
        <w:rPr>
          <w:rFonts w:ascii="Arial" w:hAnsi="Arial" w:cs="Arial"/>
          <w:sz w:val="20"/>
          <w:szCs w:val="20"/>
        </w:rPr>
        <w:t xml:space="preserve"> Brně </w:t>
      </w:r>
      <w:r w:rsidR="004160C6">
        <w:rPr>
          <w:rFonts w:ascii="Arial" w:hAnsi="Arial" w:cs="Arial"/>
          <w:sz w:val="20"/>
          <w:szCs w:val="20"/>
        </w:rPr>
        <w:t>dne …</w:t>
      </w:r>
      <w:proofErr w:type="gramStart"/>
      <w:r w:rsidR="004160C6">
        <w:rPr>
          <w:rFonts w:ascii="Arial" w:hAnsi="Arial" w:cs="Arial"/>
          <w:sz w:val="20"/>
          <w:szCs w:val="20"/>
        </w:rPr>
        <w:t>…….</w:t>
      </w:r>
      <w:proofErr w:type="gramEnd"/>
      <w:r w:rsidR="004160C6">
        <w:rPr>
          <w:rFonts w:ascii="Arial" w:hAnsi="Arial" w:cs="Arial"/>
          <w:sz w:val="20"/>
          <w:szCs w:val="20"/>
        </w:rPr>
        <w:t>.</w:t>
      </w:r>
      <w:r w:rsidR="004160C6">
        <w:rPr>
          <w:rFonts w:ascii="Arial" w:hAnsi="Arial" w:cs="Arial"/>
          <w:sz w:val="20"/>
          <w:szCs w:val="20"/>
        </w:rPr>
        <w:tab/>
      </w:r>
      <w:r w:rsidR="004160C6">
        <w:rPr>
          <w:rFonts w:ascii="Arial" w:hAnsi="Arial" w:cs="Arial"/>
          <w:sz w:val="20"/>
          <w:szCs w:val="20"/>
        </w:rPr>
        <w:tab/>
      </w:r>
      <w:r w:rsidR="004160C6">
        <w:rPr>
          <w:rFonts w:ascii="Arial" w:hAnsi="Arial" w:cs="Arial"/>
          <w:sz w:val="20"/>
          <w:szCs w:val="20"/>
        </w:rPr>
        <w:tab/>
      </w:r>
      <w:r w:rsidR="004160C6">
        <w:rPr>
          <w:rFonts w:ascii="Arial" w:hAnsi="Arial" w:cs="Arial"/>
          <w:sz w:val="20"/>
          <w:szCs w:val="20"/>
        </w:rPr>
        <w:tab/>
      </w:r>
      <w:r w:rsidR="004160C6">
        <w:rPr>
          <w:rFonts w:ascii="Arial" w:hAnsi="Arial" w:cs="Arial"/>
          <w:sz w:val="20"/>
          <w:szCs w:val="20"/>
        </w:rPr>
        <w:tab/>
        <w:t>V Praze</w:t>
      </w:r>
      <w:r>
        <w:rPr>
          <w:rFonts w:ascii="Arial" w:hAnsi="Arial" w:cs="Arial"/>
          <w:sz w:val="20"/>
          <w:szCs w:val="20"/>
        </w:rPr>
        <w:t>, dne ………</w:t>
      </w:r>
    </w:p>
    <w:p w14:paraId="659C9EDC" w14:textId="77777777" w:rsidR="007200E1" w:rsidRDefault="007200E1" w:rsidP="007200E1">
      <w:pPr>
        <w:tabs>
          <w:tab w:val="left" w:pos="720"/>
        </w:tabs>
        <w:spacing w:line="276" w:lineRule="auto"/>
        <w:rPr>
          <w:rFonts w:ascii="Arial" w:hAnsi="Arial" w:cs="Arial"/>
          <w:sz w:val="20"/>
          <w:szCs w:val="20"/>
        </w:rPr>
      </w:pPr>
    </w:p>
    <w:p w14:paraId="44875B0D" w14:textId="77777777" w:rsidR="007200E1" w:rsidRDefault="007200E1" w:rsidP="007200E1">
      <w:pPr>
        <w:tabs>
          <w:tab w:val="left" w:pos="720"/>
        </w:tabs>
        <w:spacing w:line="276" w:lineRule="auto"/>
        <w:rPr>
          <w:rFonts w:ascii="Arial" w:hAnsi="Arial" w:cs="Arial"/>
          <w:sz w:val="20"/>
          <w:szCs w:val="20"/>
        </w:rPr>
      </w:pPr>
    </w:p>
    <w:p w14:paraId="17BCE89A" w14:textId="77777777" w:rsidR="007200E1" w:rsidRDefault="007200E1" w:rsidP="007200E1">
      <w:pPr>
        <w:tabs>
          <w:tab w:val="left" w:pos="720"/>
        </w:tabs>
        <w:spacing w:line="276" w:lineRule="auto"/>
        <w:rPr>
          <w:rFonts w:ascii="Arial" w:hAnsi="Arial" w:cs="Arial"/>
          <w:sz w:val="20"/>
          <w:szCs w:val="20"/>
        </w:rPr>
      </w:pPr>
    </w:p>
    <w:p w14:paraId="45341E7B" w14:textId="77777777" w:rsidR="007200E1" w:rsidRDefault="007200E1" w:rsidP="007200E1">
      <w:pPr>
        <w:tabs>
          <w:tab w:val="left" w:pos="720"/>
        </w:tabs>
        <w:spacing w:line="276" w:lineRule="auto"/>
        <w:rPr>
          <w:rFonts w:ascii="Arial" w:hAnsi="Arial" w:cs="Arial"/>
          <w:sz w:val="20"/>
          <w:szCs w:val="20"/>
        </w:rPr>
      </w:pPr>
      <w:r>
        <w:rPr>
          <w:rFonts w:ascii="Arial" w:hAnsi="Arial" w:cs="Arial"/>
          <w:sz w:val="20"/>
          <w:szCs w:val="20"/>
        </w:rPr>
        <w:t>Za kupujícího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prodávajícího</w:t>
      </w:r>
    </w:p>
    <w:p w14:paraId="7B8239E9" w14:textId="77777777" w:rsidR="007200E1" w:rsidRDefault="007200E1" w:rsidP="007200E1">
      <w:pPr>
        <w:tabs>
          <w:tab w:val="left" w:pos="720"/>
        </w:tabs>
        <w:spacing w:line="276" w:lineRule="auto"/>
        <w:rPr>
          <w:rFonts w:ascii="Arial" w:hAnsi="Arial" w:cs="Arial"/>
          <w:sz w:val="20"/>
          <w:szCs w:val="20"/>
        </w:rPr>
      </w:pPr>
    </w:p>
    <w:p w14:paraId="4DF488B2" w14:textId="77777777" w:rsidR="007200E1" w:rsidRDefault="007200E1" w:rsidP="007200E1">
      <w:pPr>
        <w:tabs>
          <w:tab w:val="left" w:pos="720"/>
        </w:tabs>
        <w:spacing w:line="276" w:lineRule="auto"/>
        <w:rPr>
          <w:rFonts w:ascii="Arial" w:hAnsi="Arial" w:cs="Arial"/>
          <w:sz w:val="20"/>
          <w:szCs w:val="20"/>
        </w:rPr>
      </w:pPr>
    </w:p>
    <w:p w14:paraId="392CE19E" w14:textId="77777777" w:rsidR="007200E1" w:rsidRDefault="007200E1" w:rsidP="007200E1">
      <w:pPr>
        <w:tabs>
          <w:tab w:val="left" w:pos="720"/>
        </w:tabs>
        <w:spacing w:line="276" w:lineRule="auto"/>
        <w:rPr>
          <w:rFonts w:ascii="Arial" w:hAnsi="Arial" w:cs="Arial"/>
          <w:sz w:val="20"/>
          <w:szCs w:val="20"/>
        </w:rPr>
      </w:pPr>
    </w:p>
    <w:p w14:paraId="09D832C8" w14:textId="77777777" w:rsidR="007200E1" w:rsidRDefault="007200E1" w:rsidP="007200E1">
      <w:pPr>
        <w:tabs>
          <w:tab w:val="left" w:pos="720"/>
        </w:tabs>
        <w:spacing w:line="276" w:lineRule="auto"/>
        <w:rPr>
          <w:rFonts w:ascii="Arial" w:hAnsi="Arial" w:cs="Arial"/>
          <w:sz w:val="20"/>
          <w:szCs w:val="20"/>
        </w:rPr>
      </w:pPr>
    </w:p>
    <w:p w14:paraId="4620E7F7" w14:textId="77777777" w:rsidR="007200E1" w:rsidRDefault="007200E1" w:rsidP="007200E1">
      <w:pPr>
        <w:tabs>
          <w:tab w:val="left" w:pos="720"/>
        </w:tabs>
        <w:spacing w:line="276" w:lineRule="auto"/>
        <w:rPr>
          <w:rFonts w:ascii="Arial" w:hAnsi="Arial" w:cs="Arial"/>
          <w:sz w:val="20"/>
          <w:szCs w:val="20"/>
        </w:rPr>
      </w:pPr>
    </w:p>
    <w:p w14:paraId="776FC93E" w14:textId="77777777" w:rsidR="007200E1" w:rsidRDefault="007200E1" w:rsidP="007200E1">
      <w:pPr>
        <w:tabs>
          <w:tab w:val="center" w:pos="1800"/>
          <w:tab w:val="center" w:pos="7020"/>
        </w:tabs>
        <w:spacing w:line="276"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p>
    <w:p w14:paraId="1688398D" w14:textId="62DB1D8F" w:rsidR="007200E1" w:rsidRDefault="00842429" w:rsidP="007200E1">
      <w:pPr>
        <w:tabs>
          <w:tab w:val="center" w:pos="1800"/>
          <w:tab w:val="center" w:pos="7020"/>
        </w:tabs>
        <w:spacing w:line="276" w:lineRule="auto"/>
        <w:rPr>
          <w:rFonts w:ascii="Arial" w:hAnsi="Arial" w:cs="Arial"/>
          <w:sz w:val="20"/>
          <w:szCs w:val="20"/>
        </w:rPr>
      </w:pPr>
      <w:r>
        <w:rPr>
          <w:rFonts w:ascii="Arial" w:hAnsi="Arial" w:cs="Arial"/>
          <w:sz w:val="20"/>
          <w:szCs w:val="20"/>
        </w:rPr>
        <w:t xml:space="preserve">           MUDr. Ivo Rovný, MBA</w:t>
      </w:r>
      <w:r w:rsidR="007200E1">
        <w:rPr>
          <w:rFonts w:ascii="Arial" w:hAnsi="Arial" w:cs="Arial"/>
          <w:sz w:val="20"/>
          <w:szCs w:val="20"/>
        </w:rPr>
        <w:tab/>
        <w:t>Ing. Radovan Sedlář</w:t>
      </w:r>
    </w:p>
    <w:p w14:paraId="03148A9A" w14:textId="47C0E323" w:rsidR="007200E1" w:rsidRDefault="00842429" w:rsidP="007200E1">
      <w:pPr>
        <w:tabs>
          <w:tab w:val="center" w:pos="1800"/>
          <w:tab w:val="center" w:pos="7020"/>
        </w:tabs>
        <w:spacing w:line="276" w:lineRule="auto"/>
        <w:rPr>
          <w:rFonts w:ascii="Arial" w:hAnsi="Arial" w:cs="Arial"/>
          <w:sz w:val="20"/>
          <w:szCs w:val="20"/>
        </w:rPr>
      </w:pPr>
      <w:r>
        <w:rPr>
          <w:rFonts w:ascii="Arial" w:hAnsi="Arial" w:cs="Arial"/>
          <w:sz w:val="20"/>
          <w:szCs w:val="20"/>
        </w:rPr>
        <w:t xml:space="preserve">                      ředitel </w:t>
      </w:r>
      <w:r w:rsidR="007200E1">
        <w:rPr>
          <w:rFonts w:ascii="Arial" w:hAnsi="Arial" w:cs="Arial"/>
          <w:sz w:val="20"/>
          <w:szCs w:val="20"/>
        </w:rPr>
        <w:tab/>
        <w:t>prokurista společnost</w:t>
      </w:r>
    </w:p>
    <w:p w14:paraId="4615E826" w14:textId="77777777" w:rsidR="007200E1" w:rsidRDefault="007200E1" w:rsidP="007200E1">
      <w:pPr>
        <w:tabs>
          <w:tab w:val="center" w:pos="1800"/>
          <w:tab w:val="center" w:pos="7020"/>
        </w:tabs>
        <w:spacing w:line="276" w:lineRule="auto"/>
        <w:rPr>
          <w:rFonts w:ascii="Arial" w:hAnsi="Arial" w:cs="Arial"/>
          <w:sz w:val="20"/>
          <w:szCs w:val="20"/>
        </w:rPr>
      </w:pPr>
      <w:r>
        <w:rPr>
          <w:rFonts w:ascii="Arial" w:hAnsi="Arial" w:cs="Arial"/>
          <w:sz w:val="20"/>
          <w:szCs w:val="20"/>
        </w:rPr>
        <w:tab/>
      </w:r>
    </w:p>
    <w:p w14:paraId="5177C81B" w14:textId="77777777" w:rsidR="007200E1" w:rsidRDefault="007200E1" w:rsidP="007200E1">
      <w:pPr>
        <w:tabs>
          <w:tab w:val="center" w:pos="1800"/>
          <w:tab w:val="center" w:pos="7020"/>
        </w:tabs>
        <w:spacing w:line="276" w:lineRule="auto"/>
        <w:rPr>
          <w:rFonts w:ascii="Arial" w:hAnsi="Arial" w:cs="Arial"/>
          <w:sz w:val="20"/>
          <w:szCs w:val="20"/>
        </w:rPr>
      </w:pPr>
    </w:p>
    <w:p w14:paraId="7B449D87" w14:textId="77777777" w:rsidR="007200E1" w:rsidRDefault="007200E1" w:rsidP="007200E1">
      <w:pPr>
        <w:tabs>
          <w:tab w:val="center" w:pos="1800"/>
          <w:tab w:val="center" w:pos="7020"/>
        </w:tabs>
        <w:spacing w:line="276" w:lineRule="auto"/>
        <w:rPr>
          <w:rFonts w:ascii="Arial" w:hAnsi="Arial" w:cs="Arial"/>
          <w:sz w:val="20"/>
          <w:szCs w:val="20"/>
        </w:rPr>
      </w:pPr>
    </w:p>
    <w:p w14:paraId="125C4F90" w14:textId="77777777" w:rsidR="007200E1" w:rsidRDefault="007200E1" w:rsidP="007200E1">
      <w:pPr>
        <w:tabs>
          <w:tab w:val="center" w:pos="1800"/>
          <w:tab w:val="center" w:pos="7020"/>
        </w:tabs>
        <w:spacing w:line="276" w:lineRule="auto"/>
        <w:rPr>
          <w:rFonts w:ascii="Arial" w:hAnsi="Arial" w:cs="Arial"/>
          <w:sz w:val="20"/>
          <w:szCs w:val="20"/>
        </w:rPr>
      </w:pPr>
    </w:p>
    <w:p w14:paraId="7A65032D" w14:textId="77777777" w:rsidR="007200E1" w:rsidRDefault="007200E1" w:rsidP="007200E1">
      <w:pPr>
        <w:tabs>
          <w:tab w:val="center" w:pos="1800"/>
          <w:tab w:val="center" w:pos="7020"/>
        </w:tabs>
        <w:spacing w:line="276" w:lineRule="auto"/>
        <w:rPr>
          <w:rFonts w:ascii="Arial" w:hAnsi="Arial" w:cs="Arial"/>
          <w:sz w:val="20"/>
          <w:szCs w:val="20"/>
        </w:rPr>
      </w:pPr>
    </w:p>
    <w:p w14:paraId="1037DA93" w14:textId="77777777" w:rsidR="007200E1" w:rsidRDefault="007200E1" w:rsidP="007200E1">
      <w:pPr>
        <w:tabs>
          <w:tab w:val="center" w:pos="1800"/>
          <w:tab w:val="center" w:pos="7020"/>
        </w:tabs>
        <w:spacing w:line="276" w:lineRule="auto"/>
        <w:rPr>
          <w:rFonts w:ascii="Arial" w:hAnsi="Arial" w:cs="Arial"/>
          <w:sz w:val="20"/>
          <w:szCs w:val="20"/>
        </w:rPr>
      </w:pPr>
    </w:p>
    <w:p w14:paraId="49C8EB61" w14:textId="77777777" w:rsidR="007200E1" w:rsidRDefault="007200E1" w:rsidP="007200E1">
      <w:pPr>
        <w:tabs>
          <w:tab w:val="center" w:pos="1800"/>
          <w:tab w:val="center" w:pos="7020"/>
        </w:tabs>
        <w:spacing w:line="276" w:lineRule="auto"/>
        <w:rPr>
          <w:rFonts w:ascii="Arial" w:hAnsi="Arial" w:cs="Arial"/>
          <w:sz w:val="20"/>
          <w:szCs w:val="20"/>
        </w:rPr>
      </w:pPr>
    </w:p>
    <w:p w14:paraId="3BFAC7FF" w14:textId="77777777" w:rsidR="007200E1" w:rsidRDefault="007200E1" w:rsidP="007200E1">
      <w:pPr>
        <w:tabs>
          <w:tab w:val="center" w:pos="1800"/>
          <w:tab w:val="center" w:pos="7020"/>
        </w:tabs>
        <w:spacing w:line="276" w:lineRule="auto"/>
        <w:rPr>
          <w:rFonts w:ascii="Arial" w:hAnsi="Arial" w:cs="Arial"/>
          <w:sz w:val="20"/>
          <w:szCs w:val="20"/>
        </w:rPr>
      </w:pPr>
    </w:p>
    <w:p w14:paraId="1ED760B9" w14:textId="77777777" w:rsidR="00BA37D3" w:rsidRDefault="00BA37D3"/>
    <w:sectPr w:rsidR="00BA37D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EB11" w14:textId="77777777" w:rsidR="00171386" w:rsidRDefault="00171386" w:rsidP="00171386">
      <w:r>
        <w:separator/>
      </w:r>
    </w:p>
  </w:endnote>
  <w:endnote w:type="continuationSeparator" w:id="0">
    <w:p w14:paraId="5CC39ED5" w14:textId="77777777" w:rsidR="00171386" w:rsidRDefault="00171386" w:rsidP="0017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0880" w14:textId="77777777" w:rsidR="00171386" w:rsidRDefault="00171386" w:rsidP="00171386">
      <w:r>
        <w:separator/>
      </w:r>
    </w:p>
  </w:footnote>
  <w:footnote w:type="continuationSeparator" w:id="0">
    <w:p w14:paraId="7625B4C8" w14:textId="77777777" w:rsidR="00171386" w:rsidRDefault="00171386" w:rsidP="00171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B5D0" w14:textId="642D848E" w:rsidR="00171386" w:rsidRDefault="00171386">
    <w:pPr>
      <w:pStyle w:val="Zhlav"/>
    </w:pPr>
    <w:r>
      <w:t xml:space="preserve">                                                                                                                       KP/3269/2025/</w:t>
    </w:r>
    <w:proofErr w:type="spellStart"/>
    <w:r>
      <w:t>Sch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54707"/>
    <w:multiLevelType w:val="hybridMultilevel"/>
    <w:tmpl w:val="2938A0F0"/>
    <w:lvl w:ilvl="0" w:tplc="28662194">
      <w:start w:val="1"/>
      <w:numFmt w:val="decimal"/>
      <w:lvlText w:val="%1."/>
      <w:lvlJc w:val="left"/>
      <w:pPr>
        <w:tabs>
          <w:tab w:val="num" w:pos="720"/>
        </w:tabs>
        <w:ind w:left="72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2057971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0E1"/>
    <w:rsid w:val="00171386"/>
    <w:rsid w:val="001B22C0"/>
    <w:rsid w:val="00257E33"/>
    <w:rsid w:val="00341A43"/>
    <w:rsid w:val="004160C6"/>
    <w:rsid w:val="005D3D95"/>
    <w:rsid w:val="00664A6C"/>
    <w:rsid w:val="007200E1"/>
    <w:rsid w:val="00842429"/>
    <w:rsid w:val="009E2112"/>
    <w:rsid w:val="00BA37D3"/>
    <w:rsid w:val="00C246EF"/>
    <w:rsid w:val="00DD1AF9"/>
    <w:rsid w:val="00F01C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EF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0E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200E1"/>
    <w:pPr>
      <w:jc w:val="center"/>
    </w:pPr>
    <w:rPr>
      <w:b/>
      <w:bCs/>
      <w:sz w:val="28"/>
    </w:rPr>
  </w:style>
  <w:style w:type="character" w:customStyle="1" w:styleId="NzevChar">
    <w:name w:val="Název Char"/>
    <w:basedOn w:val="Standardnpsmoodstavce"/>
    <w:link w:val="Nzev"/>
    <w:rsid w:val="007200E1"/>
    <w:rPr>
      <w:rFonts w:ascii="Times New Roman" w:eastAsia="Times New Roman" w:hAnsi="Times New Roman" w:cs="Times New Roman"/>
      <w:b/>
      <w:bCs/>
      <w:sz w:val="28"/>
      <w:szCs w:val="24"/>
      <w:lang w:eastAsia="cs-CZ"/>
    </w:rPr>
  </w:style>
  <w:style w:type="paragraph" w:styleId="Revize">
    <w:name w:val="Revision"/>
    <w:hidden/>
    <w:uiPriority w:val="99"/>
    <w:semiHidden/>
    <w:rsid w:val="00171386"/>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71386"/>
    <w:pPr>
      <w:tabs>
        <w:tab w:val="center" w:pos="4536"/>
        <w:tab w:val="right" w:pos="9072"/>
      </w:tabs>
    </w:pPr>
  </w:style>
  <w:style w:type="character" w:customStyle="1" w:styleId="ZhlavChar">
    <w:name w:val="Záhlaví Char"/>
    <w:basedOn w:val="Standardnpsmoodstavce"/>
    <w:link w:val="Zhlav"/>
    <w:uiPriority w:val="99"/>
    <w:rsid w:val="0017138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71386"/>
    <w:pPr>
      <w:tabs>
        <w:tab w:val="center" w:pos="4536"/>
        <w:tab w:val="right" w:pos="9072"/>
      </w:tabs>
    </w:pPr>
  </w:style>
  <w:style w:type="character" w:customStyle="1" w:styleId="ZpatChar">
    <w:name w:val="Zápatí Char"/>
    <w:basedOn w:val="Standardnpsmoodstavce"/>
    <w:link w:val="Zpat"/>
    <w:uiPriority w:val="99"/>
    <w:rsid w:val="0017138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01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2956</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2025-10-30T13:35:00Z</dcterms:created>
  <dcterms:modified xsi:type="dcterms:W3CDTF">2025-10-30T13:36:00Z</dcterms:modified>
</cp:coreProperties>
</file>