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F2" w:rsidRDefault="00866DBE">
      <w:pPr>
        <w:pStyle w:val="Nadpis1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5800725</wp:posOffset>
                </wp:positionH>
                <wp:positionV relativeFrom="paragraph">
                  <wp:posOffset>533400</wp:posOffset>
                </wp:positionV>
                <wp:extent cx="594360" cy="1403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1F2" w:rsidRDefault="00866DBE">
                            <w:pPr>
                              <w:pStyle w:val="Zkladntext2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2025008134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6.75pt;margin-top:42.pt;width:46.800000000000004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2025008134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</w:p>
    <w:p w:rsidR="007201F2" w:rsidRDefault="00866DBE">
      <w:pPr>
        <w:pStyle w:val="Nadpis20"/>
        <w:keepNext/>
        <w:keepLines/>
      </w:pPr>
      <w:bookmarkStart w:id="1" w:name="bookmark2"/>
      <w:r>
        <w:rPr>
          <w:rStyle w:val="Nadpis2"/>
          <w:b/>
          <w:bCs/>
        </w:rPr>
        <w:t>KUPNÍ SMLOUVA</w:t>
      </w:r>
      <w:bookmarkEnd w:id="1"/>
    </w:p>
    <w:p w:rsidR="007201F2" w:rsidRDefault="00866DBE">
      <w:pPr>
        <w:pStyle w:val="Zkladntext1"/>
        <w:spacing w:after="500" w:line="276" w:lineRule="auto"/>
        <w:jc w:val="center"/>
      </w:pPr>
      <w:r>
        <w:rPr>
          <w:rStyle w:val="Zkladntext"/>
        </w:rPr>
        <w:t xml:space="preserve">podle ustanovení § 2079 a násl.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 , občanský</w:t>
      </w:r>
      <w:proofErr w:type="gramEnd"/>
      <w:r>
        <w:rPr>
          <w:rStyle w:val="Zkladntext"/>
        </w:rPr>
        <w:t xml:space="preserve"> zákoník,</w:t>
      </w:r>
      <w:r>
        <w:rPr>
          <w:rStyle w:val="Zkladntext"/>
        </w:rPr>
        <w:br/>
        <w:t>uzavřená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6"/>
        <w:gridCol w:w="6101"/>
      </w:tblGrid>
      <w:tr w:rsidR="007201F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746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101" w:type="dxa"/>
            <w:shd w:val="clear" w:color="auto" w:fill="auto"/>
          </w:tcPr>
          <w:p w:rsidR="007201F2" w:rsidRDefault="00866DBE">
            <w:pPr>
              <w:pStyle w:val="Jin0"/>
              <w:spacing w:after="0" w:line="276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46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101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Kamenice 798/1 d, 625 00 Brno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4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MUDr. Hana Albrechtová, ředitelka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746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01" w:type="dxa"/>
            <w:shd w:val="clear" w:color="auto" w:fill="auto"/>
          </w:tcPr>
          <w:p w:rsidR="007201F2" w:rsidRDefault="00866DBE">
            <w:pPr>
              <w:pStyle w:val="Jin0"/>
              <w:spacing w:after="0" w:line="276" w:lineRule="auto"/>
            </w:pPr>
            <w:proofErr w:type="gramStart"/>
            <w:r>
              <w:rPr>
                <w:rStyle w:val="Jin"/>
                <w:spacing w:val="9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...............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</w:t>
            </w:r>
            <w:r>
              <w:rPr>
                <w:rStyle w:val="Jin"/>
                <w:spacing w:val="9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  <w:proofErr w:type="gramEnd"/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74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00346292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CZ00346292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>1245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46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01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 xml:space="preserve">MONETA Money Bank, a 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7201F2" w:rsidRDefault="00866DBE">
      <w:pPr>
        <w:pStyle w:val="Titulektabulky0"/>
        <w:ind w:left="14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„kupující'</w:t>
      </w:r>
    </w:p>
    <w:p w:rsidR="007201F2" w:rsidRDefault="007201F2">
      <w:pPr>
        <w:spacing w:after="339" w:line="1" w:lineRule="exact"/>
      </w:pPr>
    </w:p>
    <w:p w:rsidR="007201F2" w:rsidRDefault="007201F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6"/>
        <w:gridCol w:w="6096"/>
      </w:tblGrid>
      <w:tr w:rsidR="007201F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746" w:type="dxa"/>
            <w:shd w:val="clear" w:color="auto" w:fill="auto"/>
          </w:tcPr>
          <w:p w:rsidR="007201F2" w:rsidRDefault="00866DBE">
            <w:pPr>
              <w:pStyle w:val="Jin0"/>
              <w:spacing w:after="260"/>
            </w:pPr>
            <w:r>
              <w:rPr>
                <w:rStyle w:val="Jin"/>
              </w:rPr>
              <w:t>d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TERMETAL Moravia s.r.o.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4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Trabantská 291/20, 190 15 Praha 9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4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Provozovna: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Poříčí 2465/28, 678 01 Blansko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 xml:space="preserve">Pavel Brázda, </w:t>
            </w:r>
            <w:r>
              <w:rPr>
                <w:rStyle w:val="Jin"/>
              </w:rPr>
              <w:t>jednatel společnosti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4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proofErr w:type="gramStart"/>
            <w:r>
              <w:rPr>
                <w:rStyle w:val="Jin"/>
                <w:spacing w:val="9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hd w:val="clear" w:color="auto" w:fill="000000"/>
              </w:rPr>
              <w:t>..........</w:t>
            </w:r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</w:t>
            </w:r>
            <w:r>
              <w:rPr>
                <w:rStyle w:val="Jin"/>
                <w:spacing w:val="4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hd w:val="clear" w:color="auto" w:fill="000000"/>
              </w:rPr>
              <w:t>....</w:t>
            </w:r>
            <w:r>
              <w:rPr>
                <w:rStyle w:val="Jin"/>
                <w:spacing w:val="7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  <w:proofErr w:type="gramEnd"/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74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29011591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CZ29011591</w:t>
            </w:r>
          </w:p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MS v Praze, oddíl C, vložka 159794 dne 16. prosince 2009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746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096" w:type="dxa"/>
            <w:shd w:val="clear" w:color="auto" w:fill="auto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4021562/0800</w:t>
            </w:r>
          </w:p>
        </w:tc>
      </w:tr>
    </w:tbl>
    <w:p w:rsidR="007201F2" w:rsidRDefault="00866DBE">
      <w:pPr>
        <w:pStyle w:val="Titulektabulky0"/>
        <w:ind w:left="19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„prodávající“</w:t>
      </w:r>
    </w:p>
    <w:p w:rsidR="007201F2" w:rsidRDefault="007201F2">
      <w:pPr>
        <w:spacing w:after="1339" w:line="1" w:lineRule="exact"/>
      </w:pP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40" w:hanging="440"/>
        <w:jc w:val="both"/>
      </w:pPr>
      <w:r>
        <w:rPr>
          <w:rStyle w:val="Zkladntext"/>
        </w:rPr>
        <w:t>Prodávající je oprávněn na základě svého vlastnického práva nakládat s tímto zbožím: náhradní díly pro garážová vrata, jejichž výčet je uveden v příloze č. 1, která je nedílnou součástí této smlouvy.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40" w:hanging="440"/>
        <w:jc w:val="both"/>
      </w:pPr>
      <w:r>
        <w:rPr>
          <w:rStyle w:val="Zkladntext"/>
        </w:rPr>
        <w:t>Prodávající prodává zboží podle</w:t>
      </w:r>
      <w:r>
        <w:rPr>
          <w:rStyle w:val="Zkladntext"/>
        </w:rPr>
        <w:t xml:space="preserve"> čl. 1 této smlouvy se všemi jeho součástmi a příslušenstvím kupujícímu, a kupující kupuje toto zboží do vlastnictví Jihomoravského kraje, jako svého zřizovatele, za kupní cenu podle čl. 6 této smlouvy. Místem dodání zboží podle čl. 1 této smlouvy je sídlo</w:t>
      </w:r>
      <w:r>
        <w:rPr>
          <w:rStyle w:val="Zkladntext"/>
        </w:rPr>
        <w:t xml:space="preserve"> objednatele (Kamenice 798/1 d, 625 00 Brno) a dále jeho výjezdové základny v Brně - </w:t>
      </w:r>
      <w:proofErr w:type="spellStart"/>
      <w:r>
        <w:rPr>
          <w:rStyle w:val="Zkladntext"/>
        </w:rPr>
        <w:t>Ponavě</w:t>
      </w:r>
      <w:proofErr w:type="spellEnd"/>
      <w:r>
        <w:rPr>
          <w:rStyle w:val="Zkladntext"/>
        </w:rPr>
        <w:t xml:space="preserve"> (Dělostřelecká 19, 602 00 Brno) a v Brně - Černovicích (Těžební 1a, 627 00 Brno), dle přílohy č. 1.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40" w:hanging="440"/>
        <w:jc w:val="both"/>
      </w:pPr>
      <w:r>
        <w:rPr>
          <w:rStyle w:val="Zkladntext"/>
        </w:rPr>
        <w:t>Součástí dodávky zboží dle čl. 1 této smlouvy je také dodání veš</w:t>
      </w:r>
      <w:r>
        <w:rPr>
          <w:rStyle w:val="Zkladntext"/>
        </w:rPr>
        <w:t>keré odpovídající technické dokumentace v tištěné a datové podobě, v českém jazyce, a to v případě, kdy je to vyžadováno legislativou.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40" w:hanging="440"/>
        <w:jc w:val="both"/>
      </w:pPr>
      <w:r>
        <w:rPr>
          <w:rStyle w:val="Zkladntext"/>
        </w:rPr>
        <w:t xml:space="preserve">Prodávající se zavazuje splnit svůj závazek k dodání zboží podle čl. 1 této smlouvy nejpozději do </w:t>
      </w:r>
      <w:r>
        <w:rPr>
          <w:rStyle w:val="Zkladntext"/>
          <w:b/>
          <w:bCs/>
        </w:rPr>
        <w:t xml:space="preserve">90 dnů </w:t>
      </w:r>
      <w:r>
        <w:rPr>
          <w:rStyle w:val="Zkladntext"/>
        </w:rPr>
        <w:t xml:space="preserve">od účinnosti </w:t>
      </w:r>
      <w:r>
        <w:rPr>
          <w:rStyle w:val="Zkladntext"/>
        </w:rPr>
        <w:t>této kupní smlouvy. Závazek prodávajícího k dodání zboží podle čl. 1 této smlouvy se pak považuje za splněný po předání a převzetí tohoto zboží formou písemného předávacího protokolu, podepsaného oběma stranami.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40" w:hanging="440"/>
        <w:jc w:val="both"/>
      </w:pPr>
      <w:r>
        <w:rPr>
          <w:rStyle w:val="Zkladntext"/>
        </w:rPr>
        <w:t xml:space="preserve">Nebezpečí škody na převáděném zboží a </w:t>
      </w:r>
      <w:r>
        <w:rPr>
          <w:rStyle w:val="Zkladntext"/>
        </w:rPr>
        <w:t>vlastnické právo k tomuto zboží přechází z prodávajícího na kupujícího dnem splnění závazku prodávajícího k dodání tohoto zboží způsobem podle čl. 4 této smlouvy.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Kupující se zavazuje zaplatit prodávajícímu za předmět koupě a prodeje podle čl. 1 této smlou</w:t>
      </w:r>
      <w:r>
        <w:rPr>
          <w:rStyle w:val="Zkladntext"/>
        </w:rPr>
        <w:t>vy kupní cenu ve výši:</w:t>
      </w:r>
    </w:p>
    <w:p w:rsidR="007201F2" w:rsidRDefault="00866DBE">
      <w:pPr>
        <w:pStyle w:val="Zkladntext1"/>
        <w:jc w:val="center"/>
      </w:pPr>
      <w:r>
        <w:rPr>
          <w:rStyle w:val="Zkladntext"/>
          <w:b/>
          <w:bCs/>
        </w:rPr>
        <w:lastRenderedPageBreak/>
        <w:t xml:space="preserve">261 810,- </w:t>
      </w:r>
      <w:r>
        <w:rPr>
          <w:rStyle w:val="Zkladntext"/>
        </w:rPr>
        <w:t xml:space="preserve">Kč bez DPH, tj. </w:t>
      </w:r>
      <w:r>
        <w:rPr>
          <w:rStyle w:val="Zkladntext"/>
          <w:b/>
          <w:bCs/>
        </w:rPr>
        <w:t xml:space="preserve">316 790,- </w:t>
      </w:r>
      <w:r>
        <w:rPr>
          <w:rStyle w:val="Zkladntext"/>
        </w:rPr>
        <w:t>Kč včetně DPH</w:t>
      </w:r>
    </w:p>
    <w:p w:rsidR="007201F2" w:rsidRDefault="00866DBE">
      <w:pPr>
        <w:pStyle w:val="Zkladntext1"/>
        <w:ind w:left="400" w:firstLine="20"/>
        <w:jc w:val="both"/>
      </w:pPr>
      <w:r>
        <w:rPr>
          <w:rStyle w:val="Zkladntext"/>
        </w:rPr>
        <w:t>Součástí této ceny jsou veškeré náklady prodávajícího na splnění jeho závazku k dodání zboží podle této smlouvy a daň z přidané hodnoty v sazbě podle zákona.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Kupní cena podle čl. 6 té</w:t>
      </w:r>
      <w:r>
        <w:rPr>
          <w:rStyle w:val="Zkladntext"/>
        </w:rPr>
        <w:t>to smlouvy je splatná na účet prodávajícího po řádném splnění závazku prodávajícího k dodání zboží podle čl. 1 této smlouvy způsobem podle čl. 4 této smlouvy ve lhůtě do 30 dnů ode dne doručení jejího písemného vyúčtování (daňového dokladu/faktury). Faktur</w:t>
      </w:r>
      <w:r>
        <w:rPr>
          <w:rStyle w:val="Zkladntext"/>
        </w:rPr>
        <w:t xml:space="preserve">a bude doručena elektronicky na </w:t>
      </w:r>
      <w:proofErr w:type="gramStart"/>
      <w:r>
        <w:rPr>
          <w:rStyle w:val="Zkladntext"/>
        </w:rPr>
        <w:t xml:space="preserve">e-mail: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7"/>
          <w:shd w:val="clear" w:color="auto" w:fill="000000"/>
        </w:rPr>
        <w:t>.</w:t>
      </w:r>
      <w:r>
        <w:rPr>
          <w:rStyle w:val="Zkladntext"/>
          <w:spacing w:val="28"/>
          <w:shd w:val="clear" w:color="auto" w:fill="000000"/>
        </w:rPr>
        <w:t>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</w:t>
      </w:r>
      <w:r>
        <w:rPr>
          <w:rStyle w:val="Zkladntext"/>
          <w:color w:val="224685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P25V00003589. </w:t>
      </w:r>
      <w:r>
        <w:rPr>
          <w:rStyle w:val="Zkladntext"/>
        </w:rPr>
        <w:t>Přílohou faktury bude k</w:t>
      </w:r>
      <w:r>
        <w:rPr>
          <w:rStyle w:val="Zkladntext"/>
        </w:rPr>
        <w:t>opie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</w:t>
      </w:r>
      <w:r>
        <w:rPr>
          <w:rStyle w:val="Zkladntext"/>
        </w:rPr>
        <w:t>latnosti začne znovu celá běžet ode dne doručení opravené faktury kupujícímu.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 xml:space="preserve">S převodem zboží podle čl. 1 této smlouvy je spojena smluvní záruka za jeho jakost v trvání </w:t>
      </w:r>
      <w:r>
        <w:rPr>
          <w:rStyle w:val="Zkladntext"/>
          <w:b/>
          <w:bCs/>
        </w:rPr>
        <w:t xml:space="preserve">24 měsíců. </w:t>
      </w:r>
      <w:r>
        <w:rPr>
          <w:rStyle w:val="Zkladntext"/>
        </w:rPr>
        <w:t>Záruční doba nezačíná běžet dnem převzetí zboží kupujícím, ale dnem jeho uv</w:t>
      </w:r>
      <w:r>
        <w:rPr>
          <w:rStyle w:val="Zkladntext"/>
        </w:rPr>
        <w:t xml:space="preserve">edení do provozu (instalací), nejpozději však uplynutím 12 měsíců ode dne převzetí zboží kupujícím. O uvedení zboží do provozu (instalaci) bude sepsán předávací protokol, podepsaný oběma smluvními stranami. V případě uvedení zboží do provozu (instalace) v </w:t>
      </w:r>
      <w:r>
        <w:rPr>
          <w:rStyle w:val="Zkladntext"/>
        </w:rPr>
        <w:t xml:space="preserve">rámci plnění ze Smlouvy o dílo, která byla uzavřená mezi smluvními stranami dne 26. 4. 2024, je dnem uvedení do provozu (instalace) faktické plnění dle uvedené Smlouvy o dílo. V rámci této záruky se prodávající zavazuje odstraňovat vady na zboží podle čl. </w:t>
      </w:r>
      <w:r>
        <w:rPr>
          <w:rStyle w:val="Zkladntext"/>
        </w:rPr>
        <w:t>1 této smlouvy ve lhůtě do 30 pracovních dní od doručení příslušné písemné nebo e-mailové reklamace kupujícího, nebude-li v každém jednotlivém případě dohodnuto jinak.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 xml:space="preserve">Pro případ sporu o oprávněnost reklamace se kupujícímu vyhrazuje právo nechat vyhotovit </w:t>
      </w:r>
      <w:r>
        <w:rPr>
          <w:rStyle w:val="Zkladntext"/>
        </w:rPr>
        <w:t>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Neprovede-li prodávající odst</w:t>
      </w:r>
      <w:r>
        <w:rPr>
          <w:rStyle w:val="Zkladntext"/>
        </w:rPr>
        <w:t>ranění vady ve lhůtě podle čl. 8 této smlouvy, a to ani po písemné výzvě ze strany kupujícího, je kupující oprávněn nechat provést toto odstranění třetí osobou na náklady prodávajícího.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Pro případ prodlení prodávající se splněním jeho závazku k dodání zbož</w:t>
      </w:r>
      <w:r>
        <w:rPr>
          <w:rStyle w:val="Zkladntext"/>
        </w:rPr>
        <w:t>í ve lhůtě podle čl. 4 této smlouvy se prodávající zavazuje zaplatit kupujícímu smluvní pokutu ve výši 0,1 % z kupní ceny podle čl. 6 této smlouvy za každý započatý den tohoto prodlení.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Pro případ prodlení prodávajícího s odstraněním vady ve lhůtě podle čl</w:t>
      </w:r>
      <w:r>
        <w:rPr>
          <w:rStyle w:val="Zkladntext"/>
        </w:rPr>
        <w:t>. 8 této smlouvy se prodávající zavazuje zaplatit kupujícímu smluvní pokutu ve výši 0,1 % z kupní ceny podle čl. 6 této smlouvy za každý započatý den tohoto prodlení.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Pro případ prodlení se splněním jeho závazku k dodání zboží ve lhůtě podle čl. 4 této sml</w:t>
      </w:r>
      <w:r>
        <w:rPr>
          <w:rStyle w:val="Zkladntext"/>
        </w:rPr>
        <w:t xml:space="preserve">ouvy o více, než 2 týdny je kupující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 xml:space="preserve"> s tím, že nárok kupujícího na zaplacení smluvní pokuty dle čl. 11 této smlouvy, vzniklý do tohoto odstoupení, nezaniká. Stejné právo má kupující, vyskytne-li se v době</w:t>
      </w:r>
      <w:r>
        <w:rPr>
          <w:rStyle w:val="Zkladntext"/>
        </w:rPr>
        <w:t xml:space="preserve"> záruky za jakost podle čl. 8 této smlouvy na zboží podle čl. 1 této smlouvy neodstranitelná vada nebo tři a více vad, a i to postupně.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Pro případ prodlení kupujícího se zaplacením kupní ceny nebo její části ve lhůtě podle čl. 7 této smlouvy o víc, než 2 t</w:t>
      </w:r>
      <w:r>
        <w:rPr>
          <w:rStyle w:val="Zkladntext"/>
        </w:rPr>
        <w:t xml:space="preserve">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 xml:space="preserve">Není-li touto smlouvou ujednáno jinak, řídí se vzájemný právní vztah mezi kupujícím a prodávajícím při realizaci této smlouvy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2079 a násl. občanského zákoníku.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Předpokladem uz</w:t>
      </w:r>
      <w:r>
        <w:rPr>
          <w:rStyle w:val="Zkladntext"/>
        </w:rPr>
        <w:t>avření této smlouvy je její písemná forma a dohoda o jejích podstatných náležitostech, čímž se rozumí celý obsah této smlouvy, jak je uveden v čl. 1 až 22 této smlouvy.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00" w:hanging="400"/>
        <w:jc w:val="both"/>
      </w:pPr>
      <w:r>
        <w:rPr>
          <w:rStyle w:val="Zkladntext"/>
        </w:rPr>
        <w:t>Tuto smlouvu lze změnit nebo zrušit pouze písemnými číslovanými dodatky podepsanými obě</w:t>
      </w:r>
      <w:r>
        <w:rPr>
          <w:rStyle w:val="Zkladntext"/>
        </w:rPr>
        <w:t>ma stranami.</w:t>
      </w:r>
      <w:r>
        <w:br w:type="page"/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20" w:hanging="420"/>
        <w:jc w:val="both"/>
      </w:pPr>
      <w:r>
        <w:rPr>
          <w:rStyle w:val="Zkladntext"/>
        </w:rPr>
        <w:lastRenderedPageBreak/>
        <w:t xml:space="preserve">Tato smlouva bude uveřejněna prostřednictvím registru smluv postupem dle zákona č. 340/2015 Sb., o </w:t>
      </w:r>
      <w:r>
        <w:rPr>
          <w:rStyle w:val="Zkladntext"/>
          <w:i/>
          <w:iCs/>
        </w:rPr>
        <w:t>zvláštních podmínkách účinnosti některých smluv, uveřejňování těchto smluv a o registru smluv</w:t>
      </w:r>
      <w:r>
        <w:rPr>
          <w:rStyle w:val="Zkladntext"/>
        </w:rPr>
        <w:t xml:space="preserve"> (zákon o registru smluv), v platném znění. Smluvní strany se dohodly, že uveřejnění v registru smluv (ISRS) včetně uvedeni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20" w:hanging="420"/>
        <w:jc w:val="both"/>
      </w:pPr>
      <w:r>
        <w:rPr>
          <w:rStyle w:val="Zkladntext"/>
        </w:rPr>
        <w:t>Tato smlouva nabývá platnosti okamžikem jejího podpisu oběma smluvními stranami a účinnosti dnem jejího uv</w:t>
      </w:r>
      <w:r>
        <w:rPr>
          <w:rStyle w:val="Zkladntext"/>
        </w:rPr>
        <w:t>eřejnění v registru smluv dle čl. 18 této smlouvy.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20" w:hanging="420"/>
        <w:jc w:val="both"/>
      </w:pPr>
      <w:r>
        <w:rPr>
          <w:rStyle w:val="Zkladntext"/>
        </w:rPr>
        <w:t xml:space="preserve">Prodávající uděluje kupujícímu svůj výslovný souhlas se zveřejněním podmínek této smlouvy v rozsahu a za podmínek vyplývajících z příslušných právních předpisů (zejména zákona č. 106/1999 Sb., </w:t>
      </w:r>
      <w:r>
        <w:rPr>
          <w:rStyle w:val="Zkladntext"/>
          <w:i/>
          <w:iCs/>
        </w:rPr>
        <w:t xml:space="preserve">o svobodném </w:t>
      </w:r>
      <w:r>
        <w:rPr>
          <w:rStyle w:val="Zkladntext"/>
          <w:i/>
          <w:iCs/>
        </w:rPr>
        <w:t>přístupu k informacím,</w:t>
      </w:r>
      <w:r>
        <w:rPr>
          <w:rStyle w:val="Zkladntext"/>
        </w:rPr>
        <w:t xml:space="preserve"> v platném znění).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  <w:ind w:left="420" w:hanging="420"/>
        <w:jc w:val="both"/>
      </w:pPr>
      <w:r>
        <w:rPr>
          <w:rStyle w:val="Zkladntext"/>
        </w:rPr>
        <w:t xml:space="preserve">Tato smlouva se vyhotovuje ve dvou stejnopisech splatností originálu, z nichž každá ze smluvních stran obdrží jedno vyhotovení. V případě, že je tato smlouva uzavřena elektronickými prostředky, obdrží každá smluvní </w:t>
      </w:r>
      <w:r>
        <w:rPr>
          <w:rStyle w:val="Zkladntext"/>
        </w:rPr>
        <w:t>strana jeden identický elektronický soubor.</w:t>
      </w:r>
    </w:p>
    <w:p w:rsidR="007201F2" w:rsidRDefault="00866DBE">
      <w:pPr>
        <w:pStyle w:val="Zkladntext1"/>
        <w:numPr>
          <w:ilvl w:val="0"/>
          <w:numId w:val="1"/>
        </w:numPr>
        <w:tabs>
          <w:tab w:val="left" w:pos="427"/>
        </w:tabs>
      </w:pPr>
      <w:r>
        <w:rPr>
          <w:rStyle w:val="Zkladntext"/>
        </w:rPr>
        <w:t>Nedílnou součástí smlouvy jsou tyto přílohy:</w:t>
      </w:r>
    </w:p>
    <w:p w:rsidR="007201F2" w:rsidRDefault="00866DBE">
      <w:pPr>
        <w:pStyle w:val="Zkladntext1"/>
        <w:spacing w:after="1080"/>
        <w:ind w:firstLine="420"/>
      </w:pPr>
      <w:r>
        <w:rPr>
          <w:rStyle w:val="Zkladntext"/>
        </w:rPr>
        <w:t>Příloha č. 1 Seznam zboží, ceník</w:t>
      </w:r>
    </w:p>
    <w:p w:rsidR="007201F2" w:rsidRDefault="00866DBE">
      <w:pPr>
        <w:pStyle w:val="Zkladntext1"/>
        <w:spacing w:after="2160"/>
        <w:ind w:left="1520"/>
      </w:pPr>
      <w:r>
        <w:rPr>
          <w:noProof/>
          <w:lang w:bidi="ar-SA"/>
        </w:rPr>
        <mc:AlternateContent>
          <mc:Choice Requires="wps">
            <w:drawing>
              <wp:anchor distT="0" distB="1347470" distL="114300" distR="1647190" simplePos="0" relativeHeight="125829380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margin">
                  <wp:posOffset>3846830</wp:posOffset>
                </wp:positionV>
                <wp:extent cx="688975" cy="1828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1F2" w:rsidRDefault="00866DB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350000000000009pt;margin-top:302.90000000000003pt;width:54.25pt;height:14.4pt;z-index:-125829373;mso-wrap-distance-left:9.pt;mso-wrap-distance-right:129.69999999999999pt;mso-wrap-distance-bottom:106.1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Brně dne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895985" distB="180340" distL="1147445" distR="202565" simplePos="0" relativeHeight="125829382" behindDoc="0" locked="0" layoutInCell="1" allowOverlap="1">
            <wp:simplePos x="0" y="0"/>
            <wp:positionH relativeFrom="page">
              <wp:posOffset>1926590</wp:posOffset>
            </wp:positionH>
            <wp:positionV relativeFrom="margin">
              <wp:posOffset>4742815</wp:posOffset>
            </wp:positionV>
            <wp:extent cx="1103630" cy="45720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036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1569720</wp:posOffset>
                </wp:positionH>
                <wp:positionV relativeFrom="margin">
                  <wp:posOffset>4849495</wp:posOffset>
                </wp:positionV>
                <wp:extent cx="396240" cy="1219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1F2" w:rsidRDefault="00866DBE">
                            <w:pPr>
                              <w:pStyle w:val="Titulekobrzku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2"/>
                                <w:sz w:val="15"/>
                                <w:szCs w:val="1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3"/>
                                <w:sz w:val="15"/>
                                <w:szCs w:val="15"/>
                                <w:shd w:val="clear" w:color="auto" w:fill="000000"/>
                              </w:rPr>
                              <w:t>..........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23.60000000000001pt;margin-top:381.85000000000002pt;width:31.199999999999999pt;height:9.5999999999999996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pacing w:val="2"/>
                          <w:sz w:val="15"/>
                          <w:szCs w:val="15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pacing w:val="3"/>
                          <w:sz w:val="15"/>
                          <w:szCs w:val="15"/>
                          <w:shd w:val="clear" w:color="auto" w:fill="000000"/>
                        </w:rPr>
                        <w:t>..........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2512060</wp:posOffset>
                </wp:positionH>
                <wp:positionV relativeFrom="margin">
                  <wp:posOffset>4849495</wp:posOffset>
                </wp:positionV>
                <wp:extent cx="408305" cy="1250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1F2" w:rsidRDefault="00866DBE">
                            <w:pPr>
                              <w:pStyle w:val="Titulekobrzku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20"/>
                                <w:sz w:val="15"/>
                                <w:szCs w:val="15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21"/>
                                <w:sz w:val="15"/>
                                <w:szCs w:val="15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10"/>
                                <w:sz w:val="15"/>
                                <w:szCs w:val="1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4"/>
                                <w:sz w:val="15"/>
                                <w:szCs w:val="15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5"/>
                                <w:sz w:val="15"/>
                                <w:szCs w:val="15"/>
                                <w:shd w:val="clear" w:color="auto" w:fill="000000"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97.80000000000001pt;margin-top:381.85000000000002pt;width:32.149999999999999pt;height:9.8499999999999996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pacing w:val="20"/>
                          <w:sz w:val="15"/>
                          <w:szCs w:val="15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pacing w:val="21"/>
                          <w:sz w:val="15"/>
                          <w:szCs w:val="15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pacing w:val="10"/>
                          <w:sz w:val="15"/>
                          <w:szCs w:val="1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pacing w:val="4"/>
                          <w:sz w:val="15"/>
                          <w:szCs w:val="15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color w:val="000000"/>
                          <w:spacing w:val="5"/>
                          <w:sz w:val="15"/>
                          <w:szCs w:val="15"/>
                          <w:shd w:val="clear" w:color="auto" w:fill="000000"/>
                        </w:rPr>
                        <w:t>...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margin">
                  <wp:posOffset>4575175</wp:posOffset>
                </wp:positionV>
                <wp:extent cx="1679575" cy="2863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1F2" w:rsidRDefault="00866DBE">
                            <w:pPr>
                              <w:pStyle w:val="Titulekobrzku0"/>
                              <w:spacing w:line="199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.....................​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5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4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  <w:spacing w:val="4"/>
                                <w:shd w:val="clear" w:color="auto" w:fill="000000"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3.05pt;margin-top:360.25pt;width:132.25pt;height:22.5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.....................​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5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7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​..............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4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4"/>
                          <w:shd w:val="clear" w:color="auto" w:fill="000000"/>
                        </w:rPr>
                        <w:t>...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71600" distB="0" distL="114300" distR="900430" simplePos="0" relativeHeight="125829383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margin">
                  <wp:posOffset>5218430</wp:posOffset>
                </wp:positionV>
                <wp:extent cx="1435735" cy="1587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1F2" w:rsidRDefault="00866DB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0.350000000000009pt;margin-top:410.90000000000003pt;width:113.05pt;height:12.5pt;z-index:-125829370;mso-wrap-distance-left:9.pt;mso-wrap-distance-top:108.pt;mso-wrap-distance-right:70.9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MUDr. Hana Albrechtová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"/>
        </w:rPr>
        <w:t>V Blansku dne</w:t>
      </w:r>
    </w:p>
    <w:p w:rsidR="007201F2" w:rsidRDefault="00866DBE">
      <w:pPr>
        <w:pStyle w:val="Zkladntext1"/>
        <w:spacing w:after="0"/>
      </w:pPr>
      <w:r>
        <w:rPr>
          <w:rStyle w:val="Zkladntext"/>
        </w:rPr>
        <w:t>ředitelka</w:t>
      </w:r>
    </w:p>
    <w:p w:rsidR="007201F2" w:rsidRDefault="00866DBE">
      <w:pPr>
        <w:pStyle w:val="Zkladntext1"/>
        <w:sectPr w:rsidR="007201F2">
          <w:footerReference w:type="default" r:id="rId8"/>
          <w:pgSz w:w="11900" w:h="16840"/>
          <w:pgMar w:top="303" w:right="1354" w:bottom="1048" w:left="1393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4023995</wp:posOffset>
            </wp:positionH>
            <wp:positionV relativeFrom="margin">
              <wp:posOffset>4255135</wp:posOffset>
            </wp:positionV>
            <wp:extent cx="2407920" cy="1749425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0792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b/>
          <w:bCs/>
        </w:rPr>
        <w:t>Kupující</w:t>
      </w:r>
    </w:p>
    <w:p w:rsidR="007201F2" w:rsidRDefault="00866DBE">
      <w:pPr>
        <w:pStyle w:val="Zkladntext1"/>
        <w:spacing w:after="520"/>
      </w:pPr>
      <w:r>
        <w:rPr>
          <w:rStyle w:val="Zkladntext"/>
          <w:b/>
          <w:bCs/>
        </w:rPr>
        <w:lastRenderedPageBreak/>
        <w:t xml:space="preserve">Příloha č. </w:t>
      </w:r>
      <w:r>
        <w:rPr>
          <w:rStyle w:val="Zkladntext"/>
          <w:b/>
          <w:bCs/>
        </w:rPr>
        <w:t>1 Seznam zboží,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763"/>
        <w:gridCol w:w="1051"/>
        <w:gridCol w:w="1114"/>
        <w:gridCol w:w="907"/>
        <w:gridCol w:w="826"/>
        <w:gridCol w:w="3384"/>
        <w:gridCol w:w="1378"/>
        <w:gridCol w:w="1469"/>
      </w:tblGrid>
      <w:tr w:rsidR="007201F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F2" w:rsidRDefault="00866DBE">
            <w:pPr>
              <w:pStyle w:val="Jin0"/>
              <w:spacing w:after="0"/>
              <w:jc w:val="center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t>P.č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Typ náhradního dílu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Počet ks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Počet celkem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Cena/1ks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Cena celkem bez DPH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Cena celkem vč. DPH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01F2" w:rsidRDefault="007201F2"/>
        </w:tc>
        <w:tc>
          <w:tcPr>
            <w:tcW w:w="376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201F2" w:rsidRDefault="007201F2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Bohunice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Černovice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proofErr w:type="spellStart"/>
            <w:r>
              <w:rPr>
                <w:rStyle w:val="Jin"/>
                <w:b/>
                <w:bCs/>
              </w:rPr>
              <w:t>Ponava</w:t>
            </w:r>
            <w:proofErr w:type="spellEnd"/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201F2" w:rsidRDefault="007201F2"/>
        </w:tc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01F2" w:rsidRDefault="007201F2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201F2" w:rsidRDefault="007201F2"/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7201F2"/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Lamela spodní včetně gumového profilu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180"/>
              <w:jc w:val="both"/>
            </w:pPr>
            <w:r>
              <w:rPr>
                <w:rStyle w:val="Jin"/>
              </w:rPr>
              <w:t>14 620 Kč 30 850 Kč 30 850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76 320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92 347 Kč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Lamela druhá od spodu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180"/>
              <w:jc w:val="both"/>
            </w:pPr>
            <w:r>
              <w:rPr>
                <w:rStyle w:val="Jin"/>
              </w:rPr>
              <w:t>12 260 Kč 26 920 Kč 26 920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66 100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79 981 Kč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Pádová brzda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460"/>
            </w:pPr>
            <w:r>
              <w:rPr>
                <w:rStyle w:val="Ji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4 900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19 600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23 716 Kč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Pohon vrat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46 500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46 500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56 265 Kč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Pružiny vrat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18 900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37 800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45 738 Kč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Semafor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7 250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14 500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17 545 Kč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ind w:firstLine="220"/>
            </w:pPr>
            <w:r>
              <w:rPr>
                <w:rStyle w:val="Jin"/>
              </w:rPr>
              <w:t>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</w:pPr>
            <w:r>
              <w:rPr>
                <w:rStyle w:val="Jin"/>
              </w:rPr>
              <w:t>Doprava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F2" w:rsidRDefault="007201F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F2" w:rsidRDefault="007201F2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F2" w:rsidRDefault="007201F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F2" w:rsidRDefault="007201F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990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1 198 Kč</w:t>
            </w:r>
          </w:p>
        </w:tc>
      </w:tr>
      <w:tr w:rsidR="007201F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F2" w:rsidRDefault="007201F2">
            <w:pPr>
              <w:rPr>
                <w:sz w:val="10"/>
                <w:szCs w:val="10"/>
              </w:rPr>
            </w:pPr>
          </w:p>
        </w:tc>
        <w:tc>
          <w:tcPr>
            <w:tcW w:w="11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both"/>
            </w:pPr>
            <w:r>
              <w:rPr>
                <w:rStyle w:val="Jin"/>
                <w:b/>
                <w:bCs/>
              </w:rPr>
              <w:t>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261 810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F2" w:rsidRDefault="00866DBE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316 790 Kč</w:t>
            </w:r>
          </w:p>
        </w:tc>
      </w:tr>
    </w:tbl>
    <w:p w:rsidR="007201F2" w:rsidRDefault="007201F2">
      <w:pPr>
        <w:spacing w:after="5679" w:line="1" w:lineRule="exact"/>
      </w:pPr>
    </w:p>
    <w:p w:rsidR="007201F2" w:rsidRDefault="00866DBE">
      <w:pPr>
        <w:pStyle w:val="Zkladntext1"/>
        <w:spacing w:after="0"/>
      </w:pPr>
      <w:r>
        <w:rPr>
          <w:rStyle w:val="Zkladntext"/>
          <w:i/>
          <w:iCs/>
        </w:rPr>
        <w:t>Veřejná zakázka 44_2025: Náhradní díly pro opravu garážových vrat</w:t>
      </w:r>
    </w:p>
    <w:sectPr w:rsidR="007201F2">
      <w:footerReference w:type="default" r:id="rId10"/>
      <w:pgSz w:w="16840" w:h="11900" w:orient="landscape"/>
      <w:pgMar w:top="1389" w:right="1189" w:bottom="403" w:left="1193" w:header="9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BE" w:rsidRDefault="00866DBE">
      <w:r>
        <w:separator/>
      </w:r>
    </w:p>
  </w:endnote>
  <w:endnote w:type="continuationSeparator" w:id="0">
    <w:p w:rsidR="00866DBE" w:rsidRDefault="0086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F2" w:rsidRDefault="00866D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10211435</wp:posOffset>
              </wp:positionV>
              <wp:extent cx="3895090" cy="1250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0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1F2" w:rsidRDefault="00866DB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>Veřejná zakázka 44_2025 : Náhradní díly pro opravu garážových vrat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3.700000000000003pt;margin-top:804.05000000000007pt;width:306.69999999999999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5"/>
                        <w:rFonts w:ascii="Arial" w:eastAsia="Arial" w:hAnsi="Arial" w:cs="Arial"/>
                        <w:i/>
                        <w:iCs/>
                      </w:rPr>
                      <w:t>Veřejná zakázka 44_2025 : Náhradní díly pro opravu garážových vrat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F2" w:rsidRDefault="007201F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BE" w:rsidRDefault="00866DBE"/>
  </w:footnote>
  <w:footnote w:type="continuationSeparator" w:id="0">
    <w:p w:rsidR="00866DBE" w:rsidRDefault="00866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5C5D"/>
    <w:multiLevelType w:val="multilevel"/>
    <w:tmpl w:val="495E33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F2"/>
    <w:rsid w:val="007201F2"/>
    <w:rsid w:val="00866DBE"/>
    <w:rsid w:val="00B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39986-6AFB-42CC-934A-A696C90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color w:val="3D67D8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68"/>
      <w:szCs w:val="6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18" w:lineRule="auto"/>
    </w:pPr>
    <w:rPr>
      <w:rFonts w:ascii="Calibri" w:eastAsia="Calibri" w:hAnsi="Calibri" w:cs="Calibri"/>
      <w:b/>
      <w:bCs/>
      <w:color w:val="3D67D8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40"/>
      <w:jc w:val="center"/>
      <w:outlineLvl w:val="0"/>
    </w:pPr>
    <w:rPr>
      <w:rFonts w:ascii="Arial" w:eastAsia="Arial" w:hAnsi="Arial" w:cs="Arial"/>
      <w:w w:val="60"/>
      <w:sz w:val="68"/>
      <w:szCs w:val="6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4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Jin0">
    <w:name w:val="Jiné"/>
    <w:basedOn w:val="Normln"/>
    <w:link w:val="Jin"/>
    <w:pPr>
      <w:spacing w:after="14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1220</Words>
  <Characters>7199</Characters>
  <Application>Microsoft Office Word</Application>
  <DocSecurity>0</DocSecurity>
  <Lines>59</Lines>
  <Paragraphs>16</Paragraphs>
  <ScaleCrop>false</ScaleCrop>
  <Company>HP Inc.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2025-10-30T17:21:00Z</dcterms:created>
  <dcterms:modified xsi:type="dcterms:W3CDTF">2025-10-30T17:23:00Z</dcterms:modified>
</cp:coreProperties>
</file>