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64080" cy="1917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191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POH/45624/2025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22.10.2025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tbl>
      <w:tblPr>
        <w:tblOverlap w:val="never"/>
        <w:jc w:val="center"/>
        <w:tblLayout w:type="fixed"/>
      </w:tblPr>
      <w:tblGrid>
        <w:gridCol w:w="3336"/>
        <w:gridCol w:w="6269"/>
      </w:tblGrid>
      <w:tr>
        <w:trPr>
          <w:trHeight w:val="10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objednávky: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Požadovaný termín dodání: Předpokládaná cena Kč bez DPH: DlHM inv. č.: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101064/170/2025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12.12.2025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94 600,00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600019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pokácení 34 ks stromů na p.p.č. 2611/11 - bývalý náhon Břehnického potoka. Rozsah prací a cena viz poptávkové řízení ze dne 20.10.2025. Veškerá využitelná dřevní hmota 13,59 plm bude odkoupena za cenu 750,00 Kč á 1 plm. a při fakturaci bude proveden vzájemný zápočet.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</w:t>
        <w:tab/>
        <w:t>600019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3" w:val="left"/>
        </w:tabs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 xml:space="preserve">služební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1118" w:left="1113" w:right="1190" w:bottom="1118" w:header="690" w:footer="6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