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60905" cy="2044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0905" cy="204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POH/44561/2025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08.09.2025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101048/368/2025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19.12.2025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64 164,00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87244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protikorozní ochrany rozstřikovacích uzávěrů VD Horka na pozici bez demontáže – místa s poškozenou protikorozní ochrannou na výtokovém kuželu a přístupných místech žeber, tělesa levého a pravého uzávěru. Oprava přístupných lokálních poruch PKO na vnějším povrchu obou uzávěrů v rozsahu cca 20 – 30 % (ne všechna místa jsou pro opravu přístupná).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provedeno: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vhodné teploty při aplikaci (zaplachtování prostoru + temperování)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Mechanické očištění povrchu v místech poškozené protikorozní ochrany, místním ručním nebo mechanizovaným čištěním dříve natřených povrchů.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Vyplnění míst s úbytkem materiálu nad 0,5 mm (po obvodu výtokové hrany kužele) opravným kovem Belzona 1311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 ploch s poškozeným PKO vodným ochranným nátěrovým systémem (Belzona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1321, Hempadur 35560)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je třeba provádět v koordinaci s obsluhou VD.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1099" w:left="1113" w:right="1267" w:bottom="1099" w:header="671" w:footer="67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