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CF1" w14:textId="6D3882B5" w:rsidR="00D827EC" w:rsidRPr="00D827EC" w:rsidRDefault="0070156F" w:rsidP="00D827EC">
      <w:pPr>
        <w:jc w:val="center"/>
        <w:rPr>
          <w:rFonts w:ascii="Times New Roman" w:hAnsi="Times New Roman" w:cs="Times New Roman"/>
          <w:b/>
          <w:sz w:val="28"/>
        </w:rPr>
      </w:pPr>
      <w:bookmarkStart w:id="0" w:name="_Toc196810167"/>
      <w:r>
        <w:rPr>
          <w:rFonts w:ascii="Times New Roman" w:hAnsi="Times New Roman" w:cs="Times New Roman"/>
          <w:b/>
          <w:sz w:val="28"/>
        </w:rPr>
        <w:t xml:space="preserve">  </w:t>
      </w:r>
      <w:r w:rsidR="00D827EC" w:rsidRPr="00D827EC">
        <w:rPr>
          <w:rFonts w:ascii="Times New Roman" w:hAnsi="Times New Roman" w:cs="Times New Roman"/>
          <w:b/>
          <w:sz w:val="28"/>
        </w:rPr>
        <w:t xml:space="preserve">Smlouva o </w:t>
      </w:r>
      <w:bookmarkEnd w:id="0"/>
      <w:r w:rsidR="00D827EC" w:rsidRPr="00D827EC">
        <w:rPr>
          <w:rFonts w:ascii="Times New Roman" w:hAnsi="Times New Roman" w:cs="Times New Roman"/>
          <w:b/>
          <w:sz w:val="28"/>
        </w:rPr>
        <w:t>účasti na řešení projektu</w:t>
      </w:r>
    </w:p>
    <w:p w14:paraId="43C63472" w14:textId="77777777" w:rsidR="00D827EC" w:rsidRPr="00D827EC" w:rsidRDefault="00D827EC" w:rsidP="00D827EC">
      <w:pPr>
        <w:jc w:val="both"/>
        <w:rPr>
          <w:rFonts w:ascii="Times New Roman" w:hAnsi="Times New Roman" w:cs="Times New Roman"/>
          <w:b/>
        </w:rPr>
      </w:pPr>
    </w:p>
    <w:p w14:paraId="25D6CA6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3C20058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338198D0" w14:textId="77777777" w:rsidR="00D827EC" w:rsidRPr="00D827EC" w:rsidRDefault="00D827EC" w:rsidP="00D827EC">
      <w:pPr>
        <w:jc w:val="both"/>
        <w:rPr>
          <w:rFonts w:ascii="Times New Roman" w:hAnsi="Times New Roman" w:cs="Times New Roman"/>
          <w:sz w:val="24"/>
          <w:szCs w:val="24"/>
        </w:rPr>
      </w:pPr>
    </w:p>
    <w:p w14:paraId="3E84D904" w14:textId="77777777" w:rsidR="004266C5" w:rsidRDefault="004266C5" w:rsidP="004266C5">
      <w:pPr>
        <w:spacing w:after="0" w:line="240" w:lineRule="auto"/>
        <w:rPr>
          <w:rFonts w:ascii="Times New Roman" w:eastAsia="Times New Roman" w:hAnsi="Times New Roman" w:cs="Times New Roman"/>
          <w:b/>
          <w:color w:val="000000"/>
          <w:sz w:val="24"/>
          <w:szCs w:val="24"/>
          <w:lang w:eastAsia="cs-CZ"/>
        </w:rPr>
      </w:pPr>
      <w:r w:rsidRPr="003104FF">
        <w:rPr>
          <w:rFonts w:ascii="Times New Roman" w:eastAsia="Times New Roman" w:hAnsi="Times New Roman" w:cs="Times New Roman"/>
          <w:b/>
          <w:color w:val="000000"/>
          <w:sz w:val="24"/>
          <w:szCs w:val="24"/>
          <w:lang w:eastAsia="cs-CZ"/>
        </w:rPr>
        <w:t>ORGREZ, a. s.</w:t>
      </w:r>
    </w:p>
    <w:p w14:paraId="71302361" w14:textId="4FE5D0B7" w:rsidR="004266C5" w:rsidRPr="00D827EC" w:rsidRDefault="004266C5" w:rsidP="004266C5">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Pr="003104FF">
        <w:rPr>
          <w:rFonts w:ascii="Times New Roman" w:eastAsia="Times New Roman" w:hAnsi="Times New Roman" w:cs="Times New Roman"/>
          <w:bCs/>
          <w:color w:val="000000"/>
          <w:sz w:val="24"/>
          <w:szCs w:val="24"/>
          <w:lang w:eastAsia="cs-CZ"/>
        </w:rPr>
        <w:t>Hudcova 321/76, Medlánky, 612 00 Brno</w:t>
      </w:r>
    </w:p>
    <w:p w14:paraId="5ECA42E9" w14:textId="1C62DEC8" w:rsidR="004266C5" w:rsidRPr="00D827EC" w:rsidRDefault="004266C5" w:rsidP="004266C5">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A52568">
        <w:rPr>
          <w:rFonts w:ascii="Times New Roman" w:eastAsia="Times New Roman" w:hAnsi="Times New Roman" w:cs="Times New Roman"/>
          <w:bCs/>
          <w:color w:val="000000"/>
          <w:sz w:val="24"/>
          <w:szCs w:val="24"/>
          <w:lang w:eastAsia="cs-CZ"/>
        </w:rPr>
        <w:t>x</w:t>
      </w:r>
      <w:r>
        <w:rPr>
          <w:rFonts w:ascii="Times New Roman" w:eastAsia="Times New Roman" w:hAnsi="Times New Roman" w:cs="Times New Roman"/>
          <w:bCs/>
          <w:color w:val="000000"/>
          <w:sz w:val="24"/>
          <w:szCs w:val="24"/>
          <w:lang w:eastAsia="cs-CZ"/>
        </w:rPr>
        <w:t>, prokuristou</w:t>
      </w:r>
    </w:p>
    <w:p w14:paraId="1075DC75" w14:textId="4C514CC1" w:rsidR="004266C5" w:rsidRPr="00D827EC" w:rsidRDefault="004266C5" w:rsidP="004266C5">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w:t>
      </w:r>
      <w:r>
        <w:rPr>
          <w:rFonts w:ascii="Times New Roman" w:eastAsia="Times New Roman" w:hAnsi="Times New Roman" w:cs="Times New Roman"/>
          <w:bCs/>
          <w:color w:val="000000"/>
          <w:sz w:val="24"/>
          <w:szCs w:val="24"/>
          <w:lang w:eastAsia="cs-CZ"/>
        </w:rPr>
        <w:t xml:space="preserve">v obchodním rejstříku </w:t>
      </w:r>
      <w:r w:rsidRPr="00D827EC">
        <w:rPr>
          <w:rFonts w:ascii="Times New Roman" w:eastAsia="Times New Roman" w:hAnsi="Times New Roman" w:cs="Times New Roman"/>
          <w:bCs/>
          <w:color w:val="000000"/>
          <w:sz w:val="24"/>
          <w:szCs w:val="24"/>
          <w:lang w:eastAsia="cs-CZ"/>
        </w:rPr>
        <w:t xml:space="preserve">u </w:t>
      </w:r>
      <w:r>
        <w:rPr>
          <w:rFonts w:ascii="Times New Roman" w:eastAsia="Times New Roman" w:hAnsi="Times New Roman" w:cs="Times New Roman"/>
          <w:bCs/>
          <w:color w:val="000000"/>
          <w:sz w:val="24"/>
          <w:szCs w:val="24"/>
          <w:lang w:eastAsia="cs-CZ"/>
        </w:rPr>
        <w:t>Krajského</w:t>
      </w:r>
      <w:r w:rsidRPr="00D827EC">
        <w:rPr>
          <w:rFonts w:ascii="Times New Roman" w:eastAsia="Times New Roman" w:hAnsi="Times New Roman" w:cs="Times New Roman"/>
          <w:bCs/>
          <w:color w:val="000000"/>
          <w:sz w:val="24"/>
          <w:szCs w:val="24"/>
          <w:lang w:eastAsia="cs-CZ"/>
        </w:rPr>
        <w:t xml:space="preserve"> soudu v</w:t>
      </w:r>
      <w:r>
        <w:rPr>
          <w:rFonts w:ascii="Times New Roman" w:eastAsia="Times New Roman" w:hAnsi="Times New Roman" w:cs="Times New Roman"/>
          <w:bCs/>
          <w:color w:val="000000"/>
          <w:sz w:val="24"/>
          <w:szCs w:val="24"/>
          <w:lang w:eastAsia="cs-CZ"/>
        </w:rPr>
        <w:t xml:space="preserve"> Brně</w:t>
      </w:r>
      <w:r w:rsidRPr="00D827EC">
        <w:rPr>
          <w:rFonts w:ascii="Times New Roman" w:eastAsia="Times New Roman" w:hAnsi="Times New Roman" w:cs="Times New Roman"/>
          <w:bCs/>
          <w:color w:val="000000"/>
          <w:sz w:val="24"/>
          <w:szCs w:val="24"/>
          <w:lang w:eastAsia="cs-CZ"/>
        </w:rPr>
        <w:t xml:space="preserve">, spisová značka </w:t>
      </w:r>
      <w:r>
        <w:rPr>
          <w:rFonts w:ascii="Times New Roman" w:eastAsia="Times New Roman" w:hAnsi="Times New Roman" w:cs="Times New Roman"/>
          <w:bCs/>
          <w:color w:val="000000"/>
          <w:sz w:val="24"/>
          <w:szCs w:val="24"/>
          <w:lang w:eastAsia="cs-CZ"/>
        </w:rPr>
        <w:t>B852</w:t>
      </w:r>
    </w:p>
    <w:p w14:paraId="149738FE" w14:textId="77777777" w:rsidR="004266C5" w:rsidRDefault="004266C5" w:rsidP="004266C5">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IČ</w:t>
      </w:r>
      <w:r>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r w:rsidRPr="003104FF">
        <w:rPr>
          <w:rFonts w:ascii="Times New Roman" w:eastAsia="Times New Roman" w:hAnsi="Times New Roman" w:cs="Times New Roman"/>
          <w:bCs/>
          <w:color w:val="000000"/>
          <w:sz w:val="24"/>
          <w:szCs w:val="24"/>
          <w:lang w:eastAsia="cs-CZ"/>
        </w:rPr>
        <w:t>46900829</w:t>
      </w:r>
    </w:p>
    <w:p w14:paraId="08721C81" w14:textId="6000DC8A" w:rsidR="004266C5" w:rsidRDefault="004266C5" w:rsidP="004266C5">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bankovní spojení: </w:t>
      </w:r>
      <w:r w:rsidRPr="003104FF">
        <w:rPr>
          <w:rFonts w:ascii="Times New Roman" w:eastAsia="Times New Roman" w:hAnsi="Times New Roman" w:cs="Times New Roman"/>
          <w:bCs/>
          <w:color w:val="000000"/>
          <w:sz w:val="24"/>
          <w:szCs w:val="24"/>
          <w:lang w:eastAsia="cs-CZ"/>
        </w:rPr>
        <w:t>Raiffeisenbank a.s.</w:t>
      </w:r>
      <w:r>
        <w:rPr>
          <w:rFonts w:ascii="Times New Roman" w:eastAsia="Times New Roman" w:hAnsi="Times New Roman" w:cs="Times New Roman"/>
          <w:bCs/>
          <w:color w:val="000000"/>
          <w:sz w:val="24"/>
          <w:szCs w:val="24"/>
          <w:lang w:eastAsia="cs-CZ"/>
        </w:rPr>
        <w:t>, pobočka Česká 12, 602 00 Brno</w:t>
      </w:r>
    </w:p>
    <w:p w14:paraId="1CBC2522" w14:textId="03903B59" w:rsidR="004266C5" w:rsidRPr="00D827EC" w:rsidRDefault="004266C5" w:rsidP="004266C5">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č. účtu: </w:t>
      </w:r>
      <w:r w:rsidR="00A52568">
        <w:rPr>
          <w:rFonts w:ascii="Times New Roman" w:eastAsia="Times New Roman" w:hAnsi="Times New Roman" w:cs="Times New Roman"/>
          <w:bCs/>
          <w:color w:val="000000"/>
          <w:sz w:val="24"/>
          <w:szCs w:val="24"/>
          <w:lang w:eastAsia="cs-CZ"/>
        </w:rPr>
        <w:t>x</w:t>
      </w:r>
    </w:p>
    <w:p w14:paraId="122B8C2A"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2BACD351"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20339CC6"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7712234E"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0DE15D34"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19C13CBB"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25438530" w14:textId="39C8C6B4"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A52568">
        <w:rPr>
          <w:rFonts w:ascii="Times New Roman" w:eastAsia="Times New Roman" w:hAnsi="Times New Roman" w:cs="Times New Roman"/>
          <w:bCs/>
          <w:color w:val="000000"/>
          <w:sz w:val="24"/>
          <w:szCs w:val="24"/>
          <w:lang w:eastAsia="cs-CZ"/>
        </w:rPr>
        <w:t>x</w:t>
      </w:r>
      <w:r w:rsidRPr="00D827EC">
        <w:rPr>
          <w:rFonts w:ascii="Times New Roman" w:eastAsia="Times New Roman" w:hAnsi="Times New Roman" w:cs="Times New Roman"/>
          <w:bCs/>
          <w:color w:val="000000"/>
          <w:sz w:val="24"/>
          <w:szCs w:val="24"/>
          <w:lang w:eastAsia="cs-CZ"/>
        </w:rPr>
        <w:t xml:space="preserve">., prorektorem pro </w:t>
      </w:r>
      <w:r w:rsidR="00BD0C6F">
        <w:rPr>
          <w:rFonts w:ascii="Times New Roman" w:eastAsia="Times New Roman" w:hAnsi="Times New Roman" w:cs="Times New Roman"/>
          <w:bCs/>
          <w:color w:val="000000"/>
          <w:sz w:val="24"/>
          <w:szCs w:val="24"/>
          <w:lang w:eastAsia="cs-CZ"/>
        </w:rPr>
        <w:t>tvůrčí činnost a doktorské studium</w:t>
      </w:r>
    </w:p>
    <w:p w14:paraId="7C53A4AA" w14:textId="77777777" w:rsidR="003104FF"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r w:rsidR="00632B30">
        <w:rPr>
          <w:rFonts w:ascii="Times New Roman" w:eastAsia="Times New Roman" w:hAnsi="Times New Roman" w:cs="Times New Roman"/>
          <w:bCs/>
          <w:color w:val="000000"/>
          <w:sz w:val="24"/>
          <w:szCs w:val="24"/>
          <w:lang w:eastAsia="cs-CZ"/>
        </w:rPr>
        <w:t xml:space="preserve"> </w:t>
      </w:r>
    </w:p>
    <w:p w14:paraId="2A593F35" w14:textId="1A103F28" w:rsidR="00D827EC" w:rsidRPr="00D827EC" w:rsidRDefault="00632B30"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w:t>
      </w:r>
      <w:r w:rsidR="00C00179">
        <w:rPr>
          <w:rFonts w:ascii="Times New Roman" w:eastAsia="Times New Roman" w:hAnsi="Times New Roman" w:cs="Times New Roman"/>
          <w:bCs/>
          <w:color w:val="000000"/>
          <w:sz w:val="24"/>
          <w:szCs w:val="24"/>
          <w:lang w:eastAsia="cs-CZ"/>
        </w:rPr>
        <w:t>eřejná vysoká škola dle zákona č. 111/1998 Sb., v platném znění</w:t>
      </w:r>
    </w:p>
    <w:p w14:paraId="174396DC" w14:textId="77777777" w:rsidR="00236B08"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 xml:space="preserve">Komerční banka a.s., pobočka Plzeň – město, </w:t>
      </w:r>
    </w:p>
    <w:p w14:paraId="3CDA93A5" w14:textId="3440AB26"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č. účtu: </w:t>
      </w:r>
      <w:r w:rsidR="00A52568">
        <w:rPr>
          <w:rFonts w:ascii="Times New Roman" w:eastAsia="Times New Roman" w:hAnsi="Times New Roman" w:cs="Times New Roman"/>
          <w:bCs/>
          <w:color w:val="000000"/>
          <w:sz w:val="24"/>
          <w:szCs w:val="24"/>
          <w:lang w:eastAsia="cs-CZ"/>
        </w:rPr>
        <w:t>x</w:t>
      </w:r>
    </w:p>
    <w:p w14:paraId="285EEE0B" w14:textId="144742F7" w:rsidR="00D827EC" w:rsidRDefault="00D827EC" w:rsidP="00632B30">
      <w:pPr>
        <w:spacing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4A494AF2" w14:textId="77777777" w:rsidR="007E55D7" w:rsidRPr="00D827EC" w:rsidRDefault="007E55D7" w:rsidP="00D827EC">
      <w:pPr>
        <w:spacing w:after="0" w:line="240" w:lineRule="auto"/>
        <w:rPr>
          <w:rFonts w:ascii="Times New Roman" w:eastAsia="Times New Roman" w:hAnsi="Times New Roman" w:cs="Times New Roman"/>
          <w:bCs/>
          <w:color w:val="000000"/>
          <w:sz w:val="24"/>
          <w:szCs w:val="24"/>
          <w:lang w:eastAsia="cs-CZ"/>
        </w:rPr>
      </w:pPr>
    </w:p>
    <w:p w14:paraId="6C32443D" w14:textId="2953C1D9"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 xml:space="preserve">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D13C8F6" w14:textId="77777777" w:rsidR="00117ACF" w:rsidRDefault="00117A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07881531" w14:textId="72979A9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0AA1BD4A"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79E7741B" w14:textId="10F3CDBF"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usilují o poskytnutí dotace pro projekt s názvem </w:t>
      </w:r>
      <w:r w:rsidRPr="001079D5">
        <w:rPr>
          <w:rFonts w:ascii="Times New Roman" w:hAnsi="Times New Roman" w:cs="Times New Roman"/>
          <w:color w:val="000000" w:themeColor="text1"/>
          <w:sz w:val="24"/>
          <w:szCs w:val="24"/>
        </w:rPr>
        <w:t>"</w:t>
      </w:r>
      <w:r w:rsidR="006A010D">
        <w:rPr>
          <w:rFonts w:ascii="Times New Roman" w:hAnsi="Times New Roman" w:cs="Times New Roman"/>
          <w:color w:val="000000" w:themeColor="text1"/>
          <w:sz w:val="24"/>
          <w:szCs w:val="24"/>
        </w:rPr>
        <w:t>REGOL 2.0</w:t>
      </w:r>
      <w:r w:rsidR="00916494">
        <w:rPr>
          <w:rFonts w:ascii="Times New Roman" w:hAnsi="Times New Roman" w:cs="Times New Roman"/>
          <w:color w:val="000000" w:themeColor="text1"/>
          <w:sz w:val="24"/>
          <w:szCs w:val="24"/>
        </w:rPr>
        <w:t>“</w:t>
      </w:r>
      <w:r w:rsidRPr="00D827EC">
        <w:rPr>
          <w:rFonts w:ascii="Times New Roman" w:hAnsi="Times New Roman" w:cs="Times New Roman"/>
          <w:sz w:val="24"/>
          <w:szCs w:val="24"/>
        </w:rPr>
        <w:t xml:space="preserve"> (dále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podpory </w:t>
      </w:r>
      <w:proofErr w:type="spellStart"/>
      <w:r w:rsidR="00D914DF">
        <w:rPr>
          <w:rFonts w:ascii="Times New Roman" w:hAnsi="Times New Roman" w:cs="Times New Roman"/>
          <w:sz w:val="24"/>
          <w:szCs w:val="24"/>
        </w:rPr>
        <w:t>Proof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Concept</w:t>
      </w:r>
      <w:proofErr w:type="spellEnd"/>
      <w:r w:rsidR="00D914DF">
        <w:rPr>
          <w:rFonts w:ascii="Times New Roman" w:hAnsi="Times New Roman" w:cs="Times New Roman"/>
          <w:sz w:val="24"/>
          <w:szCs w:val="24"/>
        </w:rPr>
        <w:t xml:space="preserve"> – výzva III</w:t>
      </w:r>
      <w:r w:rsidRPr="00D827EC">
        <w:rPr>
          <w:rFonts w:ascii="Times New Roman" w:hAnsi="Times New Roman" w:cs="Times New Roman"/>
          <w:sz w:val="24"/>
          <w:szCs w:val="24"/>
        </w:rPr>
        <w:t>. V této souvislosti smluvní strany pro případ, že Ministerstvo průmyslu a obchodu (dále jen „poskytovatel“) rozhodne o podpoření projektu a vydá Rozhodnutí o poskytnutí dotace</w:t>
      </w:r>
      <w:r w:rsidR="0026652C">
        <w:rPr>
          <w:rFonts w:ascii="Times New Roman" w:hAnsi="Times New Roman" w:cs="Times New Roman"/>
          <w:sz w:val="24"/>
          <w:szCs w:val="24"/>
        </w:rPr>
        <w:t xml:space="preserve"> (dále jen „Rozhodnutí o poskytnutí dotace“)</w:t>
      </w:r>
      <w:r w:rsidRPr="00D827EC">
        <w:rPr>
          <w:rFonts w:ascii="Times New Roman" w:hAnsi="Times New Roman" w:cs="Times New Roman"/>
          <w:sz w:val="24"/>
          <w:szCs w:val="24"/>
        </w:rPr>
        <w:t xml:space="preserve">, uzavírají tuto smlouvu. </w:t>
      </w:r>
    </w:p>
    <w:p w14:paraId="3F5E20CD" w14:textId="29243CAC"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právního postavení příjemce a další</w:t>
      </w:r>
      <w:r w:rsidR="00C9236A">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236A">
        <w:rPr>
          <w:rFonts w:ascii="Times New Roman" w:hAnsi="Times New Roman" w:cs="Times New Roman"/>
          <w:sz w:val="24"/>
          <w:szCs w:val="24"/>
        </w:rPr>
        <w:t>a</w:t>
      </w:r>
      <w:r w:rsidRPr="00D827EC">
        <w:rPr>
          <w:rFonts w:ascii="Times New Roman" w:hAnsi="Times New Roman" w:cs="Times New Roman"/>
          <w:sz w:val="24"/>
          <w:szCs w:val="24"/>
        </w:rPr>
        <w:t xml:space="preserve">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191D2F04" w14:textId="06B192DA" w:rsid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Předmětem této </w:t>
      </w:r>
      <w:r w:rsidR="0026652C">
        <w:rPr>
          <w:rFonts w:ascii="Times New Roman" w:hAnsi="Times New Roman" w:cs="Times New Roman"/>
          <w:sz w:val="24"/>
          <w:szCs w:val="24"/>
        </w:rPr>
        <w:t>s</w:t>
      </w:r>
      <w:r w:rsidRPr="00D827EC">
        <w:rPr>
          <w:rFonts w:ascii="Times New Roman" w:hAnsi="Times New Roman" w:cs="Times New Roman"/>
          <w:sz w:val="24"/>
          <w:szCs w:val="24"/>
        </w:rPr>
        <w:t>mlouvy je dále vymezení podmínek, za kterých bude příjemcem poskytnuta část účelových finančních prostředků dalším</w:t>
      </w:r>
      <w:r w:rsidR="00C9236A">
        <w:rPr>
          <w:rFonts w:ascii="Times New Roman" w:hAnsi="Times New Roman" w:cs="Times New Roman"/>
          <w:sz w:val="24"/>
          <w:szCs w:val="24"/>
        </w:rPr>
        <w:t>u</w:t>
      </w:r>
      <w:r w:rsidRPr="00D827EC">
        <w:rPr>
          <w:rFonts w:ascii="Times New Roman" w:hAnsi="Times New Roman" w:cs="Times New Roman"/>
          <w:sz w:val="24"/>
          <w:szCs w:val="24"/>
        </w:rPr>
        <w:t xml:space="preserve"> účastník</w:t>
      </w:r>
      <w:r w:rsidR="00C9236A">
        <w:rPr>
          <w:rFonts w:ascii="Times New Roman" w:hAnsi="Times New Roman" w:cs="Times New Roman"/>
          <w:sz w:val="24"/>
          <w:szCs w:val="24"/>
        </w:rPr>
        <w:t>ovi p</w:t>
      </w:r>
      <w:r w:rsidRPr="00D827EC">
        <w:rPr>
          <w:rFonts w:ascii="Times New Roman" w:hAnsi="Times New Roman" w:cs="Times New Roman"/>
          <w:sz w:val="24"/>
          <w:szCs w:val="24"/>
        </w:rPr>
        <w:t>rojektu.</w:t>
      </w:r>
    </w:p>
    <w:p w14:paraId="68A7AA6B" w14:textId="77777777" w:rsidR="002432EA" w:rsidRPr="00D827EC" w:rsidRDefault="002432EA" w:rsidP="002432EA">
      <w:pPr>
        <w:spacing w:after="120" w:line="240" w:lineRule="auto"/>
        <w:ind w:left="357"/>
        <w:jc w:val="both"/>
        <w:rPr>
          <w:rFonts w:ascii="Times New Roman" w:hAnsi="Times New Roman" w:cs="Times New Roman"/>
          <w:sz w:val="24"/>
          <w:szCs w:val="24"/>
        </w:rPr>
      </w:pPr>
    </w:p>
    <w:p w14:paraId="0FA17E6E" w14:textId="77777777" w:rsidR="00D827EC" w:rsidRPr="00D827EC" w:rsidRDefault="00D827EC" w:rsidP="00421A10">
      <w:pPr>
        <w:spacing w:before="240"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417BEA7F"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49DFEE3E" w14:textId="5CE5FAAE"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Každá ze smluvních stran je povinna jednat způsobem, který neohrožuje realizaci projektu a zájmy příjemce a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 </w:t>
      </w:r>
    </w:p>
    <w:p w14:paraId="2EC38DC7" w14:textId="6854BDA6" w:rsidR="00651BFA"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w:t>
      </w:r>
      <w:r w:rsidR="00C9236A">
        <w:rPr>
          <w:rFonts w:ascii="Times New Roman" w:hAnsi="Times New Roman" w:cs="Times New Roman"/>
          <w:sz w:val="24"/>
          <w:szCs w:val="24"/>
        </w:rPr>
        <w:t>k</w:t>
      </w:r>
      <w:r w:rsidRPr="00D827EC">
        <w:rPr>
          <w:rFonts w:ascii="Times New Roman" w:hAnsi="Times New Roman" w:cs="Times New Roman"/>
          <w:sz w:val="24"/>
          <w:szCs w:val="24"/>
        </w:rPr>
        <w:t xml:space="preserve">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touto smlouvou</w:t>
      </w:r>
      <w:r w:rsidR="00DA6A0E">
        <w:rPr>
          <w:rFonts w:ascii="Times New Roman" w:hAnsi="Times New Roman" w:cs="Times New Roman"/>
          <w:sz w:val="24"/>
          <w:szCs w:val="24"/>
        </w:rPr>
        <w:t xml:space="preserve"> a zadávací dokumentací poskytovatele </w:t>
      </w:r>
      <w:r w:rsidR="004266C5">
        <w:rPr>
          <w:rFonts w:ascii="Times New Roman" w:hAnsi="Times New Roman" w:cs="Times New Roman"/>
          <w:sz w:val="24"/>
          <w:szCs w:val="24"/>
        </w:rPr>
        <w:t>–</w:t>
      </w:r>
      <w:r w:rsidRPr="00D827EC">
        <w:rPr>
          <w:rFonts w:ascii="Times New Roman" w:hAnsi="Times New Roman" w:cs="Times New Roman"/>
          <w:sz w:val="24"/>
          <w:szCs w:val="24"/>
        </w:rPr>
        <w:t xml:space="preserve">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programu </w:t>
      </w:r>
      <w:proofErr w:type="spellStart"/>
      <w:r w:rsidR="00D914DF">
        <w:rPr>
          <w:rFonts w:ascii="Times New Roman" w:hAnsi="Times New Roman" w:cs="Times New Roman"/>
          <w:sz w:val="24"/>
          <w:szCs w:val="24"/>
        </w:rPr>
        <w:t>Proof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Concept</w:t>
      </w:r>
      <w:proofErr w:type="spellEnd"/>
      <w:r w:rsidRPr="00D827EC">
        <w:rPr>
          <w:rFonts w:ascii="Times New Roman" w:hAnsi="Times New Roman" w:cs="Times New Roman"/>
          <w:sz w:val="24"/>
          <w:szCs w:val="24"/>
        </w:rPr>
        <w:t xml:space="preserve">, vč. jejích příloh a navazující dokumentace (dále </w:t>
      </w:r>
      <w:r w:rsidR="00DA6A0E">
        <w:rPr>
          <w:rFonts w:ascii="Times New Roman" w:hAnsi="Times New Roman" w:cs="Times New Roman"/>
          <w:sz w:val="24"/>
          <w:szCs w:val="24"/>
        </w:rPr>
        <w:t>jen „</w:t>
      </w:r>
      <w:r w:rsidRPr="00D827EC">
        <w:rPr>
          <w:rFonts w:ascii="Times New Roman" w:hAnsi="Times New Roman" w:cs="Times New Roman"/>
          <w:sz w:val="24"/>
          <w:szCs w:val="24"/>
        </w:rPr>
        <w:t>zadávací dokumentace“)</w:t>
      </w:r>
      <w:r w:rsidR="00DA6A0E">
        <w:rPr>
          <w:rFonts w:ascii="Times New Roman" w:hAnsi="Times New Roman" w:cs="Times New Roman"/>
          <w:sz w:val="24"/>
          <w:szCs w:val="24"/>
        </w:rPr>
        <w:t xml:space="preserve">.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w:t>
      </w:r>
      <w:r w:rsidR="00C97349">
        <w:rPr>
          <w:rFonts w:ascii="Times New Roman" w:hAnsi="Times New Roman" w:cs="Times New Roman"/>
          <w:sz w:val="24"/>
          <w:szCs w:val="24"/>
        </w:rPr>
        <w:t>k</w:t>
      </w:r>
      <w:r w:rsidRPr="00D827EC">
        <w:rPr>
          <w:rFonts w:ascii="Times New Roman" w:hAnsi="Times New Roman" w:cs="Times New Roman"/>
          <w:sz w:val="24"/>
          <w:szCs w:val="24"/>
        </w:rPr>
        <w:t xml:space="preserve">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w:t>
      </w:r>
      <w:r w:rsidR="0026652C">
        <w:rPr>
          <w:rFonts w:ascii="Times New Roman" w:hAnsi="Times New Roman" w:cs="Times New Roman"/>
          <w:sz w:val="24"/>
          <w:szCs w:val="24"/>
        </w:rPr>
        <w:t>.</w:t>
      </w:r>
      <w:r w:rsidR="00F046E9">
        <w:rPr>
          <w:rFonts w:ascii="Times New Roman" w:hAnsi="Times New Roman" w:cs="Times New Roman"/>
          <w:sz w:val="24"/>
          <w:szCs w:val="24"/>
        </w:rPr>
        <w:t xml:space="preserve"> Tex</w:t>
      </w:r>
      <w:r w:rsidR="00DA6A0E">
        <w:rPr>
          <w:rFonts w:ascii="Times New Roman" w:hAnsi="Times New Roman" w:cs="Times New Roman"/>
          <w:sz w:val="24"/>
          <w:szCs w:val="24"/>
        </w:rPr>
        <w:t>t zadávací dokumentace je k dispozici na</w:t>
      </w:r>
      <w:r w:rsidR="00C9236A">
        <w:rPr>
          <w:rFonts w:ascii="Times New Roman" w:hAnsi="Times New Roman" w:cs="Times New Roman"/>
          <w:sz w:val="24"/>
          <w:szCs w:val="24"/>
        </w:rPr>
        <w:t xml:space="preserve"> webových</w:t>
      </w:r>
      <w:r w:rsidR="00DA6A0E">
        <w:rPr>
          <w:rFonts w:ascii="Times New Roman" w:hAnsi="Times New Roman" w:cs="Times New Roman"/>
          <w:sz w:val="24"/>
          <w:szCs w:val="24"/>
        </w:rPr>
        <w:t xml:space="preserve"> stránkách poskytovatele </w:t>
      </w:r>
      <w:hyperlink r:id="rId8" w:history="1">
        <w:r w:rsidR="00DA6A0E" w:rsidRPr="00416369">
          <w:rPr>
            <w:rStyle w:val="Hypertextovodkaz"/>
            <w:rFonts w:ascii="Times New Roman" w:hAnsi="Times New Roman" w:cs="Times New Roman"/>
            <w:sz w:val="24"/>
            <w:szCs w:val="24"/>
          </w:rPr>
          <w:t>https://apiagentura.gov.cz/cs/podporovane-aktivity-optak/proof-of-concept-optak/proof-of-concept-vyzva-iii/</w:t>
        </w:r>
      </w:hyperlink>
    </w:p>
    <w:p w14:paraId="1F22C930"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148CEB44" w14:textId="79F10AC3"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w:t>
      </w:r>
      <w:r w:rsidR="00F74028">
        <w:rPr>
          <w:rFonts w:ascii="Times New Roman" w:hAnsi="Times New Roman" w:cs="Times New Roman"/>
          <w:sz w:val="24"/>
          <w:szCs w:val="24"/>
        </w:rPr>
        <w:t>k</w:t>
      </w:r>
      <w:r w:rsidRPr="00D827EC">
        <w:rPr>
          <w:rFonts w:ascii="Times New Roman" w:hAnsi="Times New Roman" w:cs="Times New Roman"/>
          <w:sz w:val="24"/>
          <w:szCs w:val="24"/>
        </w:rPr>
        <w:t xml:space="preserve"> projektu se zavazuj</w:t>
      </w:r>
      <w:r w:rsidR="00F74028">
        <w:rPr>
          <w:rFonts w:ascii="Times New Roman" w:hAnsi="Times New Roman" w:cs="Times New Roman"/>
          <w:sz w:val="24"/>
          <w:szCs w:val="24"/>
        </w:rPr>
        <w:t>e</w:t>
      </w:r>
      <w:r w:rsidRPr="00D827EC">
        <w:rPr>
          <w:rFonts w:ascii="Times New Roman" w:hAnsi="Times New Roman" w:cs="Times New Roman"/>
          <w:sz w:val="24"/>
          <w:szCs w:val="24"/>
        </w:rPr>
        <w:t>:</w:t>
      </w:r>
    </w:p>
    <w:p w14:paraId="7D2A4559" w14:textId="568E16B1"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26652C">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59B369A2" w14:textId="1F87B08A"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26652C">
        <w:rPr>
          <w:rFonts w:ascii="Times New Roman" w:hAnsi="Times New Roman" w:cs="Times New Roman"/>
          <w:sz w:val="24"/>
          <w:szCs w:val="24"/>
        </w:rPr>
        <w:t>účtech</w:t>
      </w:r>
      <w:r w:rsidRPr="00D827EC">
        <w:rPr>
          <w:rFonts w:ascii="Times New Roman" w:hAnsi="Times New Roman" w:cs="Times New Roman"/>
          <w:sz w:val="24"/>
          <w:szCs w:val="24"/>
        </w:rPr>
        <w:t>,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52E840E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330E714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4C1B78D8" w14:textId="6A20D8D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54F7D31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42699396"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74FBBD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78E69CA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421448D9"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F3B7DAF"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485155A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w:t>
      </w:r>
      <w:r w:rsidR="00EC0759">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7350A30A" w14:textId="092C7BF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Zveřejňuje-li smluvní strana informace o projektu nebo výsledcích projektu</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musí postupovat tak, aby zveřejněním nebyly ohroženy cíle projektu ani dotčena nebo ohrožena ochrana výsledků projektu, jinak smluvní strana, která informace zveřejnila, odpovídá </w:t>
      </w:r>
      <w:r w:rsidR="005501D6">
        <w:rPr>
          <w:rFonts w:ascii="Times New Roman" w:hAnsi="Times New Roman" w:cs="Times New Roman"/>
          <w:sz w:val="24"/>
          <w:szCs w:val="24"/>
        </w:rPr>
        <w:t>ostatním</w:t>
      </w:r>
      <w:r w:rsidRPr="00D827EC">
        <w:rPr>
          <w:rFonts w:ascii="Times New Roman" w:hAnsi="Times New Roman" w:cs="Times New Roman"/>
          <w:sz w:val="24"/>
          <w:szCs w:val="24"/>
        </w:rPr>
        <w:t xml:space="preserve"> smluvní</w:t>
      </w:r>
      <w:r w:rsidR="005501D6">
        <w:rPr>
          <w:rFonts w:ascii="Times New Roman" w:hAnsi="Times New Roman" w:cs="Times New Roman"/>
          <w:sz w:val="24"/>
          <w:szCs w:val="24"/>
        </w:rPr>
        <w:t xml:space="preserve">m stranám </w:t>
      </w:r>
      <w:r w:rsidRPr="00D827EC">
        <w:rPr>
          <w:rFonts w:ascii="Times New Roman" w:hAnsi="Times New Roman" w:cs="Times New Roman"/>
          <w:sz w:val="24"/>
          <w:szCs w:val="24"/>
        </w:rPr>
        <w:t xml:space="preserve">za způsobenou škodu. </w:t>
      </w:r>
    </w:p>
    <w:p w14:paraId="778BA4A0" w14:textId="3417610A"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w:t>
      </w:r>
      <w:r w:rsidR="00651BFA">
        <w:rPr>
          <w:rFonts w:ascii="Times New Roman" w:hAnsi="Times New Roman" w:cs="Times New Roman"/>
          <w:sz w:val="24"/>
          <w:szCs w:val="24"/>
        </w:rPr>
        <w:t xml:space="preserve"> započetí realizace projektu </w:t>
      </w:r>
      <w:r w:rsidRPr="00D827EC">
        <w:rPr>
          <w:rFonts w:ascii="Times New Roman" w:hAnsi="Times New Roman" w:cs="Times New Roman"/>
          <w:sz w:val="24"/>
          <w:szCs w:val="24"/>
        </w:rPr>
        <w:t xml:space="preserve">není </w:t>
      </w:r>
      <w:r w:rsidR="00453618">
        <w:rPr>
          <w:rFonts w:ascii="Times New Roman" w:hAnsi="Times New Roman" w:cs="Times New Roman"/>
          <w:sz w:val="24"/>
          <w:szCs w:val="24"/>
        </w:rPr>
        <w:t>p</w:t>
      </w:r>
      <w:r w:rsidRPr="00D827EC">
        <w:rPr>
          <w:rFonts w:ascii="Times New Roman" w:hAnsi="Times New Roman" w:cs="Times New Roman"/>
          <w:sz w:val="24"/>
          <w:szCs w:val="24"/>
        </w:rPr>
        <w:t>říjemce oprávněn vzdát se práva na čerpání dotace přiznané Rozhodnutím o poskytnutí dotace bez předchozího písemného souhlasu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 </w:t>
      </w:r>
    </w:p>
    <w:p w14:paraId="360504A5" w14:textId="77777777" w:rsidR="009C73A5" w:rsidRDefault="009C73A5" w:rsidP="00D827EC">
      <w:pPr>
        <w:spacing w:after="0" w:line="240" w:lineRule="auto"/>
        <w:jc w:val="center"/>
        <w:rPr>
          <w:rFonts w:ascii="Times New Roman" w:eastAsia="Times New Roman" w:hAnsi="Times New Roman" w:cs="Times New Roman"/>
          <w:b/>
          <w:sz w:val="24"/>
          <w:szCs w:val="24"/>
          <w:lang w:eastAsia="cs-CZ"/>
        </w:rPr>
      </w:pPr>
    </w:p>
    <w:p w14:paraId="4356958B"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6BB3BC60"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94EA8A2"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09A82F23"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42514DB"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D9DBF71" w14:textId="5AE4FA19" w:rsidR="00D827EC" w:rsidRPr="00D827EC" w:rsidRDefault="00236B08"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2.2. Celková</w:t>
      </w:r>
      <w:r w:rsidR="00D827EC" w:rsidRPr="00D827EC">
        <w:rPr>
          <w:rFonts w:ascii="Times New Roman" w:hAnsi="Times New Roman" w:cs="Times New Roman"/>
          <w:sz w:val="24"/>
          <w:szCs w:val="24"/>
        </w:rPr>
        <w:t xml:space="preserve"> částka dotace na projekt za celou dobu jeho řešení je uvedena v příloze č. 1 této </w:t>
      </w:r>
      <w:r w:rsidR="00C54B0B">
        <w:rPr>
          <w:rFonts w:ascii="Times New Roman" w:hAnsi="Times New Roman" w:cs="Times New Roman"/>
          <w:sz w:val="24"/>
          <w:szCs w:val="24"/>
        </w:rPr>
        <w:t>s</w:t>
      </w:r>
      <w:r w:rsidR="00D827EC" w:rsidRPr="00D827EC">
        <w:rPr>
          <w:rFonts w:ascii="Times New Roman" w:hAnsi="Times New Roman" w:cs="Times New Roman"/>
          <w:sz w:val="24"/>
          <w:szCs w:val="24"/>
        </w:rPr>
        <w:t>mlouvy. V příloze č. 1 je taktéž stanoven:</w:t>
      </w:r>
    </w:p>
    <w:p w14:paraId="57C6407E" w14:textId="264C5DE0"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a další</w:t>
      </w:r>
      <w:r w:rsidR="00F74028">
        <w:rPr>
          <w:rFonts w:ascii="Times New Roman" w:hAnsi="Times New Roman" w:cs="Times New Roman"/>
          <w:sz w:val="24"/>
          <w:szCs w:val="24"/>
        </w:rPr>
        <w:t>ho</w:t>
      </w:r>
      <w:r w:rsidR="00A375E1">
        <w:rPr>
          <w:rFonts w:ascii="Times New Roman" w:hAnsi="Times New Roman" w:cs="Times New Roman"/>
          <w:sz w:val="24"/>
          <w:szCs w:val="24"/>
        </w:rPr>
        <w:t xml:space="preserve"> účastník</w:t>
      </w:r>
      <w:r w:rsidR="00F74028">
        <w:rPr>
          <w:rFonts w:ascii="Times New Roman" w:hAnsi="Times New Roman" w:cs="Times New Roman"/>
          <w:sz w:val="24"/>
          <w:szCs w:val="24"/>
        </w:rPr>
        <w:t>a</w:t>
      </w:r>
      <w:r w:rsidR="00A375E1">
        <w:rPr>
          <w:rFonts w:ascii="Times New Roman" w:hAnsi="Times New Roman" w:cs="Times New Roman"/>
          <w:sz w:val="24"/>
          <w:szCs w:val="24"/>
        </w:rPr>
        <w:t xml:space="preserve"> projektu </w:t>
      </w:r>
      <w:r w:rsidRPr="00A375E1">
        <w:rPr>
          <w:rFonts w:ascii="Times New Roman" w:hAnsi="Times New Roman" w:cs="Times New Roman"/>
          <w:sz w:val="24"/>
          <w:szCs w:val="24"/>
        </w:rPr>
        <w:t>na způsobilých výdajích a dotaci</w:t>
      </w:r>
    </w:p>
    <w:p w14:paraId="6BA51815"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a </w:t>
      </w:r>
      <w:r w:rsidR="00651BFA">
        <w:rPr>
          <w:rFonts w:ascii="Times New Roman" w:hAnsi="Times New Roman" w:cs="Times New Roman"/>
          <w:sz w:val="24"/>
          <w:szCs w:val="24"/>
        </w:rPr>
        <w:t>e</w:t>
      </w:r>
      <w:r w:rsidRPr="00A375E1">
        <w:rPr>
          <w:rFonts w:ascii="Times New Roman" w:hAnsi="Times New Roman" w:cs="Times New Roman"/>
          <w:sz w:val="24"/>
          <w:szCs w:val="24"/>
        </w:rPr>
        <w:t>xperimentálního vývoje mezi jednotlivé smluvní strany</w:t>
      </w:r>
      <w:r w:rsidR="00A375E1">
        <w:rPr>
          <w:rFonts w:ascii="Times New Roman" w:hAnsi="Times New Roman" w:cs="Times New Roman"/>
          <w:sz w:val="24"/>
          <w:szCs w:val="24"/>
        </w:rPr>
        <w:t>.</w:t>
      </w:r>
    </w:p>
    <w:p w14:paraId="3799D690" w14:textId="77777777"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2.3 V případě rozporu přílohy č. 1 této smlouvy a Rozhodnutí o poskytnutí dotace k</w:t>
      </w:r>
      <w:r w:rsidR="00C54B0B">
        <w:rPr>
          <w:rFonts w:ascii="Times New Roman" w:hAnsi="Times New Roman" w:cs="Times New Roman"/>
          <w:sz w:val="24"/>
          <w:szCs w:val="24"/>
        </w:rPr>
        <w:t> </w:t>
      </w:r>
      <w:r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3ED5F359" w14:textId="798B1070" w:rsidR="008A4273" w:rsidRDefault="008A4273" w:rsidP="009E4007">
      <w:pPr>
        <w:numPr>
          <w:ilvl w:val="0"/>
          <w:numId w:val="4"/>
        </w:num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Smluvní strany se dohodly, že</w:t>
      </w:r>
      <w:r w:rsidRPr="00CF3615">
        <w:rPr>
          <w:rFonts w:ascii="Times New Roman" w:hAnsi="Times New Roman" w:cs="Times New Roman"/>
          <w:sz w:val="24"/>
          <w:szCs w:val="24"/>
        </w:rPr>
        <w:t xml:space="preserve"> míra podpory další</w:t>
      </w:r>
      <w:r w:rsidR="000E1B92">
        <w:rPr>
          <w:rFonts w:ascii="Times New Roman" w:hAnsi="Times New Roman" w:cs="Times New Roman"/>
          <w:sz w:val="24"/>
          <w:szCs w:val="24"/>
        </w:rPr>
        <w:t>h</w:t>
      </w:r>
      <w:r w:rsidR="00935FFE">
        <w:rPr>
          <w:rFonts w:ascii="Times New Roman" w:hAnsi="Times New Roman" w:cs="Times New Roman"/>
          <w:sz w:val="24"/>
          <w:szCs w:val="24"/>
        </w:rPr>
        <w:t>o</w:t>
      </w:r>
      <w:r w:rsidRPr="00CF3615">
        <w:rPr>
          <w:rFonts w:ascii="Times New Roman" w:hAnsi="Times New Roman" w:cs="Times New Roman"/>
          <w:sz w:val="24"/>
          <w:szCs w:val="24"/>
        </w:rPr>
        <w:t xml:space="preserve"> účastník</w:t>
      </w:r>
      <w:r w:rsidR="00935FFE">
        <w:rPr>
          <w:rFonts w:ascii="Times New Roman" w:hAnsi="Times New Roman" w:cs="Times New Roman"/>
          <w:sz w:val="24"/>
          <w:szCs w:val="24"/>
        </w:rPr>
        <w:t>a</w:t>
      </w:r>
      <w:r>
        <w:rPr>
          <w:rFonts w:ascii="Times New Roman" w:hAnsi="Times New Roman" w:cs="Times New Roman"/>
          <w:sz w:val="24"/>
          <w:szCs w:val="24"/>
        </w:rPr>
        <w:t xml:space="preserve"> projektu</w:t>
      </w:r>
      <w:r w:rsidR="00935FFE">
        <w:rPr>
          <w:rFonts w:ascii="Times New Roman" w:hAnsi="Times New Roman" w:cs="Times New Roman"/>
          <w:sz w:val="24"/>
          <w:szCs w:val="24"/>
        </w:rPr>
        <w:t xml:space="preserve"> </w:t>
      </w:r>
      <w:r w:rsidRPr="00CF3615">
        <w:rPr>
          <w:rFonts w:ascii="Times New Roman" w:hAnsi="Times New Roman" w:cs="Times New Roman"/>
          <w:sz w:val="24"/>
          <w:szCs w:val="24"/>
        </w:rPr>
        <w:t xml:space="preserve">bude 85 % </w:t>
      </w:r>
      <w:r>
        <w:rPr>
          <w:rFonts w:ascii="Times New Roman" w:hAnsi="Times New Roman" w:cs="Times New Roman"/>
          <w:sz w:val="24"/>
          <w:szCs w:val="24"/>
        </w:rPr>
        <w:t>je</w:t>
      </w:r>
      <w:r w:rsidR="00935FFE">
        <w:rPr>
          <w:rFonts w:ascii="Times New Roman" w:hAnsi="Times New Roman" w:cs="Times New Roman"/>
          <w:sz w:val="24"/>
          <w:szCs w:val="24"/>
        </w:rPr>
        <w:t>ho</w:t>
      </w:r>
      <w:r>
        <w:rPr>
          <w:rFonts w:ascii="Times New Roman" w:hAnsi="Times New Roman" w:cs="Times New Roman"/>
          <w:sz w:val="24"/>
          <w:szCs w:val="24"/>
        </w:rPr>
        <w:t xml:space="preserve"> </w:t>
      </w:r>
      <w:r w:rsidRPr="00CF3615">
        <w:rPr>
          <w:rFonts w:ascii="Times New Roman" w:hAnsi="Times New Roman" w:cs="Times New Roman"/>
          <w:sz w:val="24"/>
          <w:szCs w:val="24"/>
        </w:rPr>
        <w:t>způsobilých výdajů</w:t>
      </w:r>
      <w:r>
        <w:rPr>
          <w:rFonts w:ascii="Times New Roman" w:hAnsi="Times New Roman" w:cs="Times New Roman"/>
          <w:sz w:val="24"/>
          <w:szCs w:val="24"/>
        </w:rPr>
        <w:t xml:space="preserve"> projektu</w:t>
      </w:r>
      <w:r w:rsidRPr="00CF3615">
        <w:rPr>
          <w:rFonts w:ascii="Times New Roman" w:hAnsi="Times New Roman" w:cs="Times New Roman"/>
          <w:sz w:val="24"/>
          <w:szCs w:val="24"/>
        </w:rPr>
        <w:t>.</w:t>
      </w:r>
      <w:r>
        <w:rPr>
          <w:rFonts w:ascii="Times New Roman" w:hAnsi="Times New Roman" w:cs="Times New Roman"/>
          <w:sz w:val="24"/>
          <w:szCs w:val="24"/>
        </w:rPr>
        <w:t xml:space="preserve"> Příjemce se proto zavazuje uhradit dalším</w:t>
      </w:r>
      <w:r w:rsidR="000E1B92">
        <w:rPr>
          <w:rFonts w:ascii="Times New Roman" w:hAnsi="Times New Roman" w:cs="Times New Roman"/>
          <w:sz w:val="24"/>
          <w:szCs w:val="24"/>
        </w:rPr>
        <w:t>u</w:t>
      </w:r>
      <w:r>
        <w:rPr>
          <w:rFonts w:ascii="Times New Roman" w:hAnsi="Times New Roman" w:cs="Times New Roman"/>
          <w:sz w:val="24"/>
          <w:szCs w:val="24"/>
        </w:rPr>
        <w:t xml:space="preserve"> účastník</w:t>
      </w:r>
      <w:r w:rsidR="000E1B92">
        <w:rPr>
          <w:rFonts w:ascii="Times New Roman" w:hAnsi="Times New Roman" w:cs="Times New Roman"/>
          <w:sz w:val="24"/>
          <w:szCs w:val="24"/>
        </w:rPr>
        <w:t>ovi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projektu částku odpovídající 85 % </w:t>
      </w:r>
      <w:r w:rsidR="000E1B92">
        <w:rPr>
          <w:rFonts w:ascii="Times New Roman" w:hAnsi="Times New Roman" w:cs="Times New Roman"/>
          <w:sz w:val="24"/>
          <w:szCs w:val="24"/>
        </w:rPr>
        <w:t xml:space="preserve">jeho </w:t>
      </w:r>
      <w:r>
        <w:rPr>
          <w:rFonts w:ascii="Times New Roman" w:hAnsi="Times New Roman" w:cs="Times New Roman"/>
          <w:sz w:val="24"/>
          <w:szCs w:val="24"/>
        </w:rPr>
        <w:t>způsobilých výdajů; tato částka může být snížena pouze v případě, že výdaje uplatněné dalším účastníkem</w:t>
      </w:r>
      <w:r w:rsidR="00935FFE">
        <w:rPr>
          <w:rFonts w:ascii="Times New Roman" w:hAnsi="Times New Roman" w:cs="Times New Roman"/>
          <w:sz w:val="24"/>
          <w:szCs w:val="24"/>
        </w:rPr>
        <w:t xml:space="preserve"> </w:t>
      </w:r>
      <w:r>
        <w:rPr>
          <w:rFonts w:ascii="Times New Roman" w:hAnsi="Times New Roman" w:cs="Times New Roman"/>
          <w:sz w:val="24"/>
          <w:szCs w:val="24"/>
        </w:rPr>
        <w:t>projektu</w:t>
      </w:r>
      <w:r w:rsidR="00935FFE">
        <w:rPr>
          <w:rFonts w:ascii="Times New Roman" w:hAnsi="Times New Roman" w:cs="Times New Roman"/>
          <w:sz w:val="24"/>
          <w:szCs w:val="24"/>
        </w:rPr>
        <w:t xml:space="preserve"> </w:t>
      </w:r>
      <w:r>
        <w:rPr>
          <w:rFonts w:ascii="Times New Roman" w:hAnsi="Times New Roman" w:cs="Times New Roman"/>
          <w:sz w:val="24"/>
          <w:szCs w:val="24"/>
        </w:rPr>
        <w:t>budou 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w:t>
      </w:r>
      <w:r w:rsidR="00935FFE">
        <w:rPr>
          <w:rFonts w:ascii="Times New Roman" w:hAnsi="Times New Roman" w:cs="Times New Roman"/>
          <w:sz w:val="24"/>
          <w:szCs w:val="24"/>
        </w:rPr>
        <w:t>ho</w:t>
      </w:r>
      <w:r>
        <w:rPr>
          <w:rFonts w:ascii="Times New Roman" w:hAnsi="Times New Roman" w:cs="Times New Roman"/>
          <w:sz w:val="24"/>
          <w:szCs w:val="24"/>
        </w:rPr>
        <w:t xml:space="preserve"> účastník</w:t>
      </w:r>
      <w:r w:rsidR="00935FFE">
        <w:rPr>
          <w:rFonts w:ascii="Times New Roman" w:hAnsi="Times New Roman" w:cs="Times New Roman"/>
          <w:sz w:val="24"/>
          <w:szCs w:val="24"/>
        </w:rPr>
        <w:t>a</w:t>
      </w:r>
      <w:r>
        <w:rPr>
          <w:rFonts w:ascii="Times New Roman" w:hAnsi="Times New Roman" w:cs="Times New Roman"/>
          <w:sz w:val="24"/>
          <w:szCs w:val="24"/>
        </w:rPr>
        <w:t xml:space="preserve"> projektu, není důvodem pro snížení částky způsobilých výdajů či míry podpory dalšího účastníka projektu</w:t>
      </w:r>
      <w:r w:rsidR="000E1B92">
        <w:rPr>
          <w:rFonts w:ascii="Times New Roman" w:hAnsi="Times New Roman" w:cs="Times New Roman"/>
          <w:sz w:val="24"/>
          <w:szCs w:val="24"/>
        </w:rPr>
        <w:t>.</w:t>
      </w:r>
    </w:p>
    <w:p w14:paraId="23C932BF" w14:textId="707B8B5F"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povinny dodržovat strukturu výdajů v členění na příjemce a další</w:t>
      </w:r>
      <w:r w:rsidR="00C97349">
        <w:rPr>
          <w:rFonts w:ascii="Times New Roman" w:hAnsi="Times New Roman" w:cs="Times New Roman"/>
          <w:sz w:val="24"/>
          <w:szCs w:val="24"/>
        </w:rPr>
        <w:t>ho</w:t>
      </w:r>
      <w:r w:rsidRPr="009E4007">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9E4007">
        <w:rPr>
          <w:rFonts w:ascii="Times New Roman" w:hAnsi="Times New Roman" w:cs="Times New Roman"/>
          <w:sz w:val="24"/>
          <w:szCs w:val="24"/>
        </w:rPr>
        <w:t xml:space="preserve">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w:t>
      </w:r>
      <w:r w:rsidR="005501D6">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78AC9A75" w14:textId="6596B97C"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w:t>
      </w:r>
      <w:r w:rsidR="00C97349">
        <w:rPr>
          <w:rFonts w:ascii="Times New Roman" w:hAnsi="Times New Roman" w:cs="Times New Roman"/>
          <w:sz w:val="24"/>
          <w:szCs w:val="24"/>
        </w:rPr>
        <w:t>k</w:t>
      </w:r>
      <w:r w:rsidR="008F46D6">
        <w:rPr>
          <w:rFonts w:ascii="Times New Roman" w:hAnsi="Times New Roman" w:cs="Times New Roman"/>
          <w:sz w:val="24"/>
          <w:szCs w:val="24"/>
        </w:rPr>
        <w:t xml:space="preserve"> projektu j</w:t>
      </w:r>
      <w:r w:rsidR="00C97349">
        <w:rPr>
          <w:rFonts w:ascii="Times New Roman" w:hAnsi="Times New Roman" w:cs="Times New Roman"/>
          <w:sz w:val="24"/>
          <w:szCs w:val="24"/>
        </w:rPr>
        <w:t>e</w:t>
      </w:r>
      <w:r w:rsidRPr="009E4007">
        <w:rPr>
          <w:rFonts w:ascii="Times New Roman" w:hAnsi="Times New Roman" w:cs="Times New Roman"/>
          <w:sz w:val="24"/>
          <w:szCs w:val="24"/>
        </w:rPr>
        <w:t xml:space="preserve"> povin</w:t>
      </w:r>
      <w:r w:rsidR="00C97349">
        <w:rPr>
          <w:rFonts w:ascii="Times New Roman" w:hAnsi="Times New Roman" w:cs="Times New Roman"/>
          <w:sz w:val="24"/>
          <w:szCs w:val="24"/>
        </w:rPr>
        <w:t>e</w:t>
      </w:r>
      <w:r w:rsidR="008F46D6">
        <w:rPr>
          <w:rFonts w:ascii="Times New Roman" w:hAnsi="Times New Roman" w:cs="Times New Roman"/>
          <w:sz w:val="24"/>
          <w:szCs w:val="24"/>
        </w:rPr>
        <w:t>n</w:t>
      </w:r>
      <w:r w:rsidRPr="009E4007">
        <w:rPr>
          <w:rFonts w:ascii="Times New Roman" w:hAnsi="Times New Roman" w:cs="Times New Roman"/>
          <w:sz w:val="24"/>
          <w:szCs w:val="24"/>
        </w:rPr>
        <w:t xml:space="preserve"> poskytnout příjemci veškeré podklady potřebné pro vypracování žádosti o platbu.   </w:t>
      </w:r>
    </w:p>
    <w:p w14:paraId="10AE68E0" w14:textId="1E1666C0"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w:t>
      </w:r>
      <w:r w:rsidR="00BF3B45">
        <w:rPr>
          <w:rFonts w:ascii="Times New Roman" w:hAnsi="Times New Roman" w:cs="Times New Roman"/>
          <w:sz w:val="24"/>
          <w:szCs w:val="24"/>
        </w:rPr>
        <w:t>u</w:t>
      </w:r>
      <w:r w:rsidRPr="00D827EC">
        <w:rPr>
          <w:rFonts w:ascii="Times New Roman" w:hAnsi="Times New Roman" w:cs="Times New Roman"/>
          <w:sz w:val="24"/>
          <w:szCs w:val="24"/>
        </w:rPr>
        <w:t xml:space="preserve"> účastník</w:t>
      </w:r>
      <w:r w:rsidR="00BF3B45">
        <w:rPr>
          <w:rFonts w:ascii="Times New Roman" w:hAnsi="Times New Roman" w:cs="Times New Roman"/>
          <w:sz w:val="24"/>
          <w:szCs w:val="24"/>
        </w:rPr>
        <w:t>ovi</w:t>
      </w:r>
      <w:r w:rsidRPr="00D827EC">
        <w:rPr>
          <w:rFonts w:ascii="Times New Roman" w:hAnsi="Times New Roman" w:cs="Times New Roman"/>
          <w:sz w:val="24"/>
          <w:szCs w:val="24"/>
        </w:rPr>
        <w:t xml:space="preserve"> projektu dotaci přímým bankovním převodem z bankovního účtu příjemce na bankovní účet dalšího účastníka</w:t>
      </w:r>
      <w:r w:rsidR="008F46D6">
        <w:rPr>
          <w:rFonts w:ascii="Times New Roman" w:hAnsi="Times New Roman" w:cs="Times New Roman"/>
          <w:sz w:val="24"/>
          <w:szCs w:val="24"/>
        </w:rPr>
        <w:t xml:space="preserve"> </w:t>
      </w:r>
      <w:r w:rsidR="008F46D6" w:rsidRPr="00D827EC">
        <w:rPr>
          <w:rFonts w:ascii="Times New Roman" w:hAnsi="Times New Roman" w:cs="Times New Roman"/>
          <w:sz w:val="24"/>
          <w:szCs w:val="24"/>
        </w:rPr>
        <w:t>projektu</w:t>
      </w:r>
      <w:r w:rsidRPr="00D827EC">
        <w:rPr>
          <w:rFonts w:ascii="Times New Roman" w:hAnsi="Times New Roman" w:cs="Times New Roman"/>
          <w:sz w:val="24"/>
          <w:szCs w:val="24"/>
        </w:rPr>
        <w:t>,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0DFA2249"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5001F3E1"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75F5E2C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699C6BD4" w14:textId="26CF8188" w:rsidR="008A4273" w:rsidRPr="00286517" w:rsidRDefault="008A4273" w:rsidP="009E4007">
      <w:pPr>
        <w:numPr>
          <w:ilvl w:val="0"/>
          <w:numId w:val="4"/>
        </w:numPr>
        <w:spacing w:after="120" w:line="240" w:lineRule="auto"/>
        <w:ind w:left="357" w:hanging="357"/>
        <w:jc w:val="both"/>
        <w:rPr>
          <w:rFonts w:ascii="Times New Roman" w:hAnsi="Times New Roman" w:cs="Times New Roman"/>
          <w:sz w:val="24"/>
          <w:szCs w:val="24"/>
        </w:rPr>
      </w:pPr>
      <w:r w:rsidRPr="008A4273">
        <w:rPr>
          <w:rFonts w:ascii="Times New Roman" w:hAnsi="Times New Roman" w:cs="Times New Roman"/>
          <w:spacing w:val="-2"/>
          <w:sz w:val="24"/>
          <w:szCs w:val="24"/>
        </w:rPr>
        <w:t xml:space="preserve">V případě, že smluvní strana poruší povinnosti jí převzaté touto smlouvou nebo stanovené podmínkami poskytnutí podpory dle </w:t>
      </w:r>
      <w:r>
        <w:rPr>
          <w:rFonts w:ascii="Times New Roman" w:hAnsi="Times New Roman" w:cs="Times New Roman"/>
          <w:spacing w:val="-2"/>
          <w:sz w:val="24"/>
          <w:szCs w:val="24"/>
        </w:rPr>
        <w:t>zadávací dokumentace</w:t>
      </w:r>
      <w:r w:rsidRPr="008A4273">
        <w:rPr>
          <w:rFonts w:ascii="Times New Roman" w:hAnsi="Times New Roman" w:cs="Times New Roman"/>
          <w:spacing w:val="-2"/>
          <w:sz w:val="24"/>
          <w:szCs w:val="24"/>
        </w:rPr>
        <w:t xml:space="preserve"> a v důsledku takového porušení nebude poskytovatelem proplacena dotace anebo dojde ke krácení nároku uvedeného v žádosti o platbu též </w:t>
      </w:r>
      <w:r w:rsidR="00FA4E5E">
        <w:rPr>
          <w:rFonts w:ascii="Times New Roman" w:hAnsi="Times New Roman" w:cs="Times New Roman"/>
          <w:spacing w:val="-2"/>
          <w:sz w:val="24"/>
          <w:szCs w:val="24"/>
        </w:rPr>
        <w:t>jiné</w:t>
      </w:r>
      <w:r w:rsidRPr="008A4273">
        <w:rPr>
          <w:rFonts w:ascii="Times New Roman" w:hAnsi="Times New Roman" w:cs="Times New Roman"/>
          <w:spacing w:val="-2"/>
          <w:sz w:val="24"/>
          <w:szCs w:val="24"/>
        </w:rPr>
        <w:t xml:space="preserve"> smluvní straně, která své povinnosti neporušila, je smluvní strana, která povinnost porušila, povinna nahradit dotčené smluvní straně takto vzniklou škodu</w:t>
      </w:r>
      <w:r>
        <w:rPr>
          <w:rFonts w:ascii="Times New Roman" w:hAnsi="Times New Roman" w:cs="Times New Roman"/>
          <w:spacing w:val="-2"/>
          <w:sz w:val="24"/>
          <w:szCs w:val="24"/>
        </w:rPr>
        <w:t xml:space="preserve">, tj. </w:t>
      </w:r>
      <w:r w:rsidRPr="008A4273">
        <w:rPr>
          <w:rFonts w:ascii="Times New Roman" w:hAnsi="Times New Roman" w:cs="Times New Roman"/>
          <w:spacing w:val="-2"/>
          <w:sz w:val="24"/>
          <w:szCs w:val="24"/>
        </w:rPr>
        <w:t xml:space="preserve">uhradit vynaložené náklady na projekt, které nebyly poskytovatelem proplaceny. Tím není dotčeno ustanovení odst. </w:t>
      </w:r>
      <w:r>
        <w:rPr>
          <w:rFonts w:ascii="Times New Roman" w:hAnsi="Times New Roman" w:cs="Times New Roman"/>
          <w:spacing w:val="-2"/>
          <w:sz w:val="24"/>
          <w:szCs w:val="24"/>
        </w:rPr>
        <w:t>1</w:t>
      </w:r>
      <w:r w:rsidR="002F753A">
        <w:rPr>
          <w:rFonts w:ascii="Times New Roman" w:hAnsi="Times New Roman" w:cs="Times New Roman"/>
          <w:spacing w:val="-2"/>
          <w:sz w:val="24"/>
          <w:szCs w:val="24"/>
        </w:rPr>
        <w:t>1</w:t>
      </w:r>
      <w:r>
        <w:rPr>
          <w:rFonts w:ascii="Times New Roman" w:hAnsi="Times New Roman" w:cs="Times New Roman"/>
          <w:spacing w:val="-2"/>
          <w:sz w:val="24"/>
          <w:szCs w:val="24"/>
        </w:rPr>
        <w:t>.</w:t>
      </w:r>
    </w:p>
    <w:p w14:paraId="70C9A0DE" w14:textId="20959F38" w:rsidR="00286517" w:rsidRPr="00286517" w:rsidRDefault="008A4273" w:rsidP="009E4007">
      <w:pPr>
        <w:numPr>
          <w:ilvl w:val="0"/>
          <w:numId w:val="4"/>
        </w:numPr>
        <w:spacing w:after="120" w:line="240" w:lineRule="auto"/>
        <w:ind w:left="357" w:hanging="357"/>
        <w:jc w:val="both"/>
        <w:rPr>
          <w:rFonts w:ascii="Times New Roman" w:hAnsi="Times New Roman" w:cs="Times New Roman"/>
          <w:sz w:val="24"/>
          <w:szCs w:val="24"/>
        </w:rPr>
      </w:pPr>
      <w:r w:rsidRPr="00286517">
        <w:rPr>
          <w:rFonts w:ascii="Times New Roman" w:hAnsi="Times New Roman" w:cs="Times New Roman"/>
          <w:sz w:val="24"/>
          <w:szCs w:val="24"/>
        </w:rPr>
        <w:t xml:space="preserve">V případě, že poskytovatel či </w:t>
      </w:r>
      <w:r w:rsidR="00286517" w:rsidRPr="00286517">
        <w:rPr>
          <w:rFonts w:ascii="Times New Roman" w:hAnsi="Times New Roman" w:cs="Times New Roman"/>
          <w:sz w:val="24"/>
          <w:szCs w:val="24"/>
        </w:rPr>
        <w:t xml:space="preserve">jiný </w:t>
      </w:r>
      <w:r w:rsidRPr="00286517">
        <w:rPr>
          <w:rFonts w:ascii="Times New Roman" w:hAnsi="Times New Roman" w:cs="Times New Roman"/>
          <w:sz w:val="24"/>
          <w:szCs w:val="24"/>
        </w:rPr>
        <w:t xml:space="preserve">správní orgán bude vyžadovat vrácení dotace, stanoví povinnost odvodu nebo uplatní sankce z důvodu </w:t>
      </w:r>
      <w:r w:rsidR="00286517" w:rsidRPr="00286517">
        <w:rPr>
          <w:rFonts w:ascii="Times New Roman" w:hAnsi="Times New Roman" w:cs="Times New Roman"/>
          <w:sz w:val="24"/>
          <w:szCs w:val="24"/>
        </w:rPr>
        <w:t xml:space="preserve">tvrzeného </w:t>
      </w:r>
      <w:r w:rsidRPr="00FA4E5E">
        <w:rPr>
          <w:rFonts w:ascii="Times New Roman" w:hAnsi="Times New Roman" w:cs="Times New Roman"/>
          <w:sz w:val="24"/>
          <w:szCs w:val="24"/>
        </w:rPr>
        <w:t>porušení povinn</w:t>
      </w:r>
      <w:r w:rsidRPr="00286517">
        <w:rPr>
          <w:rFonts w:ascii="Times New Roman" w:hAnsi="Times New Roman" w:cs="Times New Roman"/>
          <w:sz w:val="24"/>
          <w:szCs w:val="24"/>
        </w:rPr>
        <w:t>osti na straně dalšího účastníka projektu,</w:t>
      </w:r>
      <w:r w:rsidR="00286517" w:rsidRPr="00286517">
        <w:rPr>
          <w:rFonts w:ascii="Times New Roman" w:hAnsi="Times New Roman" w:cs="Times New Roman"/>
          <w:sz w:val="24"/>
          <w:szCs w:val="24"/>
        </w:rPr>
        <w:t xml:space="preserve"> </w:t>
      </w:r>
      <w:r w:rsidR="00286517" w:rsidRPr="00286517">
        <w:rPr>
          <w:rFonts w:ascii="Times New Roman" w:hAnsi="Times New Roman" w:cs="Times New Roman"/>
          <w:spacing w:val="-2"/>
          <w:sz w:val="24"/>
          <w:szCs w:val="24"/>
        </w:rPr>
        <w:t xml:space="preserve">zavazuje se </w:t>
      </w:r>
      <w:r w:rsidR="00FA4E5E">
        <w:rPr>
          <w:rFonts w:ascii="Times New Roman" w:hAnsi="Times New Roman" w:cs="Times New Roman"/>
          <w:spacing w:val="-2"/>
          <w:sz w:val="24"/>
          <w:szCs w:val="24"/>
        </w:rPr>
        <w:t>p</w:t>
      </w:r>
      <w:r w:rsidR="00286517" w:rsidRPr="00286517">
        <w:rPr>
          <w:rFonts w:ascii="Times New Roman" w:hAnsi="Times New Roman" w:cs="Times New Roman"/>
          <w:spacing w:val="-2"/>
          <w:sz w:val="24"/>
          <w:szCs w:val="24"/>
        </w:rPr>
        <w:t xml:space="preserve">říjemce na žádost dotčeného </w:t>
      </w:r>
      <w:r w:rsidR="00FA4E5E">
        <w:rPr>
          <w:rFonts w:ascii="Times New Roman" w:hAnsi="Times New Roman" w:cs="Times New Roman"/>
          <w:spacing w:val="-2"/>
          <w:sz w:val="24"/>
          <w:szCs w:val="24"/>
        </w:rPr>
        <w:t>d</w:t>
      </w:r>
      <w:r w:rsidR="00286517" w:rsidRPr="00286517">
        <w:rPr>
          <w:rFonts w:ascii="Times New Roman" w:hAnsi="Times New Roman" w:cs="Times New Roman"/>
          <w:spacing w:val="-2"/>
          <w:sz w:val="24"/>
          <w:szCs w:val="24"/>
        </w:rPr>
        <w:t xml:space="preserve">alšího účastníka a ve spolupráci s ním podat námitky nebo použít jiné prostředky obrany proti neproplacení, </w:t>
      </w:r>
      <w:r w:rsidR="00286517" w:rsidRPr="00286517">
        <w:rPr>
          <w:rFonts w:ascii="Times New Roman" w:hAnsi="Times New Roman" w:cs="Times New Roman"/>
          <w:spacing w:val="-2"/>
          <w:sz w:val="24"/>
          <w:szCs w:val="24"/>
        </w:rPr>
        <w:lastRenderedPageBreak/>
        <w:t xml:space="preserve">krácení dotace, povinnosti odvodu či udělení sankce. Pokud tento závazek příjemce nesplní (nepodá námitky nebo jiné prostředky obrany, ač o to byl </w:t>
      </w:r>
      <w:r w:rsidR="00FA4E5E">
        <w:rPr>
          <w:rFonts w:ascii="Times New Roman" w:hAnsi="Times New Roman" w:cs="Times New Roman"/>
          <w:spacing w:val="-2"/>
          <w:sz w:val="24"/>
          <w:szCs w:val="24"/>
        </w:rPr>
        <w:t>d</w:t>
      </w:r>
      <w:r w:rsidR="00286517" w:rsidRPr="00286517">
        <w:rPr>
          <w:rFonts w:ascii="Times New Roman" w:hAnsi="Times New Roman" w:cs="Times New Roman"/>
          <w:spacing w:val="-2"/>
          <w:sz w:val="24"/>
          <w:szCs w:val="24"/>
        </w:rPr>
        <w:t>alším účastníkem</w:t>
      </w:r>
      <w:r w:rsidR="00FA4E5E">
        <w:rPr>
          <w:rFonts w:ascii="Times New Roman" w:hAnsi="Times New Roman" w:cs="Times New Roman"/>
          <w:spacing w:val="-2"/>
          <w:sz w:val="24"/>
          <w:szCs w:val="24"/>
        </w:rPr>
        <w:t xml:space="preserve"> projektu</w:t>
      </w:r>
      <w:r w:rsidR="00286517" w:rsidRPr="00286517">
        <w:rPr>
          <w:rFonts w:ascii="Times New Roman" w:hAnsi="Times New Roman" w:cs="Times New Roman"/>
          <w:spacing w:val="-2"/>
          <w:sz w:val="24"/>
          <w:szCs w:val="24"/>
        </w:rPr>
        <w:t xml:space="preserve"> požádán), není tento </w:t>
      </w:r>
      <w:r w:rsidR="00FA4E5E">
        <w:rPr>
          <w:rFonts w:ascii="Times New Roman" w:hAnsi="Times New Roman" w:cs="Times New Roman"/>
          <w:spacing w:val="-2"/>
          <w:sz w:val="24"/>
          <w:szCs w:val="24"/>
        </w:rPr>
        <w:t>d</w:t>
      </w:r>
      <w:r w:rsidR="00286517" w:rsidRPr="00286517">
        <w:rPr>
          <w:rFonts w:ascii="Times New Roman" w:hAnsi="Times New Roman" w:cs="Times New Roman"/>
          <w:spacing w:val="-2"/>
          <w:sz w:val="24"/>
          <w:szCs w:val="24"/>
        </w:rPr>
        <w:t>alší účastník</w:t>
      </w:r>
      <w:r w:rsidR="00FA4E5E">
        <w:rPr>
          <w:rFonts w:ascii="Times New Roman" w:hAnsi="Times New Roman" w:cs="Times New Roman"/>
          <w:spacing w:val="-2"/>
          <w:sz w:val="24"/>
          <w:szCs w:val="24"/>
        </w:rPr>
        <w:t xml:space="preserve"> projektu</w:t>
      </w:r>
      <w:r w:rsidR="00286517" w:rsidRPr="00286517">
        <w:rPr>
          <w:rFonts w:ascii="Times New Roman" w:hAnsi="Times New Roman" w:cs="Times New Roman"/>
          <w:spacing w:val="-2"/>
          <w:sz w:val="24"/>
          <w:szCs w:val="24"/>
        </w:rPr>
        <w:t xml:space="preserve"> povinen </w:t>
      </w:r>
      <w:r w:rsidR="00DE59B4" w:rsidRPr="00485A7A">
        <w:rPr>
          <w:rFonts w:ascii="Times New Roman" w:hAnsi="Times New Roman" w:cs="Times New Roman"/>
          <w:sz w:val="24"/>
          <w:szCs w:val="24"/>
        </w:rPr>
        <w:t>dotčenou část dotace či finanční částku odpovídající stanovené sankc</w:t>
      </w:r>
      <w:r w:rsidR="00DE59B4">
        <w:rPr>
          <w:rFonts w:ascii="Times New Roman" w:hAnsi="Times New Roman" w:cs="Times New Roman"/>
          <w:sz w:val="24"/>
          <w:szCs w:val="24"/>
        </w:rPr>
        <w:t>i</w:t>
      </w:r>
      <w:r w:rsidR="00DE59B4" w:rsidRPr="00286517">
        <w:rPr>
          <w:rFonts w:ascii="Times New Roman" w:hAnsi="Times New Roman" w:cs="Times New Roman"/>
          <w:spacing w:val="-2"/>
          <w:sz w:val="24"/>
          <w:szCs w:val="24"/>
        </w:rPr>
        <w:t xml:space="preserve"> </w:t>
      </w:r>
      <w:r w:rsidR="00286517" w:rsidRPr="00286517">
        <w:rPr>
          <w:rFonts w:ascii="Times New Roman" w:hAnsi="Times New Roman" w:cs="Times New Roman"/>
          <w:spacing w:val="-2"/>
          <w:sz w:val="24"/>
          <w:szCs w:val="24"/>
        </w:rPr>
        <w:t xml:space="preserve">hradit příjemci ze svých prostředků. </w:t>
      </w:r>
    </w:p>
    <w:p w14:paraId="4B6CDB49" w14:textId="32C1EC78" w:rsidR="008A4273" w:rsidRPr="008A4273" w:rsidRDefault="00286517" w:rsidP="009E4007">
      <w:pPr>
        <w:numPr>
          <w:ilvl w:val="0"/>
          <w:numId w:val="4"/>
        </w:num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Je-li pravomocně uložena povinnost odvodu či sankce, </w:t>
      </w:r>
      <w:r w:rsidR="008A4273" w:rsidRPr="00485A7A">
        <w:rPr>
          <w:rFonts w:ascii="Times New Roman" w:hAnsi="Times New Roman" w:cs="Times New Roman"/>
          <w:sz w:val="24"/>
          <w:szCs w:val="24"/>
        </w:rPr>
        <w:t>je další účastník projektu povinen vrátit příjemci dotčenou část dotace či uhradit finanční částku odpovídající stanovené sankc</w:t>
      </w:r>
      <w:r w:rsidR="00FA4E5E">
        <w:rPr>
          <w:rFonts w:ascii="Times New Roman" w:hAnsi="Times New Roman" w:cs="Times New Roman"/>
          <w:sz w:val="24"/>
          <w:szCs w:val="24"/>
        </w:rPr>
        <w:t>i</w:t>
      </w:r>
      <w:r w:rsidR="008A4273" w:rsidRPr="00485A7A">
        <w:rPr>
          <w:rFonts w:ascii="Times New Roman" w:hAnsi="Times New Roman" w:cs="Times New Roman"/>
          <w:sz w:val="24"/>
          <w:szCs w:val="24"/>
        </w:rPr>
        <w:t xml:space="preserve"> či odvodu do 10 dnů od doručení písemné výzvy k úhradě. Pro vyloučení pochybností se uvádí, že zejména opravné prostředky mimořádné, resp. opravné prostředky, kterými se neodkládá vykonatelnost příslušného rozhodnutí, neodkládají povinnost dalšího účastníka projektu k</w:t>
      </w:r>
      <w:r>
        <w:rPr>
          <w:rFonts w:ascii="Times New Roman" w:hAnsi="Times New Roman" w:cs="Times New Roman"/>
          <w:sz w:val="24"/>
          <w:szCs w:val="24"/>
        </w:rPr>
        <w:t> </w:t>
      </w:r>
      <w:r w:rsidR="008A4273" w:rsidRPr="00485A7A">
        <w:rPr>
          <w:rFonts w:ascii="Times New Roman" w:hAnsi="Times New Roman" w:cs="Times New Roman"/>
          <w:sz w:val="24"/>
          <w:szCs w:val="24"/>
        </w:rPr>
        <w:t>úhradě</w:t>
      </w:r>
      <w:r>
        <w:rPr>
          <w:rFonts w:ascii="Times New Roman" w:hAnsi="Times New Roman" w:cs="Times New Roman"/>
          <w:sz w:val="24"/>
          <w:szCs w:val="24"/>
        </w:rPr>
        <w:t>.</w:t>
      </w:r>
    </w:p>
    <w:p w14:paraId="04951E5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67BA71E2"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76AFC95C"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0CCBB97"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594582B8"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09BDB84A" w14:textId="77777777" w:rsidR="002F753A" w:rsidRDefault="002F753A" w:rsidP="00D827EC">
      <w:pPr>
        <w:spacing w:after="0" w:line="240" w:lineRule="auto"/>
        <w:jc w:val="center"/>
        <w:rPr>
          <w:rFonts w:ascii="Times New Roman" w:eastAsia="Times New Roman" w:hAnsi="Times New Roman" w:cs="Times New Roman"/>
          <w:b/>
          <w:sz w:val="24"/>
          <w:szCs w:val="24"/>
          <w:lang w:eastAsia="cs-CZ"/>
        </w:rPr>
      </w:pPr>
    </w:p>
    <w:p w14:paraId="1261FFCE"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49F3443"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7AA4D18B"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2007AE38"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61B3636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39F91DB7" w14:textId="77777777" w:rsidR="00D827EC" w:rsidRPr="00D827EC" w:rsidRDefault="00D827EC" w:rsidP="00D827EC">
      <w:pPr>
        <w:spacing w:line="240" w:lineRule="auto"/>
        <w:jc w:val="both"/>
        <w:rPr>
          <w:rFonts w:ascii="Times New Roman" w:hAnsi="Times New Roman" w:cs="Times New Roman"/>
          <w:b/>
          <w:sz w:val="24"/>
          <w:szCs w:val="24"/>
        </w:rPr>
      </w:pPr>
    </w:p>
    <w:p w14:paraId="24F5D145"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056A0B1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50389F6A"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xml:space="preserve">.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27487D7A" w14:textId="2C8D7808"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lastRenderedPageBreak/>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 xml:space="preserve">a to v poměru majetkových podílů, v jakém se na vytvoření výsledku projektu tvůrčí prací podíleli pracovníci každé z příslušných </w:t>
      </w:r>
      <w:r w:rsidR="00C306F9">
        <w:rPr>
          <w:rFonts w:ascii="Times New Roman" w:hAnsi="Times New Roman" w:cs="Times New Roman"/>
          <w:sz w:val="24"/>
          <w:szCs w:val="24"/>
        </w:rPr>
        <w:t>s</w:t>
      </w:r>
      <w:r w:rsidR="00A06C38" w:rsidRPr="00A06C38">
        <w:rPr>
          <w:rFonts w:ascii="Times New Roman" w:hAnsi="Times New Roman" w:cs="Times New Roman"/>
          <w:sz w:val="24"/>
          <w:szCs w:val="24"/>
        </w:rPr>
        <w:t>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w:t>
      </w:r>
      <w:r w:rsidR="008F46D6">
        <w:rPr>
          <w:rFonts w:ascii="Times New Roman" w:hAnsi="Times New Roman" w:cs="Times New Roman"/>
          <w:sz w:val="24"/>
          <w:szCs w:val="24"/>
        </w:rPr>
        <w:t xml:space="preserve"> podílejících se na jeho dosažení</w:t>
      </w:r>
      <w:r w:rsidRPr="00D827EC">
        <w:rPr>
          <w:rFonts w:ascii="Times New Roman" w:hAnsi="Times New Roman" w:cs="Times New Roman"/>
          <w:sz w:val="24"/>
          <w:szCs w:val="24"/>
        </w:rPr>
        <w:t xml:space="preserve">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3026E3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2F4BE77D" w14:textId="75DFF149"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w:t>
      </w:r>
      <w:r w:rsidR="00FA7388">
        <w:rPr>
          <w:rFonts w:ascii="Times New Roman" w:hAnsi="Times New Roman" w:cs="Times New Roman"/>
          <w:sz w:val="24"/>
          <w:szCs w:val="24"/>
        </w:rPr>
        <w:t>jiné</w:t>
      </w:r>
      <w:r w:rsidR="00FA7388"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smluvní straně nebo k němu </w:t>
      </w:r>
      <w:r w:rsidR="00FA7388">
        <w:rPr>
          <w:rFonts w:ascii="Times New Roman" w:hAnsi="Times New Roman" w:cs="Times New Roman"/>
          <w:sz w:val="24"/>
          <w:szCs w:val="24"/>
        </w:rPr>
        <w:t>jiná</w:t>
      </w:r>
      <w:r w:rsidR="00FA7388"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smluvní strana může získat přístupová práva, a to vždy za tržní cenu. </w:t>
      </w:r>
    </w:p>
    <w:p w14:paraId="0DFC6B46" w14:textId="2B38733C"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V případě výsledku projektu ve spoluvlastnictví smluvních stran může některý ze spoluvlastníků převést svůj podíl na třetí osobu jen v případě, že žádný ze </w:t>
      </w:r>
      <w:r w:rsidR="00C306F9" w:rsidRPr="00EA0B4C">
        <w:rPr>
          <w:rFonts w:ascii="Times New Roman" w:hAnsi="Times New Roman" w:cs="Times New Roman"/>
          <w:sz w:val="24"/>
          <w:szCs w:val="24"/>
        </w:rPr>
        <w:t>spolu</w:t>
      </w:r>
      <w:r w:rsidR="00C306F9">
        <w:rPr>
          <w:rFonts w:ascii="Times New Roman" w:hAnsi="Times New Roman" w:cs="Times New Roman"/>
          <w:sz w:val="24"/>
          <w:szCs w:val="24"/>
        </w:rPr>
        <w:t>vlastníků</w:t>
      </w:r>
      <w:r w:rsidR="00C306F9" w:rsidRP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7AC0D23"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0E80ADBE" w14:textId="2FA98610"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D4042C">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7996041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0B2733A2"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32845780" w14:textId="77777777" w:rsidR="00963527" w:rsidRDefault="00963527" w:rsidP="00D827EC">
      <w:pPr>
        <w:spacing w:after="0" w:line="240" w:lineRule="auto"/>
        <w:jc w:val="center"/>
        <w:rPr>
          <w:rFonts w:ascii="Times New Roman" w:eastAsia="Times New Roman" w:hAnsi="Times New Roman" w:cs="Times New Roman"/>
          <w:b/>
          <w:sz w:val="24"/>
          <w:szCs w:val="24"/>
          <w:lang w:eastAsia="cs-CZ"/>
        </w:rPr>
      </w:pPr>
    </w:p>
    <w:p w14:paraId="79F48286" w14:textId="7C8918AB"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3440431F"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205BBA3B" w14:textId="78C5B876"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w:t>
      </w:r>
      <w:r w:rsidR="00D4042C">
        <w:rPr>
          <w:rFonts w:ascii="Times New Roman" w:hAnsi="Times New Roman" w:cs="Times New Roman"/>
          <w:sz w:val="24"/>
          <w:szCs w:val="24"/>
        </w:rPr>
        <w:t>,</w:t>
      </w:r>
      <w:r w:rsidRPr="00D827EC">
        <w:rPr>
          <w:rFonts w:ascii="Times New Roman" w:hAnsi="Times New Roman" w:cs="Times New Roman"/>
          <w:sz w:val="24"/>
          <w:szCs w:val="24"/>
        </w:rPr>
        <w:t xml:space="preserve">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A042539"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0C14F9F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1BC62EC2"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1CFC7A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1CF573C6"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0F6727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03645384"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3AE4B0E4" w14:textId="18B19EF0"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D4042C">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65DEC9C6" w14:textId="77777777" w:rsidR="00916494" w:rsidRDefault="00916494" w:rsidP="00D827EC">
      <w:pPr>
        <w:spacing w:after="0" w:line="240" w:lineRule="auto"/>
        <w:jc w:val="center"/>
        <w:rPr>
          <w:rFonts w:ascii="Times New Roman" w:eastAsia="Times New Roman" w:hAnsi="Times New Roman" w:cs="Times New Roman"/>
          <w:b/>
          <w:sz w:val="24"/>
          <w:szCs w:val="24"/>
          <w:lang w:eastAsia="cs-CZ"/>
        </w:rPr>
      </w:pPr>
    </w:p>
    <w:p w14:paraId="586B2023" w14:textId="50F1C351"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20BCCF09"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065F4A77"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smluvními stranami vůči poskytovateli je příjemce.</w:t>
      </w:r>
    </w:p>
    <w:p w14:paraId="10B86191" w14:textId="1588CF4F"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D4042C">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0C83C335"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35E47F5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9F5806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7A4B9C7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41BDC7FC"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28ADF114"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w:t>
      </w:r>
      <w:r w:rsidR="00693841">
        <w:rPr>
          <w:rFonts w:ascii="Times New Roman" w:hAnsi="Times New Roman" w:cs="Times New Roman"/>
          <w:sz w:val="24"/>
          <w:szCs w:val="24"/>
        </w:rPr>
        <w:t>kterákoliv</w:t>
      </w:r>
      <w:r w:rsidRPr="00D827EC">
        <w:rPr>
          <w:rFonts w:ascii="Times New Roman" w:hAnsi="Times New Roman" w:cs="Times New Roman"/>
          <w:sz w:val="24"/>
          <w:szCs w:val="24"/>
        </w:rPr>
        <w:t xml:space="preserve"> smluvní strana poruší své povinnosti vyplývající z této smlouvy podstatným způsobem nebo ani přes výzvu nesplní některou z povinností vyplývající z této smlouvy. </w:t>
      </w:r>
    </w:p>
    <w:p w14:paraId="340660A3"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73B614EB" w14:textId="4818F630"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sidR="00693841">
        <w:rPr>
          <w:rFonts w:ascii="Times New Roman" w:hAnsi="Times New Roman" w:cs="Times New Roman"/>
          <w:sz w:val="24"/>
          <w:szCs w:val="24"/>
        </w:rPr>
        <w:t>kterékoliv</w:t>
      </w:r>
      <w:r>
        <w:rPr>
          <w:rFonts w:ascii="Times New Roman" w:hAnsi="Times New Roman" w:cs="Times New Roman"/>
          <w:sz w:val="24"/>
          <w:szCs w:val="24"/>
        </w:rPr>
        <w:t xml:space="preserve"> smluvní strany</w:t>
      </w:r>
      <w:r w:rsidRPr="00D827EC">
        <w:rPr>
          <w:rFonts w:ascii="Times New Roman" w:hAnsi="Times New Roman" w:cs="Times New Roman"/>
          <w:sz w:val="24"/>
          <w:szCs w:val="24"/>
        </w:rPr>
        <w:t xml:space="preserve"> nápravu takového jednání v dodatečné přiměřené lhůtě</w:t>
      </w:r>
      <w:r w:rsidR="00453618">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2B4D750E" w14:textId="49BFB7FB"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w:t>
      </w:r>
    </w:p>
    <w:p w14:paraId="55907353" w14:textId="77777777"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21A51DCE" w14:textId="01A911BB"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w:t>
      </w:r>
      <w:r w:rsidR="00196CC1">
        <w:rPr>
          <w:rFonts w:ascii="Times New Roman" w:hAnsi="Times New Roman" w:cs="Times New Roman"/>
          <w:sz w:val="24"/>
          <w:szCs w:val="24"/>
        </w:rPr>
        <w:t>7</w:t>
      </w:r>
      <w:r w:rsidRPr="00D827EC">
        <w:rPr>
          <w:rFonts w:ascii="Times New Roman" w:hAnsi="Times New Roman" w:cs="Times New Roman"/>
          <w:sz w:val="24"/>
          <w:szCs w:val="24"/>
        </w:rPr>
        <w:t xml:space="preserve">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56753BD4" w14:textId="4E19E5CF"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w:t>
      </w:r>
      <w:r w:rsidR="00196CC1">
        <w:rPr>
          <w:rFonts w:ascii="Times New Roman" w:hAnsi="Times New Roman" w:cs="Times New Roman"/>
          <w:sz w:val="24"/>
          <w:szCs w:val="24"/>
        </w:rPr>
        <w:t>9</w:t>
      </w:r>
      <w:r w:rsidRPr="00D827EC">
        <w:rPr>
          <w:rFonts w:ascii="Times New Roman" w:hAnsi="Times New Roman" w:cs="Times New Roman"/>
          <w:sz w:val="24"/>
          <w:szCs w:val="24"/>
        </w:rPr>
        <w:t xml:space="preserve">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r w:rsidR="00453618">
        <w:rPr>
          <w:rFonts w:ascii="Times New Roman" w:hAnsi="Times New Roman" w:cs="Times New Roman"/>
          <w:sz w:val="24"/>
          <w:szCs w:val="24"/>
        </w:rPr>
        <w:t>,</w:t>
      </w:r>
    </w:p>
    <w:p w14:paraId="6A85259B"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1100933D" w14:textId="77777777" w:rsidR="00D827EC" w:rsidRPr="00D827EC" w:rsidRDefault="00D827EC" w:rsidP="00D827EC">
      <w:pPr>
        <w:spacing w:line="240" w:lineRule="auto"/>
        <w:jc w:val="both"/>
        <w:rPr>
          <w:rFonts w:ascii="Times New Roman" w:hAnsi="Times New Roman" w:cs="Times New Roman"/>
          <w:b/>
          <w:sz w:val="24"/>
          <w:szCs w:val="24"/>
        </w:rPr>
      </w:pPr>
    </w:p>
    <w:p w14:paraId="5E1D3C2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2299E92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05926B77"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5D317617"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4D8C4398" w14:textId="3DE4266E"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ozhodnutí o poskytnutí dotace či uveřejněním v registru smluv dle zákona č. 340/2015 Sb.</w:t>
      </w:r>
      <w:r w:rsidR="00885C10">
        <w:rPr>
          <w:rFonts w:ascii="Times New Roman" w:hAnsi="Times New Roman" w:cs="Times New Roman"/>
          <w:sz w:val="24"/>
          <w:szCs w:val="24"/>
        </w:rPr>
        <w:t>,</w:t>
      </w:r>
      <w:r w:rsidR="00885C10" w:rsidRPr="00885C10">
        <w:t xml:space="preserve"> </w:t>
      </w:r>
      <w:r w:rsidR="00885C10"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85C10">
        <w:rPr>
          <w:rFonts w:ascii="Times New Roman" w:hAnsi="Times New Roman" w:cs="Times New Roman"/>
          <w:sz w:val="24"/>
          <w:szCs w:val="24"/>
        </w:rPr>
        <w:t>ve znění pozdějších předpisů</w:t>
      </w:r>
      <w:r w:rsidRPr="00D827EC">
        <w:rPr>
          <w:rFonts w:ascii="Times New Roman" w:hAnsi="Times New Roman" w:cs="Times New Roman"/>
          <w:sz w:val="24"/>
          <w:szCs w:val="24"/>
        </w:rPr>
        <w:t xml:space="preserve">,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90A05FF" w14:textId="41E57979"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85C10">
        <w:rPr>
          <w:rFonts w:ascii="Times New Roman" w:hAnsi="Times New Roman" w:cs="Times New Roman"/>
          <w:sz w:val="24"/>
          <w:szCs w:val="24"/>
        </w:rPr>
        <w:t xml:space="preserve">ve znění pozdějších předpisů, </w:t>
      </w:r>
      <w:r w:rsidRPr="00D827EC">
        <w:rPr>
          <w:rFonts w:ascii="Times New Roman" w:hAnsi="Times New Roman" w:cs="Times New Roman"/>
          <w:sz w:val="24"/>
          <w:szCs w:val="24"/>
        </w:rPr>
        <w:t>a dalšími obecně závaznými právními předpisy České republiky.</w:t>
      </w:r>
    </w:p>
    <w:p w14:paraId="3094D111" w14:textId="16083041"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w:t>
      </w:r>
      <w:r w:rsidR="00693841">
        <w:rPr>
          <w:rFonts w:ascii="Times New Roman" w:hAnsi="Times New Roman" w:cs="Times New Roman"/>
          <w:sz w:val="24"/>
          <w:szCs w:val="24"/>
        </w:rPr>
        <w:t xml:space="preserve"> </w:t>
      </w:r>
      <w:r w:rsidRPr="00D827EC">
        <w:rPr>
          <w:rFonts w:ascii="Times New Roman" w:hAnsi="Times New Roman" w:cs="Times New Roman"/>
          <w:sz w:val="24"/>
          <w:szCs w:val="24"/>
        </w:rPr>
        <w:t>podléhají uveřejnění v registru smluv dle zákona č. 340/2015 Sb.</w:t>
      </w:r>
      <w:r w:rsidR="00885C10">
        <w:rPr>
          <w:rFonts w:ascii="Times New Roman" w:hAnsi="Times New Roman" w:cs="Times New Roman"/>
          <w:sz w:val="24"/>
          <w:szCs w:val="24"/>
        </w:rPr>
        <w:t>,</w:t>
      </w:r>
      <w:r w:rsidR="00885C10" w:rsidRPr="00885C10">
        <w:t xml:space="preserve"> </w:t>
      </w:r>
      <w:r w:rsidR="00885C10"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85C10">
        <w:rPr>
          <w:rFonts w:ascii="Times New Roman" w:hAnsi="Times New Roman" w:cs="Times New Roman"/>
          <w:sz w:val="24"/>
          <w:szCs w:val="24"/>
        </w:rPr>
        <w:t>ve znění pozdějších předpisů.</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 účastník projektu, za účelem uveřejnění musí být tato </w:t>
      </w:r>
      <w:r w:rsidR="00885C10">
        <w:rPr>
          <w:rFonts w:ascii="Times New Roman" w:hAnsi="Times New Roman" w:cs="Times New Roman"/>
          <w:sz w:val="24"/>
          <w:szCs w:val="24"/>
        </w:rPr>
        <w:t>s</w:t>
      </w:r>
      <w:r w:rsidR="00AC0FB0" w:rsidRPr="00AC0FB0">
        <w:rPr>
          <w:rFonts w:ascii="Times New Roman" w:hAnsi="Times New Roman" w:cs="Times New Roman"/>
          <w:sz w:val="24"/>
          <w:szCs w:val="24"/>
        </w:rPr>
        <w:t xml:space="preserve">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alšímu účastníkovi projektu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C97349">
        <w:rPr>
          <w:rFonts w:ascii="Times New Roman" w:hAnsi="Times New Roman" w:cs="Times New Roman"/>
          <w:sz w:val="24"/>
          <w:szCs w:val="24"/>
        </w:rPr>
        <w:t>)</w:t>
      </w:r>
      <w:r w:rsidR="00AC0FB0" w:rsidRPr="00AC0FB0">
        <w:rPr>
          <w:rFonts w:ascii="Times New Roman" w:hAnsi="Times New Roman" w:cs="Times New Roman"/>
          <w:sz w:val="24"/>
          <w:szCs w:val="24"/>
        </w:rPr>
        <w:t>.</w:t>
      </w:r>
    </w:p>
    <w:p w14:paraId="58255350" w14:textId="56E0C065"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w:t>
      </w:r>
      <w:r w:rsidR="00F40523">
        <w:rPr>
          <w:rFonts w:ascii="Times New Roman" w:hAnsi="Times New Roman" w:cs="Times New Roman"/>
          <w:sz w:val="24"/>
          <w:szCs w:val="24"/>
        </w:rPr>
        <w:t>dvou</w:t>
      </w:r>
      <w:r w:rsidR="00F40523" w:rsidRPr="00AC0FB0">
        <w:rPr>
          <w:rFonts w:ascii="Times New Roman" w:hAnsi="Times New Roman" w:cs="Times New Roman"/>
          <w:sz w:val="24"/>
          <w:szCs w:val="24"/>
        </w:rPr>
        <w:t xml:space="preserve"> </w:t>
      </w:r>
      <w:r w:rsidRPr="00AC0FB0">
        <w:rPr>
          <w:rFonts w:ascii="Times New Roman" w:hAnsi="Times New Roman" w:cs="Times New Roman"/>
          <w:sz w:val="24"/>
          <w:szCs w:val="24"/>
        </w:rPr>
        <w:t xml:space="preserve">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78370E70" w14:textId="0EF40B05" w:rsidR="00D827EC" w:rsidRPr="00D827EC" w:rsidRDefault="00D827EC" w:rsidP="00BE50E0">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7331CB55" w14:textId="798FF80B" w:rsidR="00D827EC" w:rsidRDefault="00D827EC" w:rsidP="00D827EC">
      <w:pPr>
        <w:spacing w:line="240" w:lineRule="auto"/>
        <w:jc w:val="both"/>
        <w:rPr>
          <w:rFonts w:ascii="Times New Roman" w:hAnsi="Times New Roman" w:cs="Times New Roman"/>
          <w:sz w:val="24"/>
          <w:szCs w:val="24"/>
        </w:rPr>
      </w:pPr>
    </w:p>
    <w:p w14:paraId="575B257F" w14:textId="77777777" w:rsidR="009C73A5" w:rsidRPr="00D827EC" w:rsidRDefault="009C73A5"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46"/>
        <w:gridCol w:w="1014"/>
        <w:gridCol w:w="4112"/>
      </w:tblGrid>
      <w:tr w:rsidR="00D827EC" w:rsidRPr="00D827EC" w14:paraId="1E1C79FB" w14:textId="77777777" w:rsidTr="00453618">
        <w:trPr>
          <w:jc w:val="center"/>
        </w:trPr>
        <w:tc>
          <w:tcPr>
            <w:tcW w:w="4156" w:type="dxa"/>
          </w:tcPr>
          <w:p w14:paraId="58526467" w14:textId="0741D15D"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lastRenderedPageBreak/>
              <w:t xml:space="preserve">V </w:t>
            </w:r>
            <w:r w:rsidR="00F40523">
              <w:rPr>
                <w:rFonts w:ascii="Times New Roman" w:hAnsi="Times New Roman" w:cs="Times New Roman"/>
                <w:sz w:val="24"/>
                <w:szCs w:val="24"/>
              </w:rPr>
              <w:t>Brně</w:t>
            </w:r>
            <w:r w:rsidR="00F40523" w:rsidRPr="00D827EC">
              <w:rPr>
                <w:rFonts w:ascii="Times New Roman" w:hAnsi="Times New Roman" w:cs="Times New Roman"/>
                <w:sz w:val="24"/>
                <w:szCs w:val="24"/>
              </w:rPr>
              <w:t xml:space="preserve"> </w:t>
            </w:r>
            <w:r w:rsidRPr="00D827EC">
              <w:rPr>
                <w:rFonts w:ascii="Times New Roman" w:hAnsi="Times New Roman" w:cs="Times New Roman"/>
                <w:sz w:val="24"/>
                <w:szCs w:val="24"/>
              </w:rPr>
              <w:t>dne…</w:t>
            </w:r>
            <w:proofErr w:type="gramStart"/>
            <w:r w:rsidRPr="00D827EC">
              <w:rPr>
                <w:rFonts w:ascii="Times New Roman" w:hAnsi="Times New Roman" w:cs="Times New Roman"/>
                <w:sz w:val="24"/>
                <w:szCs w:val="24"/>
              </w:rPr>
              <w:t>…….</w:t>
            </w:r>
            <w:proofErr w:type="gramEnd"/>
            <w:r w:rsidRPr="00D827EC">
              <w:rPr>
                <w:rFonts w:ascii="Times New Roman" w:hAnsi="Times New Roman" w:cs="Times New Roman"/>
                <w:sz w:val="24"/>
                <w:szCs w:val="24"/>
              </w:rPr>
              <w:t>.</w:t>
            </w:r>
          </w:p>
        </w:tc>
        <w:tc>
          <w:tcPr>
            <w:tcW w:w="1080" w:type="dxa"/>
          </w:tcPr>
          <w:p w14:paraId="6BE2AC3E"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71F6A4C8" w14:textId="77777777"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14:paraId="58C82186" w14:textId="77777777" w:rsidTr="00453618">
        <w:trPr>
          <w:jc w:val="center"/>
        </w:trPr>
        <w:tc>
          <w:tcPr>
            <w:tcW w:w="4156" w:type="dxa"/>
          </w:tcPr>
          <w:p w14:paraId="45804642"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65143508"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534352B1"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60F272BA" w14:textId="77777777" w:rsidTr="00453618">
        <w:trPr>
          <w:trHeight w:val="947"/>
          <w:jc w:val="center"/>
        </w:trPr>
        <w:tc>
          <w:tcPr>
            <w:tcW w:w="4156" w:type="dxa"/>
            <w:tcBorders>
              <w:bottom w:val="dashed" w:sz="8" w:space="0" w:color="auto"/>
            </w:tcBorders>
          </w:tcPr>
          <w:p w14:paraId="10BAE7A0"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6D54A5B6"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636626FC"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7C15B07C" w14:textId="77777777" w:rsidTr="00453618">
        <w:trPr>
          <w:jc w:val="center"/>
        </w:trPr>
        <w:tc>
          <w:tcPr>
            <w:tcW w:w="4156" w:type="dxa"/>
            <w:tcBorders>
              <w:top w:val="dashed" w:sz="8" w:space="0" w:color="auto"/>
            </w:tcBorders>
          </w:tcPr>
          <w:p w14:paraId="502839F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32447DE4"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089E6069"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3EE541AF" w14:textId="5B01EBCD"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r w:rsidR="00693841">
              <w:rPr>
                <w:rFonts w:ascii="Times New Roman" w:hAnsi="Times New Roman" w:cs="Times New Roman"/>
                <w:sz w:val="24"/>
                <w:szCs w:val="24"/>
              </w:rPr>
              <w:t xml:space="preserve"> </w:t>
            </w:r>
          </w:p>
        </w:tc>
      </w:tr>
    </w:tbl>
    <w:p w14:paraId="6720840C" w14:textId="77777777" w:rsidR="00D827EC" w:rsidRPr="00D827EC" w:rsidRDefault="00D827EC" w:rsidP="00D827EC">
      <w:pPr>
        <w:spacing w:line="240" w:lineRule="auto"/>
        <w:jc w:val="both"/>
        <w:rPr>
          <w:rFonts w:ascii="Times New Roman" w:hAnsi="Times New Roman" w:cs="Times New Roman"/>
          <w:sz w:val="24"/>
          <w:szCs w:val="24"/>
        </w:rPr>
      </w:pPr>
    </w:p>
    <w:p w14:paraId="35919D47" w14:textId="5C709A8E" w:rsidR="007E433A" w:rsidRDefault="007E433A" w:rsidP="007E433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E5E7A6" w14:textId="0AF49749" w:rsidR="00782E43" w:rsidRDefault="00782E43" w:rsidP="007E433A">
      <w:pPr>
        <w:spacing w:line="240" w:lineRule="auto"/>
        <w:jc w:val="both"/>
        <w:rPr>
          <w:rFonts w:ascii="Times New Roman" w:hAnsi="Times New Roman" w:cs="Times New Roman"/>
          <w:sz w:val="24"/>
          <w:szCs w:val="24"/>
        </w:rPr>
      </w:pPr>
    </w:p>
    <w:p w14:paraId="4F56E208" w14:textId="4B5D7BB0" w:rsidR="00D827EC" w:rsidRPr="00D827EC" w:rsidRDefault="00782E43">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Příloha č. 1: Rozpočet </w:t>
      </w:r>
    </w:p>
    <w:sectPr w:rsidR="00D827EC" w:rsidRPr="00D827EC" w:rsidSect="0045361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AE08" w14:textId="77777777" w:rsidR="003F22A8" w:rsidRDefault="003F22A8">
      <w:pPr>
        <w:spacing w:after="0" w:line="240" w:lineRule="auto"/>
      </w:pPr>
      <w:r>
        <w:separator/>
      </w:r>
    </w:p>
  </w:endnote>
  <w:endnote w:type="continuationSeparator" w:id="0">
    <w:p w14:paraId="6E122497" w14:textId="77777777" w:rsidR="003F22A8" w:rsidRDefault="003F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FA51" w14:textId="77777777" w:rsidR="00453618" w:rsidRDefault="009E4007">
    <w:pPr>
      <w:pStyle w:val="Zpat"/>
      <w:jc w:val="right"/>
    </w:pPr>
    <w:r>
      <w:fldChar w:fldCharType="begin"/>
    </w:r>
    <w:r>
      <w:instrText xml:space="preserve"> PAGE   \* MERGEFORMAT </w:instrText>
    </w:r>
    <w:r>
      <w:fldChar w:fldCharType="separate"/>
    </w:r>
    <w:r w:rsidR="00CE1D7D">
      <w:rPr>
        <w:noProof/>
      </w:rPr>
      <w:t>7</w:t>
    </w:r>
    <w:r>
      <w:fldChar w:fldCharType="end"/>
    </w:r>
  </w:p>
  <w:p w14:paraId="62C9E3CB" w14:textId="77777777" w:rsidR="00453618" w:rsidRDefault="00453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0F1C" w14:textId="77777777" w:rsidR="003F22A8" w:rsidRDefault="003F22A8">
      <w:pPr>
        <w:spacing w:after="0" w:line="240" w:lineRule="auto"/>
      </w:pPr>
      <w:r>
        <w:separator/>
      </w:r>
    </w:p>
  </w:footnote>
  <w:footnote w:type="continuationSeparator" w:id="0">
    <w:p w14:paraId="2F2CD397" w14:textId="77777777" w:rsidR="003F22A8" w:rsidRDefault="003F2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8A65" w14:textId="77777777" w:rsidR="00453618" w:rsidRDefault="00453618">
    <w:pPr>
      <w:pStyle w:val="Zhlav"/>
    </w:pPr>
  </w:p>
  <w:p w14:paraId="00164892" w14:textId="77777777" w:rsidR="00453618" w:rsidRDefault="004536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637223997">
    <w:abstractNumId w:val="8"/>
  </w:num>
  <w:num w:numId="2" w16cid:durableId="2088455491">
    <w:abstractNumId w:val="15"/>
  </w:num>
  <w:num w:numId="3" w16cid:durableId="1298145412">
    <w:abstractNumId w:val="6"/>
  </w:num>
  <w:num w:numId="4" w16cid:durableId="1252549289">
    <w:abstractNumId w:val="16"/>
  </w:num>
  <w:num w:numId="5" w16cid:durableId="1668049201">
    <w:abstractNumId w:val="11"/>
  </w:num>
  <w:num w:numId="6" w16cid:durableId="881745913">
    <w:abstractNumId w:val="7"/>
  </w:num>
  <w:num w:numId="7" w16cid:durableId="1129015565">
    <w:abstractNumId w:val="10"/>
  </w:num>
  <w:num w:numId="8" w16cid:durableId="402679435">
    <w:abstractNumId w:val="3"/>
  </w:num>
  <w:num w:numId="9" w16cid:durableId="644629461">
    <w:abstractNumId w:val="14"/>
  </w:num>
  <w:num w:numId="10" w16cid:durableId="94641446">
    <w:abstractNumId w:val="12"/>
  </w:num>
  <w:num w:numId="11" w16cid:durableId="276375706">
    <w:abstractNumId w:val="1"/>
  </w:num>
  <w:num w:numId="12" w16cid:durableId="1503813351">
    <w:abstractNumId w:val="13"/>
  </w:num>
  <w:num w:numId="13" w16cid:durableId="1841892574">
    <w:abstractNumId w:val="2"/>
  </w:num>
  <w:num w:numId="14" w16cid:durableId="1680043531">
    <w:abstractNumId w:val="9"/>
  </w:num>
  <w:num w:numId="15" w16cid:durableId="1911228160">
    <w:abstractNumId w:val="5"/>
  </w:num>
  <w:num w:numId="16" w16cid:durableId="1135368712">
    <w:abstractNumId w:val="4"/>
  </w:num>
  <w:num w:numId="17" w16cid:durableId="124946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MDY1MDE0NDU3NbNU0lEKTi0uzszPAykwrAUA0YiJCSwAAAA="/>
  </w:docVars>
  <w:rsids>
    <w:rsidRoot w:val="00D827EC"/>
    <w:rsid w:val="000109F6"/>
    <w:rsid w:val="00052409"/>
    <w:rsid w:val="000578F3"/>
    <w:rsid w:val="00091F7B"/>
    <w:rsid w:val="000B003E"/>
    <w:rsid w:val="000C574C"/>
    <w:rsid w:val="000E1B92"/>
    <w:rsid w:val="001079D5"/>
    <w:rsid w:val="00117ACF"/>
    <w:rsid w:val="001455F2"/>
    <w:rsid w:val="00163307"/>
    <w:rsid w:val="00196CC1"/>
    <w:rsid w:val="001F54C6"/>
    <w:rsid w:val="002169CF"/>
    <w:rsid w:val="00222DD0"/>
    <w:rsid w:val="00236B08"/>
    <w:rsid w:val="002406F8"/>
    <w:rsid w:val="002432A5"/>
    <w:rsid w:val="002432EA"/>
    <w:rsid w:val="0026652C"/>
    <w:rsid w:val="00272CC3"/>
    <w:rsid w:val="00273245"/>
    <w:rsid w:val="00286517"/>
    <w:rsid w:val="002922A2"/>
    <w:rsid w:val="002F4A1C"/>
    <w:rsid w:val="002F753A"/>
    <w:rsid w:val="003104FF"/>
    <w:rsid w:val="00334778"/>
    <w:rsid w:val="00387E8C"/>
    <w:rsid w:val="0039333A"/>
    <w:rsid w:val="00393502"/>
    <w:rsid w:val="00393CF0"/>
    <w:rsid w:val="003F22A8"/>
    <w:rsid w:val="00421A10"/>
    <w:rsid w:val="004266C5"/>
    <w:rsid w:val="004379B7"/>
    <w:rsid w:val="00453618"/>
    <w:rsid w:val="004668E6"/>
    <w:rsid w:val="00470B08"/>
    <w:rsid w:val="004826BE"/>
    <w:rsid w:val="004B0D14"/>
    <w:rsid w:val="004C4789"/>
    <w:rsid w:val="004C6464"/>
    <w:rsid w:val="00513180"/>
    <w:rsid w:val="005501D6"/>
    <w:rsid w:val="00622C98"/>
    <w:rsid w:val="00632B30"/>
    <w:rsid w:val="006513D4"/>
    <w:rsid w:val="00651BFA"/>
    <w:rsid w:val="00665978"/>
    <w:rsid w:val="00693841"/>
    <w:rsid w:val="006A010D"/>
    <w:rsid w:val="006C2300"/>
    <w:rsid w:val="006E1989"/>
    <w:rsid w:val="006F7BF4"/>
    <w:rsid w:val="0070156F"/>
    <w:rsid w:val="00707AFE"/>
    <w:rsid w:val="007275C7"/>
    <w:rsid w:val="00782E43"/>
    <w:rsid w:val="007A0FD2"/>
    <w:rsid w:val="007A25DD"/>
    <w:rsid w:val="007B3829"/>
    <w:rsid w:val="007D63BF"/>
    <w:rsid w:val="007E433A"/>
    <w:rsid w:val="007E55D7"/>
    <w:rsid w:val="007E6288"/>
    <w:rsid w:val="00830406"/>
    <w:rsid w:val="00885C10"/>
    <w:rsid w:val="00886490"/>
    <w:rsid w:val="008A4273"/>
    <w:rsid w:val="008B0CEC"/>
    <w:rsid w:val="008E708D"/>
    <w:rsid w:val="008F0566"/>
    <w:rsid w:val="008F097D"/>
    <w:rsid w:val="008F30D9"/>
    <w:rsid w:val="008F46D6"/>
    <w:rsid w:val="00902F1C"/>
    <w:rsid w:val="00916494"/>
    <w:rsid w:val="00935FFE"/>
    <w:rsid w:val="00936370"/>
    <w:rsid w:val="00937AEF"/>
    <w:rsid w:val="009472CF"/>
    <w:rsid w:val="00963527"/>
    <w:rsid w:val="0097067C"/>
    <w:rsid w:val="00981166"/>
    <w:rsid w:val="009C73A5"/>
    <w:rsid w:val="009E4007"/>
    <w:rsid w:val="00A011C5"/>
    <w:rsid w:val="00A06C38"/>
    <w:rsid w:val="00A13CD7"/>
    <w:rsid w:val="00A23630"/>
    <w:rsid w:val="00A375E1"/>
    <w:rsid w:val="00A46331"/>
    <w:rsid w:val="00A46EFC"/>
    <w:rsid w:val="00A52568"/>
    <w:rsid w:val="00A75DD4"/>
    <w:rsid w:val="00A9043F"/>
    <w:rsid w:val="00AB2FFE"/>
    <w:rsid w:val="00AC0FB0"/>
    <w:rsid w:val="00B32AB9"/>
    <w:rsid w:val="00B660E7"/>
    <w:rsid w:val="00B7097D"/>
    <w:rsid w:val="00B76FD2"/>
    <w:rsid w:val="00B80F28"/>
    <w:rsid w:val="00B93163"/>
    <w:rsid w:val="00BA26FC"/>
    <w:rsid w:val="00BB306A"/>
    <w:rsid w:val="00BB7C6A"/>
    <w:rsid w:val="00BD0C6F"/>
    <w:rsid w:val="00BE50E0"/>
    <w:rsid w:val="00BF3B45"/>
    <w:rsid w:val="00C00179"/>
    <w:rsid w:val="00C306F9"/>
    <w:rsid w:val="00C352F3"/>
    <w:rsid w:val="00C54B0B"/>
    <w:rsid w:val="00C64E03"/>
    <w:rsid w:val="00C7334D"/>
    <w:rsid w:val="00C800DE"/>
    <w:rsid w:val="00C8690D"/>
    <w:rsid w:val="00C9236A"/>
    <w:rsid w:val="00C97349"/>
    <w:rsid w:val="00CE1D7D"/>
    <w:rsid w:val="00CF0F81"/>
    <w:rsid w:val="00D20499"/>
    <w:rsid w:val="00D35307"/>
    <w:rsid w:val="00D4042C"/>
    <w:rsid w:val="00D5646F"/>
    <w:rsid w:val="00D71C2B"/>
    <w:rsid w:val="00D827EC"/>
    <w:rsid w:val="00D914DF"/>
    <w:rsid w:val="00DA6A0E"/>
    <w:rsid w:val="00DE353D"/>
    <w:rsid w:val="00DE59B4"/>
    <w:rsid w:val="00E4126F"/>
    <w:rsid w:val="00E83CF1"/>
    <w:rsid w:val="00EA0B4C"/>
    <w:rsid w:val="00EC0759"/>
    <w:rsid w:val="00EF394A"/>
    <w:rsid w:val="00F0027C"/>
    <w:rsid w:val="00F046E9"/>
    <w:rsid w:val="00F40523"/>
    <w:rsid w:val="00F65E34"/>
    <w:rsid w:val="00F74028"/>
    <w:rsid w:val="00FA48A9"/>
    <w:rsid w:val="00FA4E5E"/>
    <w:rsid w:val="00FA7388"/>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4430"/>
  <w15:docId w15:val="{930FDA56-0675-4AAD-88B6-12DDCAC6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Revize">
    <w:name w:val="Revision"/>
    <w:hidden/>
    <w:uiPriority w:val="99"/>
    <w:semiHidden/>
    <w:rsid w:val="00236B08"/>
    <w:pPr>
      <w:spacing w:after="0" w:line="240" w:lineRule="auto"/>
    </w:pPr>
  </w:style>
  <w:style w:type="paragraph" w:styleId="Textbubliny">
    <w:name w:val="Balloon Text"/>
    <w:basedOn w:val="Normln"/>
    <w:link w:val="TextbublinyChar"/>
    <w:uiPriority w:val="99"/>
    <w:semiHidden/>
    <w:unhideWhenUsed/>
    <w:rsid w:val="00E412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126F"/>
    <w:rPr>
      <w:rFonts w:ascii="Segoe UI" w:hAnsi="Segoe UI" w:cs="Segoe UI"/>
      <w:sz w:val="18"/>
      <w:szCs w:val="18"/>
    </w:rPr>
  </w:style>
  <w:style w:type="character" w:styleId="Hypertextovodkaz">
    <w:name w:val="Hyperlink"/>
    <w:basedOn w:val="Standardnpsmoodstavce"/>
    <w:uiPriority w:val="99"/>
    <w:unhideWhenUsed/>
    <w:rsid w:val="00DA6A0E"/>
    <w:rPr>
      <w:color w:val="0000FF" w:themeColor="hyperlink"/>
      <w:u w:val="single"/>
    </w:rPr>
  </w:style>
  <w:style w:type="character" w:styleId="Nevyeenzmnka">
    <w:name w:val="Unresolved Mention"/>
    <w:basedOn w:val="Standardnpsmoodstavce"/>
    <w:uiPriority w:val="99"/>
    <w:semiHidden/>
    <w:unhideWhenUsed/>
    <w:rsid w:val="00DA6A0E"/>
    <w:rPr>
      <w:color w:val="605E5C"/>
      <w:shd w:val="clear" w:color="auto" w:fill="E1DFDD"/>
    </w:rPr>
  </w:style>
  <w:style w:type="character" w:styleId="Sledovanodkaz">
    <w:name w:val="FollowedHyperlink"/>
    <w:basedOn w:val="Standardnpsmoodstavce"/>
    <w:uiPriority w:val="99"/>
    <w:semiHidden/>
    <w:unhideWhenUsed/>
    <w:rsid w:val="00426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agentura.gov.cz/cs/podporovane-aktivity-optak/proof-of-concept-optak/proof-of-concept-vyzva-i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DB50-94E0-45D6-8056-F56F1A63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3490</Words>
  <Characters>20595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Jitka GAMMONS</dc:creator>
  <cp:keywords/>
  <dc:description/>
  <cp:lastModifiedBy>Blanka Grebeňová</cp:lastModifiedBy>
  <cp:revision>2</cp:revision>
  <cp:lastPrinted>2025-03-17T08:52:00Z</cp:lastPrinted>
  <dcterms:created xsi:type="dcterms:W3CDTF">2025-10-30T06:07:00Z</dcterms:created>
  <dcterms:modified xsi:type="dcterms:W3CDTF">2025-10-30T06:07:00Z</dcterms:modified>
</cp:coreProperties>
</file>