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37F5F78F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83482C" w:rsidRPr="0083482C">
        <w:rPr>
          <w:rFonts w:ascii="Arial" w:hAnsi="Arial" w:cs="Arial"/>
          <w:sz w:val="22"/>
          <w:szCs w:val="22"/>
        </w:rPr>
        <w:t>SD/2025/1136</w:t>
      </w:r>
      <w:r w:rsidRPr="00EB7ADD">
        <w:rPr>
          <w:rFonts w:ascii="Arial" w:hAnsi="Arial" w:cs="Arial"/>
          <w:sz w:val="22"/>
          <w:szCs w:val="22"/>
        </w:rPr>
        <w:t>, číslo smlouvy prodávajícího: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4B907A52" w:rsidR="0086703B" w:rsidRPr="005C34D0" w:rsidRDefault="00363B5E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Pr="0053176E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295EDB17" w14:textId="77777777" w:rsidR="00363B5E" w:rsidRPr="00376CAC" w:rsidRDefault="00363B5E" w:rsidP="00363B5E">
      <w:pPr>
        <w:jc w:val="both"/>
        <w:rPr>
          <w:rFonts w:ascii="Arial" w:hAnsi="Arial" w:cs="Arial"/>
          <w:b/>
          <w:sz w:val="22"/>
          <w:szCs w:val="22"/>
        </w:rPr>
      </w:pPr>
      <w:r w:rsidRPr="000A7ED2">
        <w:rPr>
          <w:rFonts w:ascii="Arial" w:hAnsi="Arial" w:cs="Arial"/>
          <w:b/>
          <w:sz w:val="22"/>
          <w:szCs w:val="22"/>
        </w:rPr>
        <w:t>COMP NET SYSTEMS, s.r.o.</w:t>
      </w:r>
    </w:p>
    <w:p w14:paraId="3707DC52" w14:textId="77777777" w:rsidR="00363B5E" w:rsidRPr="00376CAC" w:rsidRDefault="00363B5E" w:rsidP="00363B5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376CAC">
        <w:rPr>
          <w:rFonts w:ascii="Arial" w:hAnsi="Arial" w:cs="Arial"/>
          <w:sz w:val="22"/>
          <w:szCs w:val="22"/>
        </w:rPr>
        <w:t>e sídlem:</w:t>
      </w:r>
      <w:r w:rsidRPr="00376CAC"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Riegrova 2573/3, 46601 Jablonec nad Nisou</w:t>
      </w:r>
    </w:p>
    <w:p w14:paraId="439BFCE5" w14:textId="77777777" w:rsidR="00363B5E" w:rsidRPr="005C34D0" w:rsidRDefault="00363B5E" w:rsidP="00363B5E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575D7">
        <w:rPr>
          <w:rFonts w:ascii="Arial" w:hAnsi="Arial" w:cs="Arial"/>
          <w:sz w:val="22"/>
          <w:szCs w:val="22"/>
        </w:rPr>
        <w:t>astoupený:</w:t>
      </w:r>
      <w:r>
        <w:rPr>
          <w:rFonts w:ascii="Arial" w:hAnsi="Arial" w:cs="Arial"/>
          <w:sz w:val="22"/>
          <w:szCs w:val="22"/>
        </w:rPr>
        <w:tab/>
      </w:r>
      <w:r w:rsidRPr="00DB641C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DB641C">
        <w:rPr>
          <w:rFonts w:ascii="Arial" w:hAnsi="Arial" w:cs="Arial"/>
          <w:sz w:val="22"/>
          <w:szCs w:val="22"/>
        </w:rPr>
        <w:t>Sejna</w:t>
      </w:r>
      <w:proofErr w:type="spellEnd"/>
      <w:r w:rsidRPr="000A7ED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</w:t>
      </w:r>
      <w:r w:rsidRPr="00DB641C">
        <w:rPr>
          <w:rFonts w:ascii="Arial" w:hAnsi="Arial" w:cs="Arial"/>
          <w:sz w:val="22"/>
          <w:szCs w:val="22"/>
        </w:rPr>
        <w:t>ednatel</w:t>
      </w:r>
    </w:p>
    <w:p w14:paraId="5241C57E" w14:textId="77777777" w:rsidR="00363B5E" w:rsidRPr="005C34D0" w:rsidRDefault="00363B5E" w:rsidP="00363B5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4042469E" w14:textId="77777777" w:rsidR="00363B5E" w:rsidRDefault="00363B5E" w:rsidP="00363B5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Pr="00AE5BB2">
        <w:rPr>
          <w:rFonts w:ascii="Arial" w:hAnsi="Arial" w:cs="Arial"/>
          <w:sz w:val="22"/>
          <w:szCs w:val="22"/>
        </w:rPr>
        <w:t>CZ</w:t>
      </w:r>
      <w:r w:rsidRPr="000A7ED2">
        <w:rPr>
          <w:rFonts w:ascii="Arial" w:hAnsi="Arial" w:cs="Arial"/>
          <w:sz w:val="22"/>
          <w:szCs w:val="22"/>
        </w:rPr>
        <w:t>63144379</w:t>
      </w:r>
    </w:p>
    <w:p w14:paraId="499BFF0E" w14:textId="77777777" w:rsidR="00363B5E" w:rsidRDefault="00363B5E" w:rsidP="00363B5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5C34D0">
        <w:rPr>
          <w:rFonts w:ascii="Arial" w:hAnsi="Arial" w:cs="Arial"/>
          <w:sz w:val="22"/>
          <w:szCs w:val="22"/>
        </w:rPr>
        <w:t>ankovní spojení: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sz w:val="22"/>
          <w:szCs w:val="22"/>
        </w:rPr>
        <w:t>MONETA Money Bank, a. s.</w:t>
      </w:r>
    </w:p>
    <w:p w14:paraId="009485E5" w14:textId="77777777" w:rsidR="00363B5E" w:rsidRPr="00621853" w:rsidRDefault="00363B5E" w:rsidP="00363B5E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5C34D0">
        <w:rPr>
          <w:rFonts w:ascii="Arial" w:hAnsi="Arial" w:cs="Arial"/>
          <w:sz w:val="22"/>
          <w:szCs w:val="22"/>
        </w:rPr>
        <w:t>íslo účtu:</w:t>
      </w:r>
      <w:r>
        <w:rPr>
          <w:rFonts w:ascii="Arial" w:hAnsi="Arial" w:cs="Arial"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164727900/0600</w:t>
      </w:r>
    </w:p>
    <w:p w14:paraId="053D6D1B" w14:textId="5CE15272" w:rsidR="004D180B" w:rsidRPr="00621853" w:rsidRDefault="00363B5E" w:rsidP="00363B5E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Pr="00621853">
        <w:rPr>
          <w:rFonts w:ascii="Arial" w:hAnsi="Arial" w:cs="Arial"/>
          <w:bCs/>
          <w:iCs/>
          <w:sz w:val="22"/>
          <w:szCs w:val="22"/>
        </w:rPr>
        <w:t>el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Pr="00621853">
        <w:rPr>
          <w:rFonts w:ascii="Arial" w:hAnsi="Arial" w:cs="Arial"/>
          <w:bCs/>
          <w:iCs/>
          <w:sz w:val="22"/>
          <w:szCs w:val="22"/>
        </w:rPr>
        <w:t>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Pr="000A7ED2">
        <w:rPr>
          <w:rFonts w:ascii="Arial" w:hAnsi="Arial" w:cs="Arial"/>
          <w:bCs/>
          <w:iCs/>
          <w:sz w:val="22"/>
          <w:szCs w:val="22"/>
        </w:rPr>
        <w:t>483 311 002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2F695EF8" w14:textId="3A4AF215" w:rsidR="00C60CD4" w:rsidRDefault="00C60CD4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60CD4">
        <w:rPr>
          <w:rFonts w:ascii="Arial" w:hAnsi="Arial" w:cs="Arial"/>
          <w:snapToGrid w:val="0"/>
          <w:sz w:val="22"/>
          <w:szCs w:val="22"/>
        </w:rPr>
        <w:t>Předmětem smlouvy je nákup 2</w:t>
      </w:r>
      <w:r w:rsidR="00E577A8">
        <w:rPr>
          <w:rFonts w:ascii="Arial" w:hAnsi="Arial" w:cs="Arial"/>
          <w:snapToGrid w:val="0"/>
          <w:sz w:val="22"/>
          <w:szCs w:val="22"/>
        </w:rPr>
        <w:t>0</w:t>
      </w:r>
      <w:r w:rsidRPr="00C60CD4">
        <w:rPr>
          <w:rFonts w:ascii="Arial" w:hAnsi="Arial" w:cs="Arial"/>
          <w:snapToGrid w:val="0"/>
          <w:sz w:val="22"/>
          <w:szCs w:val="22"/>
        </w:rPr>
        <w:t xml:space="preserve"> ks nových, nepoužitých a nerepasovaných počítačů včetně softwaru dle následující podrobné specifikace.</w:t>
      </w:r>
    </w:p>
    <w:p w14:paraId="152C038F" w14:textId="77777777" w:rsidR="001E6D31" w:rsidRPr="006D5B93" w:rsidRDefault="001E6D31" w:rsidP="001E6D3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ADD25A" w14:textId="4BB828DA" w:rsidR="00363B5E" w:rsidRPr="00E257A0" w:rsidRDefault="00363B5E" w:rsidP="00363B5E">
      <w:pPr>
        <w:rPr>
          <w:rFonts w:ascii="Arial" w:hAnsi="Arial" w:cs="Arial"/>
          <w:snapToGrid w:val="0"/>
          <w:sz w:val="22"/>
          <w:szCs w:val="22"/>
        </w:rPr>
      </w:pPr>
      <w:r w:rsidRPr="00E257A0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Pr="00E257A0">
        <w:rPr>
          <w:rFonts w:ascii="Arial" w:hAnsi="Arial" w:cs="Arial"/>
          <w:snapToGrid w:val="0"/>
          <w:sz w:val="22"/>
          <w:szCs w:val="22"/>
        </w:rPr>
        <w:t xml:space="preserve">x Počítač </w:t>
      </w:r>
      <w:proofErr w:type="spellStart"/>
      <w:r w:rsidRPr="00363B5E">
        <w:rPr>
          <w:rFonts w:ascii="Arial" w:hAnsi="Arial" w:cs="Arial"/>
          <w:snapToGrid w:val="0"/>
          <w:sz w:val="22"/>
          <w:szCs w:val="22"/>
        </w:rPr>
        <w:t>Premio</w:t>
      </w:r>
      <w:proofErr w:type="spellEnd"/>
      <w:r w:rsidRPr="00363B5E">
        <w:rPr>
          <w:rFonts w:ascii="Arial" w:hAnsi="Arial" w:cs="Arial"/>
          <w:snapToGrid w:val="0"/>
          <w:sz w:val="22"/>
          <w:szCs w:val="22"/>
        </w:rPr>
        <w:t xml:space="preserve"> 19</w:t>
      </w:r>
      <w:r w:rsidRPr="00E257A0">
        <w:rPr>
          <w:rFonts w:ascii="Arial" w:hAnsi="Arial" w:cs="Arial"/>
          <w:snapToGrid w:val="0"/>
          <w:sz w:val="22"/>
          <w:szCs w:val="22"/>
        </w:rPr>
        <w:t>:</w:t>
      </w:r>
    </w:p>
    <w:p w14:paraId="186B9D51" w14:textId="7777777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Protokol o provedeném funkčním testu</w:t>
      </w:r>
    </w:p>
    <w:p w14:paraId="737EDF00" w14:textId="7777777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6 jádrový procesor s integrovaným grafickým čipem</w:t>
      </w:r>
      <w:r>
        <w:rPr>
          <w:rFonts w:ascii="Arial" w:hAnsi="Arial" w:cs="Arial"/>
        </w:rPr>
        <w:t xml:space="preserve"> </w:t>
      </w:r>
      <w:r w:rsidRPr="00991A19">
        <w:rPr>
          <w:rFonts w:ascii="Arial" w:hAnsi="Arial" w:cs="Arial"/>
        </w:rPr>
        <w:t xml:space="preserve">AMD </w:t>
      </w:r>
      <w:proofErr w:type="spellStart"/>
      <w:r w:rsidRPr="00991A19">
        <w:rPr>
          <w:rFonts w:ascii="Arial" w:hAnsi="Arial" w:cs="Arial"/>
        </w:rPr>
        <w:t>Ryzen</w:t>
      </w:r>
      <w:proofErr w:type="spellEnd"/>
      <w:r w:rsidRPr="00991A19">
        <w:rPr>
          <w:rFonts w:ascii="Arial" w:hAnsi="Arial" w:cs="Arial"/>
        </w:rPr>
        <w:t xml:space="preserve"> 5 5600GT</w:t>
      </w:r>
    </w:p>
    <w:p w14:paraId="653DF424" w14:textId="2910E2B9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 xml:space="preserve">Operační paměť </w:t>
      </w:r>
      <w:r w:rsidRPr="00363B5E">
        <w:rPr>
          <w:rFonts w:ascii="Arial" w:hAnsi="Arial" w:cs="Arial"/>
        </w:rPr>
        <w:t>ADATA</w:t>
      </w:r>
      <w:r>
        <w:rPr>
          <w:rFonts w:ascii="Arial" w:hAnsi="Arial" w:cs="Arial"/>
        </w:rPr>
        <w:t xml:space="preserve"> </w:t>
      </w:r>
      <w:r w:rsidRPr="005F0CC9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  <w:r w:rsidRPr="005F0CC9">
        <w:rPr>
          <w:rFonts w:ascii="Arial" w:hAnsi="Arial" w:cs="Arial"/>
        </w:rPr>
        <w:t>GB DDR4-3200MHz CL22</w:t>
      </w:r>
    </w:p>
    <w:p w14:paraId="14CBEDB6" w14:textId="7777777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991A19">
        <w:rPr>
          <w:rFonts w:ascii="Arial" w:hAnsi="Arial" w:cs="Arial"/>
        </w:rPr>
        <w:t>Základní deska</w:t>
      </w:r>
      <w:r>
        <w:rPr>
          <w:rFonts w:ascii="Arial" w:hAnsi="Arial" w:cs="Arial"/>
        </w:rPr>
        <w:t xml:space="preserve"> </w:t>
      </w:r>
      <w:r w:rsidRPr="00991A19">
        <w:rPr>
          <w:rFonts w:ascii="Arial" w:hAnsi="Arial" w:cs="Arial"/>
        </w:rPr>
        <w:t>ASUS PRIME A520M-A II/CSM</w:t>
      </w:r>
      <w:r>
        <w:rPr>
          <w:rFonts w:ascii="Arial" w:hAnsi="Arial" w:cs="Arial"/>
        </w:rPr>
        <w:t xml:space="preserve">, </w:t>
      </w:r>
      <w:r w:rsidRPr="00991A19">
        <w:rPr>
          <w:rFonts w:ascii="Arial" w:hAnsi="Arial" w:cs="Arial"/>
        </w:rPr>
        <w:t xml:space="preserve">integrované grafické výstupy 1x VGA 1x HDMI 1x </w:t>
      </w:r>
      <w:proofErr w:type="spellStart"/>
      <w:r w:rsidRPr="00991A19">
        <w:rPr>
          <w:rFonts w:ascii="Arial" w:hAnsi="Arial" w:cs="Arial"/>
        </w:rPr>
        <w:t>DisplayPort</w:t>
      </w:r>
      <w:proofErr w:type="spellEnd"/>
      <w:r w:rsidRPr="00991A19">
        <w:rPr>
          <w:rFonts w:ascii="Arial" w:hAnsi="Arial" w:cs="Arial"/>
        </w:rPr>
        <w:t xml:space="preserve">, integrovaná gigabitová síťová karta, </w:t>
      </w:r>
      <w:r>
        <w:rPr>
          <w:rFonts w:ascii="Arial" w:hAnsi="Arial" w:cs="Arial"/>
        </w:rPr>
        <w:t>i</w:t>
      </w:r>
      <w:r w:rsidRPr="00991A19">
        <w:rPr>
          <w:rFonts w:ascii="Arial" w:hAnsi="Arial" w:cs="Arial"/>
        </w:rPr>
        <w:t xml:space="preserve">ntegrovaná zvuková karta, integrovaný slot M.2 </w:t>
      </w:r>
      <w:proofErr w:type="spellStart"/>
      <w:r w:rsidRPr="00991A19">
        <w:rPr>
          <w:rFonts w:ascii="Arial" w:hAnsi="Arial" w:cs="Arial"/>
        </w:rPr>
        <w:t>PCIe</w:t>
      </w:r>
      <w:proofErr w:type="spellEnd"/>
      <w:r w:rsidRPr="00991A19">
        <w:rPr>
          <w:rFonts w:ascii="Arial" w:hAnsi="Arial" w:cs="Arial"/>
        </w:rPr>
        <w:t xml:space="preserve"> </w:t>
      </w:r>
      <w:proofErr w:type="spellStart"/>
      <w:r w:rsidRPr="00991A19">
        <w:rPr>
          <w:rFonts w:ascii="Arial" w:hAnsi="Arial" w:cs="Arial"/>
        </w:rPr>
        <w:t>NVMe</w:t>
      </w:r>
      <w:proofErr w:type="spellEnd"/>
      <w:r w:rsidRPr="00991A19">
        <w:rPr>
          <w:rFonts w:ascii="Arial" w:hAnsi="Arial" w:cs="Arial"/>
        </w:rPr>
        <w:t xml:space="preserve"> pro připojení SSD disku, 6x USB integrované na zadním panelu</w:t>
      </w:r>
    </w:p>
    <w:p w14:paraId="6E6B106B" w14:textId="764DAA1A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 xml:space="preserve">SSD disk M.2 </w:t>
      </w:r>
      <w:proofErr w:type="spellStart"/>
      <w:r w:rsidRPr="00531E2F">
        <w:rPr>
          <w:rFonts w:ascii="Arial" w:hAnsi="Arial" w:cs="Arial"/>
        </w:rPr>
        <w:t>PCIe</w:t>
      </w:r>
      <w:proofErr w:type="spellEnd"/>
      <w:r w:rsidRPr="00531E2F"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NVMe</w:t>
      </w:r>
      <w:proofErr w:type="spellEnd"/>
      <w:r w:rsidRPr="00531E2F">
        <w:rPr>
          <w:rFonts w:ascii="Arial" w:hAnsi="Arial" w:cs="Arial"/>
        </w:rPr>
        <w:t xml:space="preserve"> 1 TB</w:t>
      </w:r>
      <w:r>
        <w:rPr>
          <w:rFonts w:ascii="Arial" w:hAnsi="Arial" w:cs="Arial"/>
        </w:rPr>
        <w:t xml:space="preserve"> </w:t>
      </w:r>
      <w:r w:rsidRPr="00363B5E">
        <w:rPr>
          <w:rFonts w:ascii="Arial" w:hAnsi="Arial" w:cs="Arial"/>
        </w:rPr>
        <w:t>ADATA</w:t>
      </w:r>
      <w:r>
        <w:rPr>
          <w:rFonts w:ascii="Arial" w:hAnsi="Arial" w:cs="Arial"/>
        </w:rPr>
        <w:t xml:space="preserve"> </w:t>
      </w:r>
      <w:r w:rsidRPr="00363B5E">
        <w:rPr>
          <w:rFonts w:ascii="Arial" w:hAnsi="Arial" w:cs="Arial"/>
        </w:rPr>
        <w:t>Legend 900</w:t>
      </w:r>
      <w:r w:rsidRPr="00531E2F">
        <w:rPr>
          <w:rFonts w:ascii="Arial" w:hAnsi="Arial" w:cs="Arial"/>
        </w:rPr>
        <w:t xml:space="preserve">, životnost </w:t>
      </w:r>
      <w:r w:rsidR="00431F91">
        <w:rPr>
          <w:rFonts w:ascii="Arial" w:hAnsi="Arial" w:cs="Arial"/>
        </w:rPr>
        <w:t>600</w:t>
      </w:r>
      <w:r w:rsidRPr="00531E2F">
        <w:rPr>
          <w:rFonts w:ascii="Arial" w:hAnsi="Arial" w:cs="Arial"/>
        </w:rPr>
        <w:t xml:space="preserve"> TBW, rychlost čtení </w:t>
      </w:r>
      <w:r>
        <w:rPr>
          <w:rFonts w:ascii="Arial" w:hAnsi="Arial" w:cs="Arial"/>
        </w:rPr>
        <w:t>7</w:t>
      </w:r>
      <w:r w:rsidRPr="00531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531E2F">
        <w:rPr>
          <w:rFonts w:ascii="Arial" w:hAnsi="Arial" w:cs="Arial"/>
        </w:rPr>
        <w:t xml:space="preserve">00 MB/s, rychlost zápisu </w:t>
      </w:r>
      <w:r>
        <w:rPr>
          <w:rFonts w:ascii="Arial" w:hAnsi="Arial" w:cs="Arial"/>
        </w:rPr>
        <w:t>5</w:t>
      </w:r>
      <w:r w:rsidRPr="00531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400</w:t>
      </w:r>
      <w:r w:rsidRPr="00531E2F">
        <w:rPr>
          <w:rFonts w:ascii="Arial" w:hAnsi="Arial" w:cs="Arial"/>
        </w:rPr>
        <w:t xml:space="preserve"> </w:t>
      </w:r>
      <w:proofErr w:type="spellStart"/>
      <w:r w:rsidRPr="00531E2F">
        <w:rPr>
          <w:rFonts w:ascii="Arial" w:hAnsi="Arial" w:cs="Arial"/>
        </w:rPr>
        <w:t>MB/s</w:t>
      </w:r>
      <w:proofErr w:type="spellEnd"/>
    </w:p>
    <w:p w14:paraId="1C61C6A5" w14:textId="501F7B3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531E2F">
        <w:rPr>
          <w:rFonts w:ascii="Arial" w:hAnsi="Arial" w:cs="Arial"/>
        </w:rPr>
        <w:t>Počítačová skříň v černém provedení</w:t>
      </w:r>
      <w:r>
        <w:rPr>
          <w:rFonts w:ascii="Arial" w:hAnsi="Arial" w:cs="Arial"/>
        </w:rPr>
        <w:t xml:space="preserve"> </w:t>
      </w:r>
      <w:r w:rsidR="00431F91" w:rsidRPr="00431F91">
        <w:rPr>
          <w:rFonts w:ascii="Arial" w:hAnsi="Arial" w:cs="Arial"/>
        </w:rPr>
        <w:t xml:space="preserve">GEMBIRD </w:t>
      </w:r>
      <w:proofErr w:type="spellStart"/>
      <w:r w:rsidR="00431F91" w:rsidRPr="00431F91">
        <w:rPr>
          <w:rFonts w:ascii="Arial" w:hAnsi="Arial" w:cs="Arial"/>
        </w:rPr>
        <w:t>Fornax</w:t>
      </w:r>
      <w:proofErr w:type="spellEnd"/>
      <w:r w:rsidR="00431F91" w:rsidRPr="00431F91">
        <w:rPr>
          <w:rFonts w:ascii="Arial" w:hAnsi="Arial" w:cs="Arial"/>
        </w:rPr>
        <w:t xml:space="preserve"> K300</w:t>
      </w:r>
      <w:r w:rsidR="00431F91">
        <w:rPr>
          <w:rFonts w:ascii="Arial" w:hAnsi="Arial" w:cs="Arial"/>
        </w:rPr>
        <w:t xml:space="preserve"> </w:t>
      </w:r>
      <w:proofErr w:type="spellStart"/>
      <w:r w:rsidR="00431F91" w:rsidRPr="00431F91">
        <w:rPr>
          <w:rFonts w:ascii="Arial" w:hAnsi="Arial" w:cs="Arial"/>
        </w:rPr>
        <w:t>Micro</w:t>
      </w:r>
      <w:proofErr w:type="spellEnd"/>
      <w:r w:rsidR="00431F91" w:rsidRPr="00431F91">
        <w:rPr>
          <w:rFonts w:ascii="Arial" w:hAnsi="Arial" w:cs="Arial"/>
        </w:rPr>
        <w:t xml:space="preserve"> ATX</w:t>
      </w:r>
      <w:r>
        <w:rPr>
          <w:rFonts w:ascii="Arial" w:hAnsi="Arial" w:cs="Arial"/>
        </w:rPr>
        <w:t>, 4</w:t>
      </w:r>
      <w:r w:rsidRPr="00531E2F">
        <w:rPr>
          <w:rFonts w:ascii="Arial" w:hAnsi="Arial" w:cs="Arial"/>
        </w:rPr>
        <w:t>x USB v přední části</w:t>
      </w:r>
      <w:r>
        <w:rPr>
          <w:rFonts w:ascii="Arial" w:hAnsi="Arial" w:cs="Arial"/>
        </w:rPr>
        <w:t>, v</w:t>
      </w:r>
      <w:r w:rsidRPr="00531E2F">
        <w:rPr>
          <w:rFonts w:ascii="Arial" w:hAnsi="Arial" w:cs="Arial"/>
        </w:rPr>
        <w:t>olná externí pozice 5,25“</w:t>
      </w:r>
    </w:p>
    <w:p w14:paraId="6E0E5F76" w14:textId="7777777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Zdroj GIGABYTE 450</w:t>
      </w:r>
      <w:r>
        <w:rPr>
          <w:rFonts w:ascii="Arial" w:hAnsi="Arial" w:cs="Arial"/>
        </w:rPr>
        <w:t xml:space="preserve"> </w:t>
      </w:r>
      <w:r w:rsidRPr="006F2F95">
        <w:rPr>
          <w:rFonts w:ascii="Arial" w:hAnsi="Arial" w:cs="Arial"/>
        </w:rPr>
        <w:t>W 80PLUS Bronze se 120 mm ventilátorem</w:t>
      </w:r>
    </w:p>
    <w:p w14:paraId="3871228F" w14:textId="77777777" w:rsidR="00363B5E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Windows 11 Pro CZ</w:t>
      </w:r>
      <w:r>
        <w:rPr>
          <w:rFonts w:ascii="Arial" w:hAnsi="Arial" w:cs="Arial"/>
        </w:rPr>
        <w:t xml:space="preserve">, </w:t>
      </w:r>
      <w:r w:rsidRPr="006F2F95">
        <w:rPr>
          <w:rFonts w:ascii="Arial" w:hAnsi="Arial" w:cs="Arial"/>
        </w:rPr>
        <w:t>nové nepoužité licence určené pro CZ distribuci</w:t>
      </w:r>
    </w:p>
    <w:p w14:paraId="6747A8FB" w14:textId="77777777" w:rsidR="00363B5E" w:rsidRPr="006F2F95" w:rsidRDefault="00363B5E" w:rsidP="00363B5E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6F2F95">
        <w:rPr>
          <w:rFonts w:ascii="Arial" w:hAnsi="Arial" w:cs="Arial"/>
        </w:rPr>
        <w:t>Microsoft Office 2024 CZ v edici Pro domácnosti a podnikatele, 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56677ECA" w:rsidR="00D612D9" w:rsidRDefault="00397AD1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397AD1">
        <w:rPr>
          <w:rFonts w:ascii="Arial" w:hAnsi="Arial" w:cs="Arial"/>
          <w:sz w:val="22"/>
          <w:szCs w:val="22"/>
        </w:rPr>
        <w:t>278 060,00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397AD1">
        <w:rPr>
          <w:rFonts w:ascii="Arial" w:hAnsi="Arial" w:cs="Arial"/>
          <w:sz w:val="22"/>
          <w:szCs w:val="22"/>
        </w:rPr>
        <w:t>dvě stě sedmdesát osm tisíc šedesát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215FF24C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Záruka na předmět smlouvy je 36 měsíců.</w:t>
      </w:r>
    </w:p>
    <w:p w14:paraId="78DF22BA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442099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Řešení reklamací v sídle kupujícího.</w:t>
      </w:r>
    </w:p>
    <w:p w14:paraId="07A35E22" w14:textId="77777777" w:rsidR="00C60CD4" w:rsidRP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3A72EA8" w14:textId="215EFBF2" w:rsidR="00C60CD4" w:rsidRDefault="00C60CD4" w:rsidP="00C60C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60CD4">
        <w:rPr>
          <w:rFonts w:ascii="Arial" w:hAnsi="Arial" w:cs="Arial"/>
          <w:sz w:val="22"/>
          <w:szCs w:val="22"/>
        </w:rPr>
        <w:t>Možnost instalace dalších komponentů bez porušení záruky (např. grafické karty, řadiče apod.).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lastRenderedPageBreak/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899E33" w14:textId="77777777" w:rsidR="00A4755F" w:rsidRDefault="00A4755F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F273C9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F736F1" w14:textId="77777777" w:rsidR="007F2618" w:rsidRDefault="007F2618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442FBF" w14:textId="77777777" w:rsidR="00431F91" w:rsidRDefault="00431F9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67FFFD61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363B5E" w:rsidRPr="002646F0">
        <w:rPr>
          <w:rFonts w:ascii="Arial" w:hAnsi="Arial" w:cs="Arial"/>
          <w:sz w:val="22"/>
          <w:szCs w:val="22"/>
        </w:rPr>
        <w:t xml:space="preserve">Jablonci nad </w:t>
      </w:r>
      <w:r w:rsidR="00363B5E" w:rsidRPr="00363B5E">
        <w:rPr>
          <w:rFonts w:ascii="Arial" w:hAnsi="Arial" w:cs="Arial"/>
          <w:sz w:val="22"/>
          <w:szCs w:val="22"/>
        </w:rPr>
        <w:t>Nisou</w:t>
      </w:r>
      <w:r w:rsidRPr="00363B5E">
        <w:rPr>
          <w:rFonts w:ascii="Arial" w:hAnsi="Arial" w:cs="Arial"/>
          <w:sz w:val="22"/>
          <w:szCs w:val="22"/>
        </w:rPr>
        <w:t>, dne</w:t>
      </w:r>
      <w:r w:rsidRPr="0014577D">
        <w:rPr>
          <w:rFonts w:ascii="Arial" w:hAnsi="Arial" w:cs="Arial"/>
          <w:sz w:val="22"/>
          <w:szCs w:val="22"/>
        </w:rPr>
        <w:t>:</w:t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A659E06" w14:textId="77777777" w:rsidR="00363B5E" w:rsidRPr="005C34D0" w:rsidRDefault="00363B5E" w:rsidP="00363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176C086D" w14:textId="77777777" w:rsidR="00363B5E" w:rsidRDefault="00363B5E" w:rsidP="00363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B641C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Pr="00DB641C">
        <w:rPr>
          <w:rFonts w:ascii="Arial" w:hAnsi="Arial" w:cs="Arial"/>
          <w:sz w:val="22"/>
          <w:szCs w:val="22"/>
        </w:rPr>
        <w:t>Sejna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Ing. Martina Vacková</w:t>
      </w:r>
    </w:p>
    <w:p w14:paraId="268BF293" w14:textId="77777777" w:rsidR="00363B5E" w:rsidRDefault="00363B5E" w:rsidP="00363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B641C">
        <w:rPr>
          <w:rFonts w:ascii="Arial" w:hAnsi="Arial" w:cs="Arial"/>
          <w:sz w:val="22"/>
          <w:szCs w:val="22"/>
        </w:rPr>
        <w:t>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5FEB">
        <w:rPr>
          <w:rFonts w:ascii="Arial" w:hAnsi="Arial" w:cs="Arial"/>
          <w:sz w:val="22"/>
          <w:szCs w:val="22"/>
        </w:rPr>
        <w:t>vedoucí kanceláře tajemníka</w:t>
      </w:r>
    </w:p>
    <w:p w14:paraId="61E5B4FC" w14:textId="77777777" w:rsidR="00363B5E" w:rsidRDefault="00363B5E" w:rsidP="00363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5D219B" w14:textId="77777777" w:rsidR="00363B5E" w:rsidRDefault="00363B5E" w:rsidP="00363B5E">
      <w:pPr>
        <w:jc w:val="both"/>
        <w:rPr>
          <w:rFonts w:ascii="Arial" w:hAnsi="Arial" w:cs="Arial"/>
          <w:sz w:val="22"/>
          <w:szCs w:val="22"/>
        </w:rPr>
      </w:pPr>
    </w:p>
    <w:p w14:paraId="43DF0D07" w14:textId="77777777" w:rsidR="00363B5E" w:rsidRDefault="00363B5E" w:rsidP="00363B5E">
      <w:pPr>
        <w:jc w:val="both"/>
        <w:rPr>
          <w:rFonts w:ascii="Arial" w:hAnsi="Arial" w:cs="Arial"/>
          <w:sz w:val="22"/>
          <w:szCs w:val="22"/>
        </w:rPr>
      </w:pPr>
    </w:p>
    <w:p w14:paraId="5F039796" w14:textId="77777777" w:rsidR="00363B5E" w:rsidRDefault="00363B5E" w:rsidP="00363B5E">
      <w:pPr>
        <w:jc w:val="both"/>
        <w:rPr>
          <w:rFonts w:ascii="Arial" w:hAnsi="Arial" w:cs="Arial"/>
          <w:sz w:val="22"/>
          <w:szCs w:val="22"/>
        </w:rPr>
      </w:pPr>
    </w:p>
    <w:p w14:paraId="27DB51BA" w14:textId="77777777" w:rsidR="00363B5E" w:rsidRPr="00E25B9B" w:rsidRDefault="00363B5E" w:rsidP="00363B5E">
      <w:pPr>
        <w:ind w:left="4254" w:firstLine="709"/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>…………………………………</w:t>
      </w:r>
    </w:p>
    <w:p w14:paraId="23DB0631" w14:textId="77777777" w:rsidR="00363B5E" w:rsidRPr="00E25B9B" w:rsidRDefault="00363B5E" w:rsidP="00363B5E">
      <w:pPr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  <w:t>Jiří Hruška</w:t>
      </w:r>
    </w:p>
    <w:p w14:paraId="7E5E8601" w14:textId="2489536E" w:rsidR="0086703B" w:rsidRDefault="00363B5E" w:rsidP="00363B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25B9B">
        <w:rPr>
          <w:rFonts w:ascii="Arial" w:hAnsi="Arial" w:cs="Arial"/>
          <w:sz w:val="22"/>
          <w:szCs w:val="22"/>
        </w:rPr>
        <w:t>vedoucí oddělení informačních technologií</w:t>
      </w:r>
    </w:p>
    <w:p w14:paraId="0C75AC6C" w14:textId="173D9194" w:rsidR="002B7F67" w:rsidRPr="00185246" w:rsidRDefault="002B7F67" w:rsidP="00185246">
      <w:pPr>
        <w:rPr>
          <w:sz w:val="22"/>
          <w:szCs w:val="22"/>
        </w:rPr>
      </w:pPr>
    </w:p>
    <w:sectPr w:rsidR="002B7F67" w:rsidRPr="00185246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C9A2" w14:textId="77777777" w:rsidR="00DF0863" w:rsidRDefault="00DF0863" w:rsidP="002B7F67">
      <w:r>
        <w:separator/>
      </w:r>
    </w:p>
  </w:endnote>
  <w:endnote w:type="continuationSeparator" w:id="0">
    <w:p w14:paraId="0BEDBAAE" w14:textId="77777777" w:rsidR="00DF0863" w:rsidRDefault="00DF086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5416" w14:textId="77777777" w:rsidR="00DF0863" w:rsidRDefault="00DF0863" w:rsidP="002B7F67">
      <w:r>
        <w:separator/>
      </w:r>
    </w:p>
  </w:footnote>
  <w:footnote w:type="continuationSeparator" w:id="0">
    <w:p w14:paraId="629486B5" w14:textId="77777777" w:rsidR="00DF0863" w:rsidRDefault="00DF086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136F4AA4" w:rsidR="00BF55F1" w:rsidRPr="007E0384" w:rsidRDefault="0083482C" w:rsidP="00BF55F1">
    <w:pPr>
      <w:pStyle w:val="Zhlav"/>
      <w:jc w:val="right"/>
      <w:rPr>
        <w:rFonts w:ascii="Arial" w:hAnsi="Arial" w:cs="Arial"/>
      </w:rPr>
    </w:pPr>
    <w:r w:rsidRPr="0083482C">
      <w:rPr>
        <w:rFonts w:ascii="Arial" w:hAnsi="Arial" w:cs="Arial"/>
      </w:rPr>
      <w:t>MUJNX01JNLIX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23B4D"/>
    <w:multiLevelType w:val="hybridMultilevel"/>
    <w:tmpl w:val="5BE82CA4"/>
    <w:lvl w:ilvl="0" w:tplc="BBDC8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093937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63B5E"/>
    <w:rsid w:val="00376CAC"/>
    <w:rsid w:val="00384976"/>
    <w:rsid w:val="00386ED0"/>
    <w:rsid w:val="00397AD1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1F91"/>
    <w:rsid w:val="00437831"/>
    <w:rsid w:val="004414DB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D7E53"/>
    <w:rsid w:val="004E017A"/>
    <w:rsid w:val="004E536B"/>
    <w:rsid w:val="004F4116"/>
    <w:rsid w:val="0052187C"/>
    <w:rsid w:val="00536304"/>
    <w:rsid w:val="00536CC4"/>
    <w:rsid w:val="00561BD5"/>
    <w:rsid w:val="00596E81"/>
    <w:rsid w:val="005A3CDF"/>
    <w:rsid w:val="005B34C1"/>
    <w:rsid w:val="005D0634"/>
    <w:rsid w:val="005F1E67"/>
    <w:rsid w:val="006006BD"/>
    <w:rsid w:val="006054C7"/>
    <w:rsid w:val="00612EB3"/>
    <w:rsid w:val="00622599"/>
    <w:rsid w:val="0062677F"/>
    <w:rsid w:val="00631B5B"/>
    <w:rsid w:val="006376A9"/>
    <w:rsid w:val="00667FE6"/>
    <w:rsid w:val="0067320B"/>
    <w:rsid w:val="0067746B"/>
    <w:rsid w:val="00690E56"/>
    <w:rsid w:val="0069214D"/>
    <w:rsid w:val="006A1163"/>
    <w:rsid w:val="006A1BAE"/>
    <w:rsid w:val="006C0195"/>
    <w:rsid w:val="006C3D6E"/>
    <w:rsid w:val="006F66B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482C"/>
    <w:rsid w:val="00837A89"/>
    <w:rsid w:val="00863EE1"/>
    <w:rsid w:val="0086703B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35A69"/>
    <w:rsid w:val="00C42671"/>
    <w:rsid w:val="00C60821"/>
    <w:rsid w:val="00C60CD4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C4FF1"/>
    <w:rsid w:val="00CE3FCA"/>
    <w:rsid w:val="00CF044A"/>
    <w:rsid w:val="00CF4102"/>
    <w:rsid w:val="00D27F96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DF0863"/>
    <w:rsid w:val="00E12F9D"/>
    <w:rsid w:val="00E204C9"/>
    <w:rsid w:val="00E577A8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80276"/>
    <w:rsid w:val="00F81761"/>
    <w:rsid w:val="00F94039"/>
    <w:rsid w:val="00F95D7E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5054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46</cp:revision>
  <cp:lastPrinted>2025-06-24T12:00:00Z</cp:lastPrinted>
  <dcterms:created xsi:type="dcterms:W3CDTF">2023-05-09T07:58:00Z</dcterms:created>
  <dcterms:modified xsi:type="dcterms:W3CDTF">2025-10-27T10:09:00Z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