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Pr="00D84B19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 w:rsidRPr="00D84B19"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147710779" name="Obrázek 11477107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NPU1002611164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NPU-420/82798/2025</w:t>
                            </w:r>
                          </w:p>
                          <w:p w14:paraId="68482C77" w14:textId="672DC277" w:rsidR="009C2538" w:rsidRDefault="009C2538" w:rsidP="004827D3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4827D3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2028H1250009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147710779" name="Obrázek 11477107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NPU1002611164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NPU-420/82798/2025</w:t>
                      </w:r>
                    </w:p>
                    <w:p w14:paraId="68482C77" w14:textId="672DC277" w:rsidR="009C2538" w:rsidRDefault="009C2538" w:rsidP="004827D3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4827D3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2028H1250009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Pr="00D84B19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BDC25BF" w:rsidR="009C2538" w:rsidRPr="00D84B19" w:rsidRDefault="00D84B19" w:rsidP="00D84B19">
      <w:pPr>
        <w:tabs>
          <w:tab w:val="left" w:pos="250"/>
        </w:tabs>
        <w:rPr>
          <w:rFonts w:ascii="Calibri" w:hAnsi="Calibri" w:cs="Calibri"/>
          <w:sz w:val="3"/>
          <w:szCs w:val="3"/>
        </w:rPr>
      </w:pPr>
      <w:r w:rsidRPr="00D84B19">
        <w:rPr>
          <w:rFonts w:ascii="Calibri" w:hAnsi="Calibri" w:cs="Calibri"/>
          <w:sz w:val="3"/>
          <w:szCs w:val="3"/>
        </w:rPr>
        <w:tab/>
      </w:r>
    </w:p>
    <w:p w14:paraId="3F81219D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D84B19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Pr="00D84B19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4ABD127D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b/>
          <w:bCs/>
          <w:sz w:val="22"/>
          <w:szCs w:val="22"/>
        </w:rPr>
        <w:t>Národní památkový ústav,</w:t>
      </w:r>
      <w:r w:rsidRPr="00D84B19">
        <w:rPr>
          <w:rFonts w:ascii="Calibri" w:eastAsia="Calibri" w:hAnsi="Calibri" w:cs="Calibri"/>
          <w:sz w:val="22"/>
          <w:szCs w:val="22"/>
        </w:rPr>
        <w:t xml:space="preserve"> státní příspěvková organizace</w:t>
      </w:r>
    </w:p>
    <w:p w14:paraId="527B1AC1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b/>
          <w:sz w:val="22"/>
          <w:szCs w:val="22"/>
        </w:rPr>
      </w:pPr>
      <w:r w:rsidRPr="00D84B19">
        <w:rPr>
          <w:rFonts w:ascii="Calibri" w:eastAsia="Calibri" w:hAnsi="Calibri" w:cs="Calibri"/>
          <w:b/>
          <w:sz w:val="22"/>
          <w:szCs w:val="22"/>
        </w:rPr>
        <w:t>IČO: 75032333, DIČ: CZ75032333,</w:t>
      </w:r>
    </w:p>
    <w:p w14:paraId="57BE33AE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se sídlem: Valdštejnské nám. 162/3, PSČ 118 01 Praha 1 – Malá Strana,</w:t>
      </w:r>
    </w:p>
    <w:p w14:paraId="36D184AF" w14:textId="21176A53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bankovní spojení: Česká národní banka, č. </w:t>
      </w:r>
      <w:proofErr w:type="spellStart"/>
      <w:r w:rsidRPr="00D84B19">
        <w:rPr>
          <w:rFonts w:ascii="Calibri" w:eastAsia="Calibri" w:hAnsi="Calibri" w:cs="Calibri"/>
          <w:sz w:val="22"/>
          <w:szCs w:val="22"/>
        </w:rPr>
        <w:t>ú.</w:t>
      </w:r>
      <w:proofErr w:type="spellEnd"/>
      <w:r w:rsidRPr="00D84B19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="00863097">
        <w:rPr>
          <w:rFonts w:ascii="Calibri" w:eastAsia="Calibri" w:hAnsi="Calibri" w:cs="Calibri"/>
          <w:sz w:val="22"/>
          <w:szCs w:val="22"/>
        </w:rPr>
        <w:t>xxx</w:t>
      </w:r>
      <w:proofErr w:type="spellEnd"/>
      <w:r w:rsidRPr="00D84B19">
        <w:rPr>
          <w:rFonts w:ascii="Calibri" w:eastAsia="Calibri" w:hAnsi="Calibri" w:cs="Calibri"/>
          <w:sz w:val="22"/>
          <w:szCs w:val="22"/>
        </w:rPr>
        <w:t xml:space="preserve"> </w:t>
      </w:r>
    </w:p>
    <w:p w14:paraId="1EDC0BB0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zastoupený PhDr. Petrem Hrubým, ředitelem územní památkové správy v Ústí nad Labem</w:t>
      </w:r>
    </w:p>
    <w:p w14:paraId="7AB917CE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Správce objektu: Ing. Miloš Bělohlávek, vedoucí správy zámku Valeč</w:t>
      </w:r>
    </w:p>
    <w:p w14:paraId="01788C0E" w14:textId="77777777" w:rsidR="00863097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Investiční technik: Ing. Tomáš Petr, email </w:t>
      </w:r>
      <w:proofErr w:type="spellStart"/>
      <w:r w:rsidR="00863097">
        <w:rPr>
          <w:rFonts w:ascii="Calibri" w:eastAsia="Calibri" w:hAnsi="Calibri" w:cs="Calibri"/>
          <w:sz w:val="22"/>
          <w:szCs w:val="22"/>
        </w:rPr>
        <w:t>xxx</w:t>
      </w:r>
      <w:proofErr w:type="spellEnd"/>
    </w:p>
    <w:p w14:paraId="29D334DF" w14:textId="211A1A88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 (Zástupce objednatele)</w:t>
      </w:r>
    </w:p>
    <w:p w14:paraId="26A00C61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6507B602" w14:textId="77777777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D84B19">
        <w:rPr>
          <w:rFonts w:ascii="Calibri" w:eastAsia="Calibri" w:hAnsi="Calibri" w:cs="Calibri"/>
          <w:b/>
          <w:bCs/>
          <w:i/>
          <w:iCs/>
          <w:sz w:val="22"/>
          <w:szCs w:val="22"/>
        </w:rPr>
        <w:t>Doručovací adresa:</w:t>
      </w:r>
    </w:p>
    <w:p w14:paraId="73DE6395" w14:textId="77777777" w:rsidR="00D84B19" w:rsidRPr="00D84B19" w:rsidRDefault="00D84B19" w:rsidP="00D84B19">
      <w:pPr>
        <w:jc w:val="both"/>
        <w:rPr>
          <w:rFonts w:ascii="Calibri" w:eastAsia="MS Mincho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Národní památkový ústav, územní památková správa v Ústí nad Labem, Podmokelská 1/15, 400 07 Ústí nad Labem</w:t>
      </w:r>
      <w:r w:rsidRPr="00D84B19">
        <w:rPr>
          <w:rFonts w:ascii="Calibri" w:eastAsia="MS Mincho" w:hAnsi="Calibri" w:cs="Calibri"/>
          <w:sz w:val="22"/>
          <w:szCs w:val="22"/>
        </w:rPr>
        <w:t xml:space="preserve"> </w:t>
      </w:r>
    </w:p>
    <w:p w14:paraId="359F4ACF" w14:textId="77777777" w:rsidR="00D84B19" w:rsidRPr="00D84B19" w:rsidRDefault="00D84B19" w:rsidP="00D84B19">
      <w:pPr>
        <w:suppressAutoHyphens/>
        <w:spacing w:after="80" w:line="120" w:lineRule="atLeast"/>
        <w:jc w:val="both"/>
        <w:rPr>
          <w:rFonts w:ascii="Calibri" w:eastAsia="MS Mincho" w:hAnsi="Calibri" w:cs="Calibri"/>
          <w:b/>
          <w:bCs/>
          <w:sz w:val="22"/>
          <w:szCs w:val="22"/>
          <w:lang w:eastAsia="ar-SA"/>
        </w:rPr>
      </w:pPr>
      <w:r w:rsidRPr="00D84B19">
        <w:rPr>
          <w:rFonts w:ascii="Calibri" w:eastAsia="MS Mincho" w:hAnsi="Calibri" w:cs="Calibri"/>
          <w:sz w:val="22"/>
          <w:szCs w:val="22"/>
          <w:lang w:eastAsia="ar-SA"/>
        </w:rPr>
        <w:t xml:space="preserve">(dále jen </w:t>
      </w:r>
      <w:r w:rsidRPr="00D84B19">
        <w:rPr>
          <w:rFonts w:ascii="Calibri" w:eastAsia="MS Mincho" w:hAnsi="Calibri" w:cs="Calibri"/>
          <w:bCs/>
          <w:sz w:val="22"/>
          <w:szCs w:val="22"/>
          <w:lang w:eastAsia="ar-SA"/>
        </w:rPr>
        <w:t>„</w:t>
      </w:r>
      <w:r w:rsidRPr="00D84B19">
        <w:rPr>
          <w:rFonts w:ascii="Calibri" w:eastAsia="MS Mincho" w:hAnsi="Calibri" w:cs="Calibri"/>
          <w:b/>
          <w:bCs/>
          <w:sz w:val="22"/>
          <w:szCs w:val="22"/>
          <w:lang w:eastAsia="ar-SA"/>
        </w:rPr>
        <w:t>Objednatel</w:t>
      </w:r>
      <w:r w:rsidRPr="00D84B19">
        <w:rPr>
          <w:rFonts w:ascii="Calibri" w:eastAsia="MS Mincho" w:hAnsi="Calibri" w:cs="Calibri"/>
          <w:bCs/>
          <w:sz w:val="22"/>
          <w:szCs w:val="22"/>
          <w:lang w:eastAsia="ar-SA"/>
        </w:rPr>
        <w:t>“)</w:t>
      </w:r>
    </w:p>
    <w:p w14:paraId="3B05AE75" w14:textId="77777777" w:rsidR="00D84B19" w:rsidRPr="00D84B19" w:rsidRDefault="00D84B19" w:rsidP="00D84B19">
      <w:pPr>
        <w:ind w:left="703" w:hanging="567"/>
        <w:rPr>
          <w:rFonts w:ascii="Calibri" w:eastAsia="Calibri" w:hAnsi="Calibri" w:cs="Calibri"/>
          <w:color w:val="000000"/>
          <w:sz w:val="22"/>
          <w:szCs w:val="22"/>
        </w:rPr>
      </w:pPr>
    </w:p>
    <w:p w14:paraId="64028E60" w14:textId="77777777" w:rsidR="00D84B19" w:rsidRPr="00D84B19" w:rsidRDefault="00D84B19" w:rsidP="00D84B19">
      <w:pPr>
        <w:ind w:left="703" w:hanging="703"/>
        <w:rPr>
          <w:rFonts w:ascii="Calibri" w:eastAsia="Calibri" w:hAnsi="Calibri" w:cs="Calibri"/>
          <w:color w:val="000000"/>
          <w:sz w:val="22"/>
          <w:szCs w:val="22"/>
        </w:rPr>
      </w:pPr>
      <w:r w:rsidRPr="00D84B19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511CEAD7" w14:textId="77777777" w:rsidR="00D84B19" w:rsidRPr="00D84B19" w:rsidRDefault="00D84B19" w:rsidP="00D84B19">
      <w:pPr>
        <w:ind w:left="703" w:hanging="567"/>
        <w:rPr>
          <w:rFonts w:ascii="Calibri" w:eastAsia="Calibri" w:hAnsi="Calibri" w:cs="Calibri"/>
          <w:color w:val="000000"/>
          <w:sz w:val="22"/>
          <w:szCs w:val="22"/>
        </w:rPr>
      </w:pPr>
    </w:p>
    <w:p w14:paraId="5D6A1E82" w14:textId="2EEBBD0F" w:rsidR="00D84B19" w:rsidRPr="00D84B19" w:rsidRDefault="00D84B19" w:rsidP="00D84B19">
      <w:pPr>
        <w:ind w:left="703" w:hanging="7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84B19">
        <w:rPr>
          <w:rFonts w:ascii="Calibri" w:eastAsia="Calibri" w:hAnsi="Calibri" w:cs="Calibri"/>
          <w:b/>
          <w:bCs/>
          <w:sz w:val="22"/>
          <w:szCs w:val="22"/>
        </w:rPr>
        <w:t xml:space="preserve">FRAM </w:t>
      </w:r>
      <w:proofErr w:type="spellStart"/>
      <w:r w:rsidRPr="00D84B19">
        <w:rPr>
          <w:rFonts w:ascii="Calibri" w:eastAsia="Calibri" w:hAnsi="Calibri" w:cs="Calibri"/>
          <w:b/>
          <w:bCs/>
          <w:sz w:val="22"/>
          <w:szCs w:val="22"/>
        </w:rPr>
        <w:t>Consult</w:t>
      </w:r>
      <w:proofErr w:type="spellEnd"/>
      <w:r w:rsidRPr="00D84B19">
        <w:rPr>
          <w:rFonts w:ascii="Calibri" w:eastAsia="Calibri" w:hAnsi="Calibri" w:cs="Calibri"/>
          <w:b/>
          <w:bCs/>
          <w:sz w:val="22"/>
          <w:szCs w:val="22"/>
        </w:rPr>
        <w:t xml:space="preserve"> a.s.  </w:t>
      </w:r>
    </w:p>
    <w:p w14:paraId="4B214A5A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zapsaná v OR u Městského soudu v Praze, oddíl </w:t>
      </w:r>
      <w:proofErr w:type="gramStart"/>
      <w:r w:rsidRPr="00D84B19">
        <w:rPr>
          <w:rFonts w:ascii="Calibri" w:eastAsia="Calibri" w:hAnsi="Calibri" w:cs="Calibri"/>
          <w:sz w:val="22"/>
          <w:szCs w:val="22"/>
        </w:rPr>
        <w:t>B,  složka</w:t>
      </w:r>
      <w:proofErr w:type="gramEnd"/>
      <w:r w:rsidRPr="00D84B19">
        <w:rPr>
          <w:rFonts w:ascii="Calibri" w:eastAsia="Calibri" w:hAnsi="Calibri" w:cs="Calibri"/>
          <w:sz w:val="22"/>
          <w:szCs w:val="22"/>
        </w:rPr>
        <w:t xml:space="preserve"> 3682</w:t>
      </w:r>
    </w:p>
    <w:p w14:paraId="572E3277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IČO: </w:t>
      </w:r>
      <w:proofErr w:type="gramStart"/>
      <w:r w:rsidRPr="00D84B19">
        <w:rPr>
          <w:rFonts w:ascii="Calibri" w:eastAsia="Calibri" w:hAnsi="Calibri" w:cs="Calibri"/>
          <w:sz w:val="22"/>
          <w:szCs w:val="22"/>
        </w:rPr>
        <w:t>64948790  /</w:t>
      </w:r>
      <w:proofErr w:type="gramEnd"/>
      <w:r w:rsidRPr="00D84B19">
        <w:rPr>
          <w:rFonts w:ascii="Calibri" w:eastAsia="Calibri" w:hAnsi="Calibri" w:cs="Calibri"/>
          <w:sz w:val="22"/>
          <w:szCs w:val="22"/>
        </w:rPr>
        <w:t xml:space="preserve">  DIČ: CZ64948790</w:t>
      </w:r>
    </w:p>
    <w:p w14:paraId="2252DBEB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se sídlem: Olšanská 2643/</w:t>
      </w:r>
      <w:proofErr w:type="gramStart"/>
      <w:r w:rsidRPr="00D84B19">
        <w:rPr>
          <w:rFonts w:ascii="Calibri" w:eastAsia="Calibri" w:hAnsi="Calibri" w:cs="Calibri"/>
          <w:sz w:val="22"/>
          <w:szCs w:val="22"/>
        </w:rPr>
        <w:t>1a</w:t>
      </w:r>
      <w:proofErr w:type="gramEnd"/>
      <w:r w:rsidRPr="00D84B19">
        <w:rPr>
          <w:rFonts w:ascii="Calibri" w:eastAsia="Calibri" w:hAnsi="Calibri" w:cs="Calibri"/>
          <w:sz w:val="22"/>
          <w:szCs w:val="22"/>
        </w:rPr>
        <w:t>, 130 00 Praha 3</w:t>
      </w:r>
    </w:p>
    <w:p w14:paraId="5FCB944B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zastoupen ve věcech smluvních: Ing. Roman Klimt, předseda představenstva</w:t>
      </w:r>
    </w:p>
    <w:p w14:paraId="2004FDDB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zastoupen ve věcech technických: Ing. Martin Košťál</w:t>
      </w:r>
    </w:p>
    <w:p w14:paraId="7A8B70A7" w14:textId="77777777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26DBC6A" w14:textId="1A52A3DB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bankovní spojení: ČSOB a.s., číslo účtu: </w:t>
      </w:r>
      <w:proofErr w:type="spellStart"/>
      <w:r w:rsidR="00863097">
        <w:rPr>
          <w:rFonts w:ascii="Calibri" w:eastAsia="Calibri" w:hAnsi="Calibri" w:cs="Calibri"/>
          <w:sz w:val="22"/>
          <w:szCs w:val="22"/>
        </w:rPr>
        <w:t>xxx</w:t>
      </w:r>
      <w:proofErr w:type="spellEnd"/>
    </w:p>
    <w:p w14:paraId="1A2B5123" w14:textId="77777777" w:rsidR="00863097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Kontaktní osoba: Ing. Martin Košťál, email: </w:t>
      </w:r>
      <w:proofErr w:type="spellStart"/>
      <w:r w:rsidR="00863097">
        <w:rPr>
          <w:rFonts w:ascii="Calibri" w:eastAsia="Calibri" w:hAnsi="Calibri" w:cs="Calibri"/>
          <w:sz w:val="22"/>
          <w:szCs w:val="22"/>
        </w:rPr>
        <w:t>xxx</w:t>
      </w:r>
      <w:proofErr w:type="spellEnd"/>
    </w:p>
    <w:p w14:paraId="56E21130" w14:textId="0AD47213" w:rsidR="00D84B19" w:rsidRPr="00D84B19" w:rsidRDefault="00D84B19" w:rsidP="00D84B19">
      <w:pPr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(dále jen „Zástupce zhotovitele“)</w:t>
      </w:r>
    </w:p>
    <w:p w14:paraId="39BA40BE" w14:textId="77777777" w:rsidR="00D84B19" w:rsidRPr="00D84B19" w:rsidRDefault="00D84B19" w:rsidP="00D84B19">
      <w:pPr>
        <w:ind w:left="703" w:hanging="703"/>
        <w:rPr>
          <w:rFonts w:ascii="Calibri" w:eastAsia="Calibri" w:hAnsi="Calibri" w:cs="Calibri"/>
          <w:color w:val="000000"/>
          <w:sz w:val="22"/>
          <w:szCs w:val="22"/>
        </w:rPr>
      </w:pPr>
      <w:r w:rsidRPr="00D84B19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D84B19">
        <w:rPr>
          <w:rFonts w:ascii="Calibri" w:eastAsia="Calibri" w:hAnsi="Calibri" w:cs="Calibri"/>
          <w:b/>
          <w:color w:val="000000"/>
          <w:sz w:val="22"/>
          <w:szCs w:val="22"/>
        </w:rPr>
        <w:t>Zhotovitel</w:t>
      </w:r>
      <w:r w:rsidRPr="00D84B19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9529EDA" w14:textId="77777777" w:rsidR="00D84B19" w:rsidRPr="00D84B19" w:rsidRDefault="00D84B19" w:rsidP="00D84B19">
      <w:pPr>
        <w:ind w:left="703" w:hanging="567"/>
        <w:rPr>
          <w:rFonts w:ascii="Calibri" w:eastAsia="Calibri" w:hAnsi="Calibri" w:cs="Calibri"/>
          <w:color w:val="000000"/>
          <w:sz w:val="22"/>
          <w:szCs w:val="22"/>
        </w:rPr>
      </w:pPr>
    </w:p>
    <w:p w14:paraId="31A4E544" w14:textId="77777777" w:rsidR="00D84B19" w:rsidRPr="00D84B19" w:rsidRDefault="00D84B19" w:rsidP="00D84B19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84B19">
        <w:rPr>
          <w:rFonts w:ascii="Calibri" w:eastAsia="Calibri" w:hAnsi="Calibri" w:cs="Calibri"/>
          <w:color w:val="000000"/>
          <w:sz w:val="22"/>
          <w:szCs w:val="22"/>
        </w:rPr>
        <w:t>(Objednatel a Zhotovitel dále též jednotlivě jen jako „</w:t>
      </w:r>
      <w:r w:rsidRPr="00D84B19">
        <w:rPr>
          <w:rFonts w:ascii="Calibri" w:eastAsia="Calibri" w:hAnsi="Calibri" w:cs="Calibri"/>
          <w:b/>
          <w:color w:val="000000"/>
          <w:sz w:val="22"/>
          <w:szCs w:val="22"/>
        </w:rPr>
        <w:t>Smluvní strana</w:t>
      </w:r>
      <w:r w:rsidRPr="00D84B19">
        <w:rPr>
          <w:rFonts w:ascii="Calibri" w:eastAsia="Calibri" w:hAnsi="Calibri" w:cs="Calibri"/>
          <w:color w:val="000000"/>
          <w:sz w:val="22"/>
          <w:szCs w:val="22"/>
        </w:rPr>
        <w:t>“ nebo společně jako „</w:t>
      </w:r>
      <w:r w:rsidRPr="00D84B19">
        <w:rPr>
          <w:rFonts w:ascii="Calibri" w:eastAsia="Calibri" w:hAnsi="Calibri" w:cs="Calibri"/>
          <w:b/>
          <w:color w:val="000000"/>
          <w:sz w:val="22"/>
          <w:szCs w:val="22"/>
        </w:rPr>
        <w:t>Smluvní strany</w:t>
      </w:r>
      <w:r w:rsidRPr="00D84B19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DFC33E7" w14:textId="77777777" w:rsidR="00D84B19" w:rsidRPr="00D84B19" w:rsidRDefault="00D84B19" w:rsidP="00D84B19">
      <w:pPr>
        <w:ind w:left="703" w:hanging="567"/>
        <w:rPr>
          <w:rFonts w:ascii="Calibri" w:eastAsia="Calibri" w:hAnsi="Calibri" w:cs="Calibri"/>
          <w:color w:val="000000"/>
          <w:sz w:val="22"/>
          <w:szCs w:val="22"/>
        </w:rPr>
      </w:pPr>
    </w:p>
    <w:p w14:paraId="6F5FE25B" w14:textId="77777777" w:rsidR="00D84B19" w:rsidRPr="00D84B19" w:rsidRDefault="00D84B19" w:rsidP="00D84B19">
      <w:pPr>
        <w:spacing w:before="240" w:line="240" w:lineRule="atLeast"/>
        <w:ind w:left="703" w:hanging="56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D84B19"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podle </w:t>
      </w:r>
      <w:r w:rsidRPr="00D84B19">
        <w:rPr>
          <w:rFonts w:ascii="Calibri" w:eastAsia="Calibri" w:hAnsi="Calibri" w:cs="Calibri"/>
          <w:sz w:val="22"/>
          <w:szCs w:val="22"/>
        </w:rPr>
        <w:t xml:space="preserve">§ 2586 a násl. </w:t>
      </w:r>
      <w:r w:rsidRPr="00D84B19">
        <w:rPr>
          <w:rFonts w:ascii="Calibri" w:eastAsia="Calibri" w:hAnsi="Calibri" w:cs="Calibri"/>
          <w:color w:val="000000"/>
          <w:sz w:val="22"/>
          <w:szCs w:val="22"/>
        </w:rPr>
        <w:t>zákona č. 89/2012 Sb., občanský zákoník, ve znění pozdějších předpisů (dále jen „</w:t>
      </w:r>
      <w:r w:rsidRPr="00D84B19">
        <w:rPr>
          <w:rFonts w:ascii="Calibri" w:eastAsia="Calibri" w:hAnsi="Calibri" w:cs="Calibri"/>
          <w:b/>
          <w:i/>
          <w:color w:val="000000"/>
          <w:sz w:val="22"/>
          <w:szCs w:val="22"/>
        </w:rPr>
        <w:t>OZ</w:t>
      </w:r>
      <w:r w:rsidRPr="00D84B19">
        <w:rPr>
          <w:rFonts w:ascii="Calibri" w:eastAsia="Calibri" w:hAnsi="Calibri" w:cs="Calibri"/>
          <w:color w:val="000000"/>
          <w:sz w:val="22"/>
          <w:szCs w:val="22"/>
        </w:rPr>
        <w:t>“), níže uvedeného dne, měsíce a roku tuto</w:t>
      </w:r>
    </w:p>
    <w:p w14:paraId="4C7BBB2A" w14:textId="77777777" w:rsidR="00D84B19" w:rsidRPr="00D84B19" w:rsidRDefault="00D84B19" w:rsidP="00D84B19">
      <w:pPr>
        <w:widowControl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1C808B5" w14:textId="77777777" w:rsidR="00D84B19" w:rsidRPr="00D84B19" w:rsidRDefault="00D84B19" w:rsidP="00D84B19">
      <w:pPr>
        <w:tabs>
          <w:tab w:val="left" w:pos="1341"/>
        </w:tabs>
        <w:jc w:val="center"/>
        <w:rPr>
          <w:rFonts w:ascii="Calibri" w:eastAsia="Calibri" w:hAnsi="Calibri" w:cs="Calibri"/>
          <w:b/>
          <w:bCs/>
          <w:lang w:eastAsia="x-none"/>
        </w:rPr>
      </w:pPr>
      <w:r w:rsidRPr="00D84B19">
        <w:rPr>
          <w:rFonts w:ascii="Calibri" w:eastAsia="Calibri" w:hAnsi="Calibri" w:cs="Calibri"/>
          <w:b/>
          <w:bCs/>
          <w:lang w:eastAsia="x-none"/>
        </w:rPr>
        <w:t>smlouvu o dílo</w:t>
      </w:r>
    </w:p>
    <w:p w14:paraId="3202E86A" w14:textId="77777777" w:rsidR="00D84B19" w:rsidRPr="00D84B19" w:rsidRDefault="00D84B19" w:rsidP="00D84B19">
      <w:pPr>
        <w:tabs>
          <w:tab w:val="left" w:pos="1341"/>
        </w:tabs>
        <w:jc w:val="center"/>
        <w:rPr>
          <w:rFonts w:ascii="Calibri" w:eastAsia="Calibri" w:hAnsi="Calibri" w:cs="Calibri"/>
          <w:bCs/>
          <w:sz w:val="22"/>
          <w:szCs w:val="22"/>
          <w:lang w:eastAsia="x-none"/>
        </w:rPr>
      </w:pPr>
      <w:r w:rsidRPr="00D84B19">
        <w:rPr>
          <w:rFonts w:ascii="Calibri" w:eastAsia="Calibri" w:hAnsi="Calibri" w:cs="Calibri"/>
          <w:bCs/>
          <w:sz w:val="22"/>
          <w:szCs w:val="22"/>
          <w:lang w:eastAsia="x-none"/>
        </w:rPr>
        <w:t>(dále jen „Smlouva“)</w:t>
      </w:r>
    </w:p>
    <w:p w14:paraId="349AEA1F" w14:textId="77777777" w:rsidR="00D84B19" w:rsidRPr="00D84B19" w:rsidRDefault="00D84B19" w:rsidP="00D84B19">
      <w:pPr>
        <w:tabs>
          <w:tab w:val="left" w:pos="1341"/>
        </w:tabs>
        <w:jc w:val="center"/>
        <w:rPr>
          <w:rFonts w:ascii="Calibri" w:eastAsia="Calibri" w:hAnsi="Calibri" w:cs="Calibri"/>
          <w:b/>
          <w:bCs/>
          <w:sz w:val="22"/>
          <w:szCs w:val="22"/>
          <w:lang w:eastAsia="x-none"/>
        </w:rPr>
      </w:pPr>
    </w:p>
    <w:p w14:paraId="36148945" w14:textId="77777777" w:rsidR="00D84B19" w:rsidRPr="00D84B19" w:rsidRDefault="00D84B19" w:rsidP="00D84B19">
      <w:pPr>
        <w:ind w:left="4680" w:hanging="4680"/>
        <w:jc w:val="center"/>
        <w:rPr>
          <w:rFonts w:ascii="Calibri" w:eastAsia="Calibri" w:hAnsi="Calibri" w:cs="Calibri"/>
          <w:b/>
          <w:bCs/>
          <w:sz w:val="22"/>
          <w:szCs w:val="22"/>
          <w:lang w:eastAsia="x-none"/>
        </w:rPr>
      </w:pPr>
    </w:p>
    <w:p w14:paraId="4CE2E605" w14:textId="77777777" w:rsidR="00D84B19" w:rsidRPr="00D84B19" w:rsidRDefault="00D84B19" w:rsidP="00D84B19">
      <w:pPr>
        <w:numPr>
          <w:ilvl w:val="0"/>
          <w:numId w:val="2"/>
        </w:numPr>
        <w:jc w:val="center"/>
        <w:rPr>
          <w:rFonts w:ascii="Calibri" w:eastAsia="Calibri" w:hAnsi="Calibri" w:cs="Calibri"/>
          <w:b/>
          <w:bCs/>
          <w:sz w:val="22"/>
          <w:szCs w:val="22"/>
          <w:lang w:eastAsia="x-none"/>
        </w:rPr>
      </w:pPr>
      <w:bookmarkStart w:id="0" w:name="_Ref29200563"/>
      <w:r w:rsidRPr="00D84B19">
        <w:rPr>
          <w:rFonts w:ascii="Calibri" w:eastAsia="Calibri" w:hAnsi="Calibri" w:cs="Calibri"/>
          <w:b/>
          <w:bCs/>
          <w:sz w:val="22"/>
          <w:szCs w:val="22"/>
          <w:lang w:eastAsia="x-none"/>
        </w:rPr>
        <w:t>Předmět smlouvy</w:t>
      </w:r>
      <w:bookmarkEnd w:id="0"/>
    </w:p>
    <w:p w14:paraId="379F325F" w14:textId="77777777" w:rsidR="00D84B19" w:rsidRPr="00D84B19" w:rsidRDefault="00D84B19" w:rsidP="00D84B19">
      <w:pPr>
        <w:numPr>
          <w:ilvl w:val="1"/>
          <w:numId w:val="7"/>
        </w:numPr>
        <w:ind w:left="567" w:right="-142" w:hanging="567"/>
        <w:jc w:val="both"/>
        <w:rPr>
          <w:rFonts w:ascii="Calibri" w:eastAsia="Calibri" w:hAnsi="Calibri" w:cs="Calibri"/>
          <w:sz w:val="22"/>
          <w:szCs w:val="22"/>
        </w:rPr>
      </w:pPr>
      <w:bookmarkStart w:id="1" w:name="_Ref29209901"/>
      <w:r w:rsidRPr="00D84B19">
        <w:rPr>
          <w:rFonts w:ascii="Calibri" w:eastAsia="Calibri" w:hAnsi="Calibri" w:cs="Calibri"/>
          <w:sz w:val="22"/>
          <w:szCs w:val="22"/>
        </w:rPr>
        <w:t xml:space="preserve">Zhotovitel je povinen pro Objednatele provést na svůj náklad a nebezpečí dílo: </w:t>
      </w:r>
      <w:r w:rsidRPr="00D84B19">
        <w:rPr>
          <w:rFonts w:ascii="Calibri" w:eastAsia="Calibri" w:hAnsi="Calibri" w:cs="Calibri"/>
          <w:b/>
          <w:sz w:val="22"/>
          <w:szCs w:val="22"/>
        </w:rPr>
        <w:t>zpracování odborného posouzení plnění položkového rozpočtu stavební části projektu NPÚ, SZ Valeč – obnova skleníku včetně zázemí, a to jak ve vztahu k zadání veřejné zakázky, tak k uzavřenému smluvnímu vztahu včetně příloh a dodatků</w:t>
      </w:r>
      <w:r w:rsidRPr="00D84B19">
        <w:rPr>
          <w:rFonts w:ascii="Calibri" w:eastAsia="Calibri" w:hAnsi="Calibri" w:cs="Calibri"/>
          <w:sz w:val="22"/>
          <w:szCs w:val="22"/>
        </w:rPr>
        <w:t xml:space="preserve"> (dále jen „Dílo“). Smluvním vztahem se rozumí Smlouva o dílo uzavřená se spol. GEMA ART International s.r.o. dne 21.10.2021 smlouvu o dílo </w:t>
      </w:r>
      <w:r w:rsidRPr="00D84B19">
        <w:rPr>
          <w:rFonts w:ascii="Calibri" w:eastAsia="Calibri" w:hAnsi="Calibri" w:cs="Calibri"/>
          <w:sz w:val="22"/>
          <w:szCs w:val="22"/>
        </w:rPr>
        <w:lastRenderedPageBreak/>
        <w:t xml:space="preserve">č. 420/81978/2021 - 2028H1210011, ve znění pozdějších dodatků. Veřejnou zakázkou se rozumí zakázka s názvem SZ </w:t>
      </w:r>
      <w:proofErr w:type="gramStart"/>
      <w:r w:rsidRPr="00D84B19">
        <w:rPr>
          <w:rFonts w:ascii="Calibri" w:eastAsia="Calibri" w:hAnsi="Calibri" w:cs="Calibri"/>
          <w:sz w:val="22"/>
          <w:szCs w:val="22"/>
        </w:rPr>
        <w:t>Valeč - rekonstrukce</w:t>
      </w:r>
      <w:proofErr w:type="gramEnd"/>
      <w:r w:rsidRPr="00D84B19">
        <w:rPr>
          <w:rFonts w:ascii="Calibri" w:eastAsia="Calibri" w:hAnsi="Calibri" w:cs="Calibri"/>
          <w:sz w:val="22"/>
          <w:szCs w:val="22"/>
        </w:rPr>
        <w:t xml:space="preserve"> skleníku včetně zázemí 2, zadaná v Národním elektronickém nástroji pod č. N006/21/V00017160. Odborné posouzení je zadáváno na základě požadavku Ministerstva kultury v rámci akce SMVS č. 134V131000030 a bude sloužit jako rovněž jako podklad pro jednání se zhotovitelem stavby v návaznosti na odstoupení od smlouvy.</w:t>
      </w:r>
    </w:p>
    <w:p w14:paraId="715C3735" w14:textId="77777777" w:rsidR="00D84B19" w:rsidRPr="00D84B19" w:rsidRDefault="00D84B19" w:rsidP="00D84B19">
      <w:pPr>
        <w:numPr>
          <w:ilvl w:val="1"/>
          <w:numId w:val="7"/>
        </w:numPr>
        <w:ind w:left="567" w:right="-142" w:hanging="567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V návaznosti na provedené posouzení se strany domluví na případné druhé etapě spočívající v posouzení míry dodržení původního zadání a ověření správnosti fakturace v návaznosti na provedené práce – bude řešeno případně písemným dodatkem ke smlouvě.</w:t>
      </w:r>
    </w:p>
    <w:p w14:paraId="79BEDE24" w14:textId="77777777" w:rsidR="00D84B19" w:rsidRPr="00D84B19" w:rsidRDefault="00D84B19" w:rsidP="00D84B19">
      <w:pPr>
        <w:numPr>
          <w:ilvl w:val="1"/>
          <w:numId w:val="7"/>
        </w:numPr>
        <w:ind w:left="567" w:right="-142" w:hanging="567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Objednatel se zavazuje řádně zhotovené Dílo převzít a zaplatit za něj Smluvní cenu uvedenou v této Smlouvě.</w:t>
      </w:r>
    </w:p>
    <w:p w14:paraId="2A5D0EE1" w14:textId="77777777" w:rsidR="00D84B19" w:rsidRPr="00D84B19" w:rsidRDefault="00D84B19" w:rsidP="00D84B19">
      <w:pPr>
        <w:numPr>
          <w:ilvl w:val="1"/>
          <w:numId w:val="7"/>
        </w:numPr>
        <w:ind w:left="567" w:right="-142" w:hanging="567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 xml:space="preserve">Místem plnění je státní zámek Valeč. </w:t>
      </w:r>
    </w:p>
    <w:p w14:paraId="4F1094B2" w14:textId="77777777" w:rsidR="00D84B19" w:rsidRPr="00D84B19" w:rsidRDefault="00D84B19" w:rsidP="00D84B19">
      <w:pPr>
        <w:numPr>
          <w:ilvl w:val="1"/>
          <w:numId w:val="7"/>
        </w:numPr>
        <w:ind w:left="567" w:right="-142" w:hanging="567"/>
        <w:jc w:val="both"/>
        <w:rPr>
          <w:rFonts w:ascii="Calibri" w:eastAsia="Calibri" w:hAnsi="Calibri" w:cs="Calibri"/>
          <w:sz w:val="22"/>
          <w:szCs w:val="22"/>
        </w:rPr>
      </w:pPr>
      <w:r w:rsidRPr="00D84B19">
        <w:rPr>
          <w:rFonts w:ascii="Calibri" w:eastAsia="Calibri" w:hAnsi="Calibri" w:cs="Calibri"/>
          <w:sz w:val="22"/>
          <w:szCs w:val="22"/>
        </w:rPr>
        <w:t>Zhotovitel prohlašuje, že disponuje autorizovanou osobou, a to v osobě Ing. Martina Košťála s autorizací v oboru pozemní stavby, č. autorizace 0014782.</w:t>
      </w:r>
    </w:p>
    <w:p w14:paraId="4A254B07" w14:textId="77777777" w:rsidR="00D84B19" w:rsidRPr="00D84B19" w:rsidRDefault="00D84B19" w:rsidP="00D84B19">
      <w:pPr>
        <w:ind w:left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bookmarkStart w:id="2" w:name="_Ref29202019"/>
      <w:bookmarkEnd w:id="1"/>
    </w:p>
    <w:p w14:paraId="13BC27A2" w14:textId="77777777" w:rsidR="00D84B19" w:rsidRPr="00D84B19" w:rsidRDefault="00D84B19" w:rsidP="00D84B19">
      <w:pPr>
        <w:numPr>
          <w:ilvl w:val="0"/>
          <w:numId w:val="2"/>
        </w:numPr>
        <w:jc w:val="center"/>
        <w:rPr>
          <w:rFonts w:ascii="Calibri" w:hAnsi="Calibri"/>
          <w:b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b/>
          <w:color w:val="000000"/>
          <w:sz w:val="22"/>
          <w:szCs w:val="22"/>
          <w:lang w:bidi="cs-CZ"/>
        </w:rPr>
        <w:t xml:space="preserve">Podmínky provádění Díla </w:t>
      </w:r>
    </w:p>
    <w:p w14:paraId="34492E65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 xml:space="preserve">Strany musí při realizaci předmětu plnění jednat poctivě a s řádnou odbornou péčí, s potřebnou znalostí a pečlivostí. </w:t>
      </w:r>
    </w:p>
    <w:p w14:paraId="7685A989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00C5EC9A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14:paraId="44127EED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149C1FAB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4477B2B2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hAnsi="Calibri"/>
          <w:color w:val="000000"/>
          <w:sz w:val="22"/>
          <w:szCs w:val="22"/>
          <w:lang w:bidi="cs-CZ"/>
        </w:rPr>
      </w:pPr>
      <w:r w:rsidRPr="00D84B19">
        <w:rPr>
          <w:rFonts w:ascii="Calibri" w:hAnsi="Calibri"/>
          <w:color w:val="000000"/>
          <w:sz w:val="22"/>
          <w:szCs w:val="22"/>
          <w:lang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3F0F2CC2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4434DD00" w14:textId="77777777" w:rsidR="00D84B19" w:rsidRPr="00D84B19" w:rsidRDefault="00D84B19" w:rsidP="00D84B19">
      <w:pPr>
        <w:ind w:left="567"/>
        <w:jc w:val="both"/>
        <w:rPr>
          <w:rFonts w:ascii="Calibri" w:eastAsia="Calibri" w:hAnsi="Calibri" w:cs="Calibri"/>
          <w:sz w:val="22"/>
          <w:szCs w:val="22"/>
          <w:lang w:eastAsia="x-none"/>
        </w:rPr>
      </w:pPr>
    </w:p>
    <w:p w14:paraId="3B0F30A0" w14:textId="77777777" w:rsidR="00D84B19" w:rsidRPr="00D84B19" w:rsidRDefault="00D84B19" w:rsidP="00D84B19">
      <w:pPr>
        <w:numPr>
          <w:ilvl w:val="0"/>
          <w:numId w:val="2"/>
        </w:numPr>
        <w:jc w:val="center"/>
        <w:rPr>
          <w:rFonts w:ascii="Calibri" w:eastAsia="Calibri" w:hAnsi="Calibri" w:cs="Calibri"/>
          <w:b/>
          <w:sz w:val="22"/>
          <w:szCs w:val="22"/>
          <w:lang w:eastAsia="x-none"/>
        </w:rPr>
      </w:pPr>
      <w:r w:rsidRPr="00D84B19">
        <w:rPr>
          <w:rFonts w:ascii="Calibri" w:eastAsia="Calibri" w:hAnsi="Calibri" w:cs="Calibri"/>
          <w:b/>
          <w:sz w:val="22"/>
          <w:szCs w:val="22"/>
          <w:lang w:eastAsia="x-none"/>
        </w:rPr>
        <w:t>Doba pro dokončení díla a předání a převzetí díla</w:t>
      </w:r>
    </w:p>
    <w:p w14:paraId="50C94BFB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Zhotovitel se zavazuje provést Dílo v následujících lhůtách:</w:t>
      </w:r>
    </w:p>
    <w:p w14:paraId="5574BE90" w14:textId="77777777" w:rsidR="00D84B19" w:rsidRPr="00D84B19" w:rsidRDefault="00D84B19" w:rsidP="00D84B19">
      <w:pPr>
        <w:numPr>
          <w:ilvl w:val="2"/>
          <w:numId w:val="2"/>
        </w:numPr>
        <w:ind w:left="1418" w:hanging="709"/>
        <w:jc w:val="both"/>
        <w:rPr>
          <w:rFonts w:ascii="Calibri" w:eastAsia="Calibri" w:hAnsi="Calibri" w:cs="Calibri"/>
          <w:sz w:val="22"/>
          <w:szCs w:val="22"/>
          <w:lang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Lhůta pro zahájení provádění Díla: bez zbytečného odkladu po nabytí účinnosti Smlouvy;</w:t>
      </w:r>
    </w:p>
    <w:p w14:paraId="7ABF871B" w14:textId="77777777" w:rsidR="00D84B19" w:rsidRPr="00D84B19" w:rsidRDefault="00D84B19" w:rsidP="00D84B19">
      <w:pPr>
        <w:numPr>
          <w:ilvl w:val="2"/>
          <w:numId w:val="2"/>
        </w:numPr>
        <w:ind w:left="1418" w:hanging="709"/>
        <w:jc w:val="both"/>
        <w:rPr>
          <w:rFonts w:ascii="Calibri" w:eastAsia="Calibri" w:hAnsi="Calibri" w:cs="Calibri"/>
          <w:b/>
          <w:sz w:val="22"/>
          <w:szCs w:val="22"/>
          <w:lang w:eastAsia="x-none"/>
        </w:rPr>
      </w:pPr>
      <w:r w:rsidRPr="00D84B19">
        <w:rPr>
          <w:rFonts w:ascii="Calibri" w:eastAsia="Calibri" w:hAnsi="Calibri" w:cs="Calibri"/>
          <w:b/>
          <w:sz w:val="22"/>
          <w:szCs w:val="22"/>
          <w:lang w:eastAsia="x-none"/>
        </w:rPr>
        <w:t>Doba pro dokončení Díla: do 1 měsíce ode dne nabytí účinnosti této Smlouvy</w:t>
      </w:r>
    </w:p>
    <w:p w14:paraId="20AF0D1F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Dílo je provedeno, je-li předáno a dále pokud:</w:t>
      </w:r>
    </w:p>
    <w:p w14:paraId="769730E8" w14:textId="77777777" w:rsidR="00D84B19" w:rsidRPr="00D84B19" w:rsidRDefault="00D84B19" w:rsidP="00D84B19">
      <w:pPr>
        <w:numPr>
          <w:ilvl w:val="0"/>
          <w:numId w:val="3"/>
        </w:numPr>
        <w:spacing w:line="240" w:lineRule="atLeast"/>
        <w:ind w:left="1418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provedeny veškeré práce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na Díle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v souladu se Smlouvou,</w:t>
      </w:r>
    </w:p>
    <w:p w14:paraId="213C1B89" w14:textId="77777777" w:rsidR="00D84B19" w:rsidRPr="00D84B19" w:rsidRDefault="00D84B19" w:rsidP="00D84B19">
      <w:pPr>
        <w:numPr>
          <w:ilvl w:val="0"/>
          <w:numId w:val="3"/>
        </w:numPr>
        <w:spacing w:line="240" w:lineRule="atLeast"/>
        <w:ind w:left="1418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došlo k 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odstranění případných vad a nedodělků, s výjimkou ojedinělých nebo drobných vad a nedodělků, které samy o sobě ani ve spojení s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 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jinými do jejich odstranění nebudou podstatným způsobem bránit užívání Díla ke smluvenému účelu nebo takové užívání nebudou podstatným způsobem omezovat;</w:t>
      </w:r>
    </w:p>
    <w:p w14:paraId="19F915F0" w14:textId="77777777" w:rsidR="00D84B19" w:rsidRPr="00D84B19" w:rsidRDefault="00D84B19" w:rsidP="00D84B19">
      <w:pPr>
        <w:numPr>
          <w:ilvl w:val="0"/>
          <w:numId w:val="3"/>
        </w:numPr>
        <w:spacing w:line="240" w:lineRule="atLeast"/>
        <w:ind w:left="1418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odborné posouzení bude předáno 1x v el. formě a 1x v listinné podobě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.</w:t>
      </w:r>
    </w:p>
    <w:p w14:paraId="03CB5063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O dokončení a předání díla sepíšou smluvní strany předávací protokol, v němž se případně popíšou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případné ojedinělé nebo drobné vady a nedodělky včetně doby pro jejich odstranění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.</w:t>
      </w:r>
    </w:p>
    <w:p w14:paraId="29D7A249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lastRenderedPageBreak/>
        <w:t xml:space="preserve">Nebezpečí škody přechází na Objednatele k datu vydání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předávacího protokolu a po odstranění případných vad a nedodělků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.</w:t>
      </w:r>
    </w:p>
    <w:p w14:paraId="50798676" w14:textId="77777777" w:rsidR="00D84B19" w:rsidRPr="00D84B19" w:rsidRDefault="00D84B19" w:rsidP="00D84B19">
      <w:pPr>
        <w:ind w:left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</w:p>
    <w:p w14:paraId="612842B1" w14:textId="77777777" w:rsidR="00D84B19" w:rsidRPr="00D84B19" w:rsidRDefault="00D84B19" w:rsidP="00D84B19">
      <w:pPr>
        <w:keepNext/>
        <w:numPr>
          <w:ilvl w:val="0"/>
          <w:numId w:val="2"/>
        </w:numPr>
        <w:jc w:val="center"/>
        <w:rPr>
          <w:rFonts w:ascii="Calibri" w:eastAsia="Calibri" w:hAnsi="Calibri" w:cs="Calibri"/>
          <w:b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b/>
          <w:sz w:val="22"/>
          <w:szCs w:val="22"/>
          <w:lang w:eastAsia="x-none"/>
        </w:rPr>
        <w:t>Smluvní cena a platební podmínky</w:t>
      </w:r>
    </w:p>
    <w:p w14:paraId="60937ABB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Smluvní cena je stanovena v celkové výši </w:t>
      </w:r>
      <w:r w:rsidRPr="00D84B19">
        <w:rPr>
          <w:rFonts w:ascii="Calibri" w:eastAsia="Calibri" w:hAnsi="Calibri" w:cs="Calibri"/>
          <w:b/>
          <w:bCs/>
          <w:sz w:val="22"/>
          <w:szCs w:val="22"/>
          <w:lang w:val="x-none" w:eastAsia="x-none"/>
        </w:rPr>
        <w:t>55 000 Kč bez DPH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(„Smluvní cena“);  66 550 Kč v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četně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21</w:t>
      </w:r>
      <w:r w:rsidRPr="00D84B19">
        <w:rPr>
          <w:rFonts w:ascii="Calibri" w:eastAsia="Calibri" w:hAnsi="Calibri" w:cs="Calibri"/>
          <w:sz w:val="22"/>
          <w:szCs w:val="22"/>
          <w:lang w:val="en-US" w:eastAsia="x-none"/>
        </w:rPr>
        <w:t>% DPH.</w:t>
      </w:r>
    </w:p>
    <w:p w14:paraId="14D8507F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4994D594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Smluvní c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en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a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obsahuje veškeré náklady Zhotovitele související s provedením Díla, včetně všech vedlejších nákladů, režijních nákladů,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nákladů na dopravu,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zisku, a ostatní náklady související s plněním podmínek dle této Smlouvy.</w:t>
      </w:r>
    </w:p>
    <w:p w14:paraId="6DD26681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3BB3579A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Zhotovitel má nárok na úhradu platby Smluvní ceny, a to po předání a převzetí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Díla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na základě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předávacího protokolu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.</w:t>
      </w:r>
    </w:p>
    <w:p w14:paraId="6A3488C8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7C7058B0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Fakturu (daňový doklad) k platbě lze vystavit až po vydání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předávacího protokolu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se splatností 21 dnů od data vystavení. </w:t>
      </w:r>
    </w:p>
    <w:p w14:paraId="7D0757B0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bookmarkStart w:id="3" w:name="_Ref29203143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1DBBEF9A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Na každé faktuře – daňovém dokladu musí být uvedeno číslo smlouvy Objednatele a název Díla. </w:t>
      </w:r>
      <w:bookmarkStart w:id="4" w:name="_Ref29210228"/>
    </w:p>
    <w:p w14:paraId="4DE3B9BE" w14:textId="42D7EDDE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Zhotovitel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doručí fakturu v listinné podobě na adresu sídla na doručovací adresu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Objednatele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anebo v elektronické podobě na e-mailovou adresu</w:t>
      </w:r>
      <w:r w:rsidR="00863097">
        <w:rPr>
          <w:rFonts w:ascii="Calibri" w:eastAsia="Calibri" w:hAnsi="Calibri" w:cs="Calibri"/>
          <w:sz w:val="22"/>
          <w:szCs w:val="22"/>
          <w:lang w:eastAsia="x-none"/>
        </w:rPr>
        <w:t xml:space="preserve"> </w:t>
      </w:r>
      <w:proofErr w:type="spellStart"/>
      <w:r w:rsidR="00863097">
        <w:rPr>
          <w:rFonts w:ascii="Calibri" w:eastAsia="Calibri" w:hAnsi="Calibri" w:cs="Calibri"/>
          <w:sz w:val="22"/>
          <w:szCs w:val="22"/>
          <w:lang w:eastAsia="x-none"/>
        </w:rPr>
        <w:t>xxx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</w:t>
      </w:r>
    </w:p>
    <w:p w14:paraId="34597CD9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Cena je považována za uhrazenou odepsáním příslušné částky k úhradě z účtu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Objednatele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ve prospěch účtu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Zhotovitele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uvedeného v záhlaví této smlouvy.</w:t>
      </w:r>
    </w:p>
    <w:p w14:paraId="68176DF7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65E29477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b/>
          <w:sz w:val="22"/>
          <w:szCs w:val="22"/>
          <w:u w:val="single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4"/>
    </w:p>
    <w:p w14:paraId="40667D1C" w14:textId="77777777" w:rsidR="00D84B19" w:rsidRPr="00D84B19" w:rsidRDefault="00D84B19" w:rsidP="00D84B19">
      <w:pPr>
        <w:spacing w:line="240" w:lineRule="atLeast"/>
        <w:ind w:left="709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</w:p>
    <w:p w14:paraId="36DA79E2" w14:textId="77777777" w:rsidR="00D84B19" w:rsidRPr="00D84B19" w:rsidRDefault="00D84B19" w:rsidP="00D84B19">
      <w:pPr>
        <w:keepNext/>
        <w:numPr>
          <w:ilvl w:val="0"/>
          <w:numId w:val="2"/>
        </w:numPr>
        <w:jc w:val="center"/>
        <w:rPr>
          <w:rFonts w:ascii="Calibri" w:eastAsia="Calibri" w:hAnsi="Calibri" w:cs="Calibri"/>
          <w:b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b/>
          <w:sz w:val="22"/>
          <w:szCs w:val="22"/>
          <w:lang w:val="x-none" w:eastAsia="x-none"/>
        </w:rPr>
        <w:t xml:space="preserve">Vady díla a záruka </w:t>
      </w:r>
    </w:p>
    <w:p w14:paraId="76829D5A" w14:textId="77777777" w:rsidR="00D84B19" w:rsidRPr="00D84B19" w:rsidRDefault="00D84B19" w:rsidP="00D84B19">
      <w:pPr>
        <w:keepNext/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Zhotovitel musí na svůj náklad a nebezpečí odstranit veškeré vady a nedodělky uvedené v 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předávacím protokolu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, a to v době uvedené v tomto potvrzení (není-li uvedeno, pak v době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5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pracovních dnů).</w:t>
      </w:r>
    </w:p>
    <w:p w14:paraId="0BDB8620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7FB539FC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lastRenderedPageBreak/>
        <w:t xml:space="preserve">Dílo a výstupy Zhotovitele musí být ve stavu požadovaném Smlouvou do data uplynutí příslušné záruční doby. Záruční doba činí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12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měsíců. Počátek běhu záruční doby se počítá ode dne dokončení Díla jako celku uvedeného v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 předávacím protokolu.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</w:t>
      </w:r>
    </w:p>
    <w:p w14:paraId="667E79DF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 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vadě učiněném Objednatelem vyvinout úsilí ke zjištění její příčiny a odstranění vady ve lhůtě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10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kalendářních dnů, nedohodnou-li se smluvní strany jinak. </w:t>
      </w:r>
    </w:p>
    <w:p w14:paraId="1D164DA2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V případě, že Zhotovitel neodstraní vady ve stanovené nebo sjednané době podle předchozích odstavců, může Objednatel:</w:t>
      </w:r>
    </w:p>
    <w:p w14:paraId="7BAD0FB9" w14:textId="77777777" w:rsidR="00D84B19" w:rsidRPr="00D84B19" w:rsidRDefault="00D84B19" w:rsidP="00D84B19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 xml:space="preserve">požadovat zaplacení smluvní pokuty ve výši 500,- Kč za každou jednotlivou vadu nebo nedodělek a každý den trvání prodlení nebo </w:t>
      </w:r>
    </w:p>
    <w:p w14:paraId="39411E2C" w14:textId="77777777" w:rsidR="00D84B19" w:rsidRPr="00D84B19" w:rsidRDefault="00D84B19" w:rsidP="00D84B19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122F6277" w14:textId="77777777" w:rsidR="00D84B19" w:rsidRPr="00D84B19" w:rsidRDefault="00D84B19" w:rsidP="00D84B19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3EE138F6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61530504" w14:textId="77777777" w:rsidR="00D84B19" w:rsidRPr="00D84B19" w:rsidRDefault="00D84B19" w:rsidP="00D84B19">
      <w:pPr>
        <w:widowControl w:val="0"/>
        <w:tabs>
          <w:tab w:val="left" w:pos="567"/>
        </w:tabs>
        <w:spacing w:line="240" w:lineRule="atLeast"/>
        <w:ind w:left="567"/>
        <w:jc w:val="both"/>
        <w:outlineLvl w:val="1"/>
        <w:rPr>
          <w:rFonts w:ascii="Calibri" w:hAnsi="Calibri" w:cs="Calibri"/>
          <w:bCs/>
          <w:sz w:val="22"/>
          <w:szCs w:val="22"/>
        </w:rPr>
      </w:pPr>
    </w:p>
    <w:p w14:paraId="48F44784" w14:textId="77777777" w:rsidR="00D84B19" w:rsidRPr="00D84B19" w:rsidRDefault="00D84B19" w:rsidP="00D84B19">
      <w:pPr>
        <w:keepNext/>
        <w:numPr>
          <w:ilvl w:val="0"/>
          <w:numId w:val="2"/>
        </w:numPr>
        <w:jc w:val="center"/>
        <w:rPr>
          <w:rFonts w:ascii="Calibri" w:eastAsia="Calibri" w:hAnsi="Calibri" w:cs="Calibri"/>
          <w:b/>
          <w:bCs/>
          <w:sz w:val="22"/>
          <w:szCs w:val="22"/>
          <w:lang w:val="x-none" w:eastAsia="x-none"/>
        </w:rPr>
      </w:pPr>
      <w:bookmarkStart w:id="5" w:name="bookmark22"/>
      <w:bookmarkStart w:id="6" w:name="bookmark23"/>
      <w:r w:rsidRPr="00D84B19">
        <w:rPr>
          <w:rFonts w:ascii="Calibri" w:eastAsia="Calibri" w:hAnsi="Calibri" w:cs="Calibri"/>
          <w:b/>
          <w:bCs/>
          <w:sz w:val="22"/>
          <w:szCs w:val="22"/>
          <w:lang w:val="x-none" w:eastAsia="x-none"/>
        </w:rPr>
        <w:t>Smluvní pokuty</w:t>
      </w:r>
      <w:bookmarkEnd w:id="5"/>
      <w:bookmarkEnd w:id="6"/>
    </w:p>
    <w:p w14:paraId="5E685D5B" w14:textId="77777777" w:rsidR="00D84B19" w:rsidRPr="00D84B19" w:rsidRDefault="00D84B19" w:rsidP="00D84B19">
      <w:pPr>
        <w:keepNext/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Smluvní strany se zavazují k úhradě smluvních pokut uvedených v tomto článku Smlouvy či uvedených v jiných částech této Smlouvy.</w:t>
      </w:r>
    </w:p>
    <w:p w14:paraId="64D2540F" w14:textId="77777777" w:rsidR="00D84B19" w:rsidRPr="00D84B19" w:rsidRDefault="00D84B19" w:rsidP="00D84B19">
      <w:pPr>
        <w:keepNext/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V případě nesplnění doby pro dokončení Díla má Objednatel právo na zaplacení smluvní pokuty ve výši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500 Kč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,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a to 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za každý byť započatý den prodlení.</w:t>
      </w:r>
    </w:p>
    <w:p w14:paraId="73EFA1C8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V případě prodlení Objednatele s placením Smluvní ceny je Zhotovitel oprávněn požadovat zákonný úrok z prodlení.</w:t>
      </w:r>
    </w:p>
    <w:p w14:paraId="4B1E69CB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Smluvní pokuta je splatná do 21 dnů po doručení písemného oznámení obsahujícího výzvu </w:t>
      </w:r>
      <w:bookmarkStart w:id="7" w:name="_GoBack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k úhradě smluvní pokuty se stručným popisem a časovým určením porušení smluvní </w:t>
      </w:r>
      <w:bookmarkEnd w:id="7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68CD7F90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bookmarkStart w:id="8" w:name="bookmark24"/>
      <w:bookmarkStart w:id="9" w:name="bookmark25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Uhrazením smluvní pokuty není dotčeno právo druhé strany na náhradu škody, a to v rozsahu, ve kterém škoda výši smluvní pokuty přesahuje.</w:t>
      </w:r>
    </w:p>
    <w:p w14:paraId="2EA3A9F4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Objednatel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57BBCC08" w14:textId="77777777" w:rsidR="00D84B19" w:rsidRPr="00D84B19" w:rsidRDefault="00D84B19" w:rsidP="00D84B19">
      <w:pPr>
        <w:widowControl w:val="0"/>
        <w:tabs>
          <w:tab w:val="left" w:pos="567"/>
        </w:tabs>
        <w:spacing w:line="240" w:lineRule="atLeast"/>
        <w:ind w:left="567"/>
        <w:jc w:val="both"/>
        <w:outlineLvl w:val="1"/>
        <w:rPr>
          <w:rFonts w:ascii="Calibri" w:hAnsi="Calibri" w:cs="Calibri"/>
          <w:bCs/>
          <w:sz w:val="22"/>
          <w:szCs w:val="22"/>
        </w:rPr>
      </w:pPr>
    </w:p>
    <w:p w14:paraId="5A8F394E" w14:textId="77777777" w:rsidR="00D84B19" w:rsidRPr="00D84B19" w:rsidRDefault="00D84B19" w:rsidP="00D84B19">
      <w:pPr>
        <w:numPr>
          <w:ilvl w:val="0"/>
          <w:numId w:val="2"/>
        </w:numPr>
        <w:jc w:val="center"/>
        <w:rPr>
          <w:rFonts w:ascii="Calibri" w:eastAsia="Calibri" w:hAnsi="Calibri" w:cs="Calibri"/>
          <w:b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b/>
          <w:sz w:val="22"/>
          <w:szCs w:val="22"/>
          <w:lang w:val="x-none" w:eastAsia="x-none"/>
        </w:rPr>
        <w:t>Trvání Smlouvy</w:t>
      </w:r>
    </w:p>
    <w:p w14:paraId="43963C7A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Objednatel je oprávněn od Smlouvy odstoupit v případech stanovených zákonem, v případech stanovených Smlouvou, jakož i v případech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podstatného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porušení Smlouvy, zejména: </w:t>
      </w:r>
    </w:p>
    <w:p w14:paraId="759AF7AC" w14:textId="77777777" w:rsidR="00D84B19" w:rsidRPr="00D84B19" w:rsidRDefault="00D84B19" w:rsidP="00D84B19">
      <w:pPr>
        <w:widowControl w:val="0"/>
        <w:numPr>
          <w:ilvl w:val="0"/>
          <w:numId w:val="4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 xml:space="preserve">bude-li Zhotovitel v prodlení oproti termínu dokončení Díla po dobu delší než 10 kalendářních dnů; </w:t>
      </w:r>
    </w:p>
    <w:p w14:paraId="551C7C24" w14:textId="77777777" w:rsidR="00D84B19" w:rsidRPr="00D84B19" w:rsidRDefault="00D84B19" w:rsidP="00D84B19">
      <w:pPr>
        <w:widowControl w:val="0"/>
        <w:numPr>
          <w:ilvl w:val="0"/>
          <w:numId w:val="4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40D35841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Objednatel je dále oprávněn od Smlouvy odstoupit, bude-li na majetek Zhotovitele prohlášen úpadek nebo hrozící úpadek nebo Zhotovitel vstoupí do likvidace. </w:t>
      </w:r>
    </w:p>
    <w:p w14:paraId="06ED9407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b/>
          <w:sz w:val="22"/>
          <w:szCs w:val="22"/>
          <w:u w:val="single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Zhotovitel je oprávněn od Smlouvy odstoupit v případech stanovených zákonem, v případech stanovených touto Smlouvou, jakož i v případech závažného porušení Smlouvy Objednatelem</w:t>
      </w:r>
      <w:r w:rsidRPr="00D84B19">
        <w:rPr>
          <w:rFonts w:ascii="Calibri" w:eastAsia="Calibri" w:hAnsi="Calibri" w:cs="Calibri"/>
          <w:b/>
          <w:sz w:val="22"/>
          <w:szCs w:val="22"/>
          <w:u w:val="single"/>
          <w:lang w:val="x-none" w:eastAsia="x-none"/>
        </w:rPr>
        <w:t xml:space="preserve">: </w:t>
      </w:r>
    </w:p>
    <w:p w14:paraId="63547EEC" w14:textId="77777777" w:rsidR="00D84B19" w:rsidRPr="00D84B19" w:rsidRDefault="00D84B19" w:rsidP="00D84B19">
      <w:pPr>
        <w:widowControl w:val="0"/>
        <w:numPr>
          <w:ilvl w:val="0"/>
          <w:numId w:val="5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lastRenderedPageBreak/>
        <w:t>Objednatel bude v prodlení s úhradou Smluvní ceny po dobu delší než 30 dnů a nezjedná nápravu ani v dodatečné lhůtě poskytnuté mu písemně Zhotovitelem;</w:t>
      </w:r>
    </w:p>
    <w:p w14:paraId="3B960E48" w14:textId="77777777" w:rsidR="00D84B19" w:rsidRPr="00D84B19" w:rsidRDefault="00D84B19" w:rsidP="00D84B19">
      <w:pPr>
        <w:widowControl w:val="0"/>
        <w:numPr>
          <w:ilvl w:val="0"/>
          <w:numId w:val="5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D84B19">
        <w:rPr>
          <w:rFonts w:ascii="Calibri" w:hAnsi="Calibri" w:cs="Calibri"/>
          <w:bCs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06AEC53D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Odstoupení musí mít písemnou formu s tím, že je účinné dnem jeho doručení druhé smluvní straně. </w:t>
      </w:r>
    </w:p>
    <w:p w14:paraId="79D169E8" w14:textId="77777777" w:rsidR="00D84B19" w:rsidRPr="00D84B19" w:rsidRDefault="00D84B19" w:rsidP="00D84B19">
      <w:pPr>
        <w:widowControl w:val="0"/>
        <w:shd w:val="clear" w:color="auto" w:fill="FFFFFF"/>
        <w:tabs>
          <w:tab w:val="left" w:pos="567"/>
        </w:tabs>
        <w:spacing w:line="240" w:lineRule="atLeast"/>
        <w:ind w:left="567"/>
        <w:jc w:val="both"/>
        <w:outlineLvl w:val="1"/>
        <w:rPr>
          <w:rFonts w:ascii="Calibri" w:hAnsi="Calibri" w:cs="Calibri"/>
          <w:bCs/>
          <w:sz w:val="22"/>
          <w:szCs w:val="22"/>
        </w:rPr>
      </w:pPr>
    </w:p>
    <w:p w14:paraId="71D8E4AF" w14:textId="77777777" w:rsidR="00D84B19" w:rsidRPr="00D84B19" w:rsidRDefault="00D84B19" w:rsidP="00D84B19">
      <w:pPr>
        <w:numPr>
          <w:ilvl w:val="0"/>
          <w:numId w:val="2"/>
        </w:numPr>
        <w:jc w:val="center"/>
        <w:rPr>
          <w:rFonts w:ascii="Calibri" w:eastAsia="Calibri" w:hAnsi="Calibri" w:cs="Calibri"/>
          <w:b/>
          <w:sz w:val="22"/>
          <w:szCs w:val="22"/>
          <w:lang w:val="x-none" w:eastAsia="x-none"/>
        </w:rPr>
      </w:pPr>
      <w:bookmarkStart w:id="10" w:name="bookmark26"/>
      <w:bookmarkStart w:id="11" w:name="bookmark27"/>
      <w:r w:rsidRPr="00D84B19">
        <w:rPr>
          <w:rFonts w:ascii="Calibri" w:eastAsia="Calibri" w:hAnsi="Calibri" w:cs="Calibri"/>
          <w:b/>
          <w:sz w:val="22"/>
          <w:szCs w:val="22"/>
          <w:lang w:val="x-none" w:eastAsia="x-none"/>
        </w:rPr>
        <w:t>Závěrečná ustanovení</w:t>
      </w:r>
      <w:bookmarkEnd w:id="10"/>
      <w:bookmarkEnd w:id="11"/>
    </w:p>
    <w:p w14:paraId="28CA1412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Vztahy mezi smluvními stranami touto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mlouvou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výslovně neupravené se budou řídit českými, obecně závaznými právními předpisy, zejména OZ.</w:t>
      </w:r>
    </w:p>
    <w:p w14:paraId="6B70D22D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Objednatel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si vyhrazuje právo zveřejnit obsah této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mlouvy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včetně případných dodatků k této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 xml:space="preserve"> 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mlouvě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.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Zhotovitel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dále souhlasí se zveřejněním své identifikace a dalších údajů uvedených ve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mlouvě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včetně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Smluvní ceny, případně i ceny jednotlivých položek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. </w:t>
      </w:r>
    </w:p>
    <w:p w14:paraId="623BE7CE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eastAsia="x-none"/>
        </w:rPr>
        <w:t>Zhotovitel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bere na vědomí, že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Objednatel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je povinnou osobou ve smyslu zákona č. 106/1999 Sb., o svobodném přístupu k informacím.</w:t>
      </w:r>
    </w:p>
    <w:p w14:paraId="2F38B390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Zhotovitel je podle 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ust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.</w:t>
      </w:r>
    </w:p>
    <w:p w14:paraId="2D4D5A1B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Smluvní strany berou na vědomí, že tato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mlouva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Objednatel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.</w:t>
      </w:r>
    </w:p>
    <w:p w14:paraId="0B867988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Tato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proofErr w:type="spellStart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mlouva</w:t>
      </w:r>
      <w:proofErr w:type="spellEnd"/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 nabývá platnosti dnem jejího podpisu oběma </w:t>
      </w:r>
      <w:r w:rsidRPr="00D84B19">
        <w:rPr>
          <w:rFonts w:ascii="Calibri" w:eastAsia="Calibri" w:hAnsi="Calibri" w:cs="Calibri"/>
          <w:sz w:val="22"/>
          <w:szCs w:val="22"/>
          <w:lang w:eastAsia="x-none"/>
        </w:rPr>
        <w:t>S</w:t>
      </w: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mluvními stranami a účinnosti dnem uveřejnění v registru smluv podle předchozího odstavce.</w:t>
      </w:r>
    </w:p>
    <w:p w14:paraId="40F100F7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Tato Smlouva se uzavírá elektronickou formou.</w:t>
      </w:r>
    </w:p>
    <w:p w14:paraId="78BEE429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E43F054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1F67B50A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6898F109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Informace k ochraně osobních údajů jsou ze strany NPÚ uveřejněny na webových stránkách www.npu.cz v sekci „Ochrana osobních údajů“.</w:t>
      </w:r>
    </w:p>
    <w:p w14:paraId="4E63CD25" w14:textId="77777777" w:rsidR="00D84B19" w:rsidRPr="00D84B19" w:rsidRDefault="00D84B19" w:rsidP="00D84B19">
      <w:pPr>
        <w:numPr>
          <w:ilvl w:val="1"/>
          <w:numId w:val="2"/>
        </w:numPr>
        <w:ind w:left="567" w:hanging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  <w:r w:rsidRPr="00D84B19">
        <w:rPr>
          <w:rFonts w:ascii="Calibri" w:eastAsia="Calibri" w:hAnsi="Calibri" w:cs="Calibri"/>
          <w:sz w:val="22"/>
          <w:szCs w:val="22"/>
          <w:lang w:val="x-none" w:eastAsia="x-none"/>
        </w:rPr>
        <w:t>Na důkaz souhlasu s celým obsahem smlouvy připojují smluvní strany své podpisy.</w:t>
      </w:r>
    </w:p>
    <w:p w14:paraId="4451B9BC" w14:textId="77777777" w:rsidR="00D84B19" w:rsidRPr="00D84B19" w:rsidRDefault="00D84B19" w:rsidP="00D84B19">
      <w:pPr>
        <w:ind w:left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</w:p>
    <w:p w14:paraId="079AF905" w14:textId="77777777" w:rsidR="00D84B19" w:rsidRPr="00D84B19" w:rsidRDefault="00D84B19" w:rsidP="00D84B19">
      <w:pPr>
        <w:ind w:left="567"/>
        <w:jc w:val="both"/>
        <w:rPr>
          <w:rFonts w:ascii="Calibri" w:eastAsia="Calibri" w:hAnsi="Calibri" w:cs="Calibri"/>
          <w:sz w:val="22"/>
          <w:szCs w:val="22"/>
          <w:lang w:val="x-none" w:eastAsia="x-none"/>
        </w:rPr>
      </w:pPr>
    </w:p>
    <w:p w14:paraId="5BBB07D5" w14:textId="77777777" w:rsidR="00D84B19" w:rsidRPr="00D84B19" w:rsidRDefault="00D84B19" w:rsidP="00D84B19">
      <w:pPr>
        <w:widowControl w:val="0"/>
        <w:tabs>
          <w:tab w:val="left" w:pos="969"/>
        </w:tabs>
        <w:spacing w:line="240" w:lineRule="atLeast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1A977401" w14:textId="77777777" w:rsidR="00D84B19" w:rsidRPr="00D84B19" w:rsidRDefault="00D84B19" w:rsidP="00D84B19">
      <w:pPr>
        <w:widowControl w:val="0"/>
        <w:tabs>
          <w:tab w:val="left" w:pos="969"/>
        </w:tabs>
        <w:spacing w:line="240" w:lineRule="atLeast"/>
        <w:rPr>
          <w:rFonts w:ascii="Calibri" w:hAnsi="Calibri" w:cs="Calibri"/>
          <w:color w:val="000000"/>
          <w:sz w:val="22"/>
          <w:szCs w:val="22"/>
          <w:lang w:bidi="cs-CZ"/>
        </w:rPr>
      </w:pPr>
    </w:p>
    <w:p w14:paraId="1484F3D1" w14:textId="77777777" w:rsidR="00D84B19" w:rsidRPr="00D84B19" w:rsidRDefault="00D84B19" w:rsidP="00D84B19">
      <w:pPr>
        <w:widowControl w:val="0"/>
        <w:tabs>
          <w:tab w:val="left" w:pos="969"/>
        </w:tabs>
        <w:spacing w:line="240" w:lineRule="atLeast"/>
        <w:rPr>
          <w:rFonts w:ascii="Calibri" w:hAnsi="Calibri" w:cs="Calibri"/>
          <w:color w:val="000000"/>
          <w:sz w:val="22"/>
          <w:szCs w:val="22"/>
          <w:lang w:bidi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D84B19" w:rsidRPr="00D84B19" w14:paraId="29504A90" w14:textId="77777777" w:rsidTr="00D84B19">
        <w:trPr>
          <w:jc w:val="center"/>
        </w:trPr>
        <w:tc>
          <w:tcPr>
            <w:tcW w:w="4457" w:type="dxa"/>
          </w:tcPr>
          <w:p w14:paraId="6C07156A" w14:textId="77777777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6D4D6E" w14:textId="77777777" w:rsidR="00863097" w:rsidRDefault="00863097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07CBD12" w14:textId="6FFEDCE6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84B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C6E2963" w14:textId="77777777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84B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PhDr. Petr Hrubý, ředitel</w:t>
            </w:r>
          </w:p>
        </w:tc>
        <w:tc>
          <w:tcPr>
            <w:tcW w:w="4456" w:type="dxa"/>
          </w:tcPr>
          <w:p w14:paraId="2221E4AE" w14:textId="77777777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336B2E" w14:textId="77777777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A3A4BD" w14:textId="77777777" w:rsidR="00D84B19" w:rsidRPr="00D84B19" w:rsidRDefault="00D84B19" w:rsidP="00D84B19">
            <w:pPr>
              <w:ind w:left="703" w:hanging="56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84B1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6370F3C" w14:textId="47A0FD42" w:rsidR="00D84B19" w:rsidRPr="00D84B19" w:rsidRDefault="00D84B19" w:rsidP="00D84B1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84B19">
              <w:rPr>
                <w:rFonts w:ascii="Calibri" w:eastAsia="Calibri" w:hAnsi="Calibri" w:cs="Calibri"/>
                <w:sz w:val="22"/>
                <w:szCs w:val="22"/>
              </w:rPr>
              <w:t>Ing. Roman Klimt, předseda představenstva</w:t>
            </w:r>
          </w:p>
        </w:tc>
      </w:tr>
    </w:tbl>
    <w:p w14:paraId="02FC2A51" w14:textId="77777777" w:rsidR="009C2538" w:rsidRDefault="009C2538" w:rsidP="00D84B19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D84B19">
      <w:footerReference w:type="default" r:id="rId9"/>
      <w:headerReference w:type="first" r:id="rId10"/>
      <w:footerReference w:type="first" r:id="rId11"/>
      <w:pgSz w:w="11907" w:h="16840" w:code="9"/>
      <w:pgMar w:top="1702" w:right="1497" w:bottom="1418" w:left="1497" w:header="709" w:footer="44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CB7BC" w14:textId="77777777" w:rsidR="00692BD7" w:rsidRDefault="00692BD7">
      <w:r>
        <w:separator/>
      </w:r>
    </w:p>
  </w:endnote>
  <w:endnote w:type="continuationSeparator" w:id="0">
    <w:p w14:paraId="7B610770" w14:textId="77777777" w:rsidR="00692BD7" w:rsidRDefault="006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00B8" w14:textId="77777777" w:rsidR="00692BD7" w:rsidRDefault="00692BD7">
      <w:r>
        <w:separator/>
      </w:r>
    </w:p>
  </w:footnote>
  <w:footnote w:type="continuationSeparator" w:id="0">
    <w:p w14:paraId="59222E5C" w14:textId="77777777" w:rsidR="00692BD7" w:rsidRDefault="0069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1035152969" name="Obrázek 103515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61316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827D3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2BD7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63097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1E68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4B19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E34B9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D4FA-F12C-4903-8C1A-2693462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2163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Lukášková Romana</cp:lastModifiedBy>
  <cp:revision>2</cp:revision>
  <cp:lastPrinted>2025-09-23T10:51:00Z</cp:lastPrinted>
  <dcterms:created xsi:type="dcterms:W3CDTF">2025-10-29T07:19:00Z</dcterms:created>
  <dcterms:modified xsi:type="dcterms:W3CDTF">2025-10-29T07:19:00Z</dcterms:modified>
</cp:coreProperties>
</file>