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20" w:line="228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HC Nechranice — záchytný systém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0" w:firstLine="0"/>
        <w:jc w:val="both"/>
      </w:pPr>
      <w: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495300</wp:posOffset>
                </wp:positionV>
                <wp:extent cx="164465" cy="2590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950000000000003pt;margin-top:39.pt;width:12.950000000000001pt;height:20.400000000000002pt;z-index:-125829375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TOPWET s.r.o., náměstí Viléma Mrštíka 62, 664 81 Ostrovačice, IC: 27377377, za kterého jedná, provozní ředitel TOPSAFE (dále jen „dodavatel”),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both"/>
      </w:pPr>
      <w:r>
        <mc:AlternateContent>
          <mc:Choice Requires="wps">
            <w:drawing>
              <wp:anchor distT="0" distB="682625" distL="38100" distR="38100" simplePos="0" relativeHeight="125829380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647700</wp:posOffset>
                </wp:positionV>
                <wp:extent cx="173990" cy="2590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9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2.950000000000003pt;margin-top:51.pt;width:13.700000000000001pt;height:20.400000000000002pt;z-index:-125829373;mso-wrap-distance-left:3.pt;mso-wrap-distance-right:3.pt;mso-wrap-distance-bottom:53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682625" distB="0" distL="38100" distR="47625" simplePos="0" relativeHeight="125829382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1330325</wp:posOffset>
                </wp:positionV>
                <wp:extent cx="164465" cy="25908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950000000000003pt;margin-top:104.75pt;width:12.950000000000001pt;height:20.400000000000002pt;z-index:-125829371;mso-wrap-distance-left:3.pt;mso-wrap-distance-top:53.75pt;mso-wrap-distance-right:3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02" w:lineRule="auto"/>
        <w:ind w:left="0" w:right="1080" w:firstLine="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TOPWET s.r.o.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373" w:left="1459" w:right="1080" w:bottom="2415" w:header="94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6586220</wp:posOffset>
              </wp:positionH>
              <wp:positionV relativeFrom="page">
                <wp:posOffset>9159240</wp:posOffset>
              </wp:positionV>
              <wp:extent cx="191770" cy="1708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8.60000000000002pt;margin-top:721.20000000000005pt;width:15.1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28" w:lineRule="auto"/>
      <w:jc w:val="center"/>
    </w:pPr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8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60"/>
      <w:jc w:val="center"/>
      <w:outlineLvl w:val="0"/>
    </w:pPr>
    <w:rPr>
      <w:b w:val="0"/>
      <w:bCs w:val="0"/>
      <w:i w:val="0"/>
      <w:iCs w:val="0"/>
      <w:smallCaps w:val="0"/>
      <w:strike w:val="0"/>
      <w:sz w:val="34"/>
      <w:szCs w:val="3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Document25101706451</dc:title>
  <dc:subject/>
  <dc:creator>Romana Chaloupková</dc:creator>
  <cp:keywords/>
</cp:coreProperties>
</file>