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val="0"/>
        <w:keepLines w:val="0"/>
        <w:widowControl w:val="0"/>
        <w:shd w:val="clear" w:color="auto" w:fill="auto"/>
        <w:bidi w:val="0"/>
        <w:spacing w:before="0" w:after="160" w:line="240" w:lineRule="auto"/>
        <w:ind w:left="0" w:right="0"/>
        <w:jc w:val="left"/>
      </w:pPr>
      <w:r>
        <w:rPr>
          <w:rFonts w:ascii="Times New Roman" w:eastAsia="Times New Roman" w:hAnsi="Times New Roman" w:cs="Times New Roman"/>
          <w:color w:val="000000"/>
          <w:spacing w:val="0"/>
          <w:w w:val="100"/>
          <w:position w:val="0"/>
          <w:shd w:val="clear" w:color="auto" w:fill="auto"/>
          <w:lang w:val="cs-CZ" w:eastAsia="cs-CZ" w:bidi="cs-CZ"/>
        </w:rPr>
        <w:t>Zakázka: HC Nechranice — záchytný systém</w:t>
      </w:r>
    </w:p>
    <w:p>
      <w:pPr>
        <w:pStyle w:val="Style10"/>
        <w:keepNext w:val="0"/>
        <w:keepLines w:val="0"/>
        <w:widowControl w:val="0"/>
        <w:shd w:val="clear" w:color="auto" w:fill="auto"/>
        <w:tabs>
          <w:tab w:pos="2465" w:val="left"/>
        </w:tabs>
        <w:bidi w:val="0"/>
        <w:spacing w:before="0" w:after="220" w:line="254" w:lineRule="auto"/>
        <w:ind w:left="0" w:right="0" w:firstLine="300"/>
        <w:jc w:val="left"/>
        <w:rPr>
          <w:sz w:val="26"/>
          <w:szCs w:val="26"/>
        </w:rPr>
      </w:pPr>
      <w:r>
        <w:rPr>
          <w:rFonts w:ascii="Arial" w:eastAsia="Arial" w:hAnsi="Arial" w:cs="Arial"/>
          <w:color w:val="000000"/>
          <w:spacing w:val="0"/>
          <w:w w:val="100"/>
          <w:position w:val="0"/>
          <w:sz w:val="22"/>
          <w:szCs w:val="22"/>
          <w:shd w:val="clear" w:color="auto" w:fill="auto"/>
          <w:lang w:val="cs-CZ" w:eastAsia="cs-CZ" w:bidi="cs-CZ"/>
        </w:rPr>
        <w:t>Zadavatel:</w:t>
        <w:tab/>
      </w:r>
      <w:r>
        <w:rPr>
          <w:rFonts w:ascii="Times New Roman" w:eastAsia="Times New Roman" w:hAnsi="Times New Roman" w:cs="Times New Roman"/>
          <w:color w:val="000000"/>
          <w:spacing w:val="0"/>
          <w:w w:val="100"/>
          <w:position w:val="0"/>
          <w:sz w:val="26"/>
          <w:szCs w:val="26"/>
          <w:shd w:val="clear" w:color="auto" w:fill="auto"/>
          <w:lang w:val="cs-CZ" w:eastAsia="cs-CZ" w:bidi="cs-CZ"/>
        </w:rPr>
        <w:t>Povodí Ohře, státní podnik, Bezručova 4219, 430 03 Chomutov</w:t>
      </w:r>
    </w:p>
    <w:p>
      <w:pPr>
        <w:pStyle w:val="Style14"/>
        <w:keepNext/>
        <w:keepLines/>
        <w:widowControl w:val="0"/>
        <w:shd w:val="clear" w:color="auto" w:fill="auto"/>
        <w:bidi w:val="0"/>
        <w:spacing w:before="0" w:line="240" w:lineRule="auto"/>
        <w:ind w:left="0" w:right="0"/>
        <w:jc w:val="left"/>
      </w:pPr>
      <w:bookmarkStart w:id="3" w:name="bookmark3"/>
      <w:bookmarkStart w:id="4" w:name="bookmark4"/>
      <w:bookmarkStart w:id="5" w:name="bookmark5"/>
      <w:r>
        <w:rPr>
          <w:rFonts w:ascii="Times New Roman" w:eastAsia="Times New Roman" w:hAnsi="Times New Roman" w:cs="Times New Roman"/>
          <w:color w:val="000000"/>
          <w:spacing w:val="0"/>
          <w:w w:val="100"/>
          <w:position w:val="0"/>
          <w:shd w:val="clear" w:color="auto" w:fill="auto"/>
          <w:lang w:val="cs-CZ" w:eastAsia="cs-CZ" w:bidi="cs-CZ"/>
        </w:rPr>
        <w:t>ČESTNÉ PROHLÁŠENÍ</w:t>
      </w:r>
      <w:bookmarkEnd w:id="3"/>
      <w:bookmarkEnd w:id="4"/>
      <w:bookmarkEnd w:id="5"/>
    </w:p>
    <w:p>
      <w:pPr>
        <w:pStyle w:val="Style10"/>
        <w:keepNext w:val="0"/>
        <w:keepLines w:val="0"/>
        <w:widowControl w:val="0"/>
        <w:shd w:val="clear" w:color="auto" w:fill="auto"/>
        <w:bidi w:val="0"/>
        <w:spacing w:before="0" w:after="160" w:line="276" w:lineRule="auto"/>
        <w:ind w:left="0" w:right="0" w:firstLine="3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(název účastníka zadávacího řízení)</w:t>
      </w:r>
    </w:p>
    <w:p>
      <w:pPr>
        <w:pStyle w:val="Style10"/>
        <w:keepNext w:val="0"/>
        <w:keepLines w:val="0"/>
        <w:widowControl w:val="0"/>
        <w:shd w:val="clear" w:color="auto" w:fill="auto"/>
        <w:bidi w:val="0"/>
        <w:spacing w:before="0" w:after="160" w:line="254" w:lineRule="auto"/>
        <w:ind w:left="0" w:right="0" w:firstLine="300"/>
        <w:jc w:val="left"/>
        <w:rPr>
          <w:sz w:val="26"/>
          <w:szCs w:val="26"/>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Účastník zadávacího řízení o veřejnou zakázku na akci:</w:t>
      </w:r>
    </w:p>
    <w:p>
      <w:pPr>
        <w:pStyle w:val="Style8"/>
        <w:keepNext w:val="0"/>
        <w:keepLines w:val="0"/>
        <w:widowControl w:val="0"/>
        <w:shd w:val="clear" w:color="auto" w:fill="auto"/>
        <w:bidi w:val="0"/>
        <w:spacing w:before="0" w:after="40" w:line="240" w:lineRule="auto"/>
        <w:ind w:left="0" w:right="0"/>
        <w:jc w:val="left"/>
      </w:pPr>
      <w:r>
        <w:rPr>
          <w:rFonts w:ascii="Times New Roman" w:eastAsia="Times New Roman" w:hAnsi="Times New Roman" w:cs="Times New Roman"/>
          <w:color w:val="000000"/>
          <w:spacing w:val="0"/>
          <w:w w:val="100"/>
          <w:position w:val="0"/>
          <w:shd w:val="clear" w:color="auto" w:fill="auto"/>
          <w:lang w:val="cs-CZ" w:eastAsia="cs-CZ" w:bidi="cs-CZ"/>
        </w:rPr>
        <w:t>HC Nechranice — záchytný systém</w:t>
      </w:r>
    </w:p>
    <w:p>
      <w:pPr>
        <w:pStyle w:val="Style10"/>
        <w:keepNext w:val="0"/>
        <w:keepLines w:val="0"/>
        <w:widowControl w:val="0"/>
        <w:shd w:val="clear" w:color="auto" w:fill="auto"/>
        <w:bidi w:val="0"/>
        <w:spacing w:before="0" w:after="0" w:line="276" w:lineRule="auto"/>
        <w:ind w:left="0" w:right="0" w:firstLine="3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 společnost</w:t>
      </w:r>
    </w:p>
    <w:p>
      <w:pPr>
        <w:pStyle w:val="Style16"/>
        <w:keepNext w:val="0"/>
        <w:keepLines w:val="0"/>
        <w:widowControl w:val="0"/>
        <w:shd w:val="clear" w:color="auto" w:fill="auto"/>
        <w:bidi w:val="0"/>
        <w:spacing w:before="0" w:after="0" w:line="288" w:lineRule="auto"/>
        <w:ind w:right="0"/>
        <w:jc w:val="left"/>
        <w:rPr>
          <w:sz w:val="24"/>
          <w:szCs w:val="24"/>
        </w:rPr>
      </w:pPr>
      <w:r>
        <w:rPr>
          <w:color w:val="000000"/>
          <w:spacing w:val="0"/>
          <w:w w:val="100"/>
          <w:position w:val="0"/>
          <w:sz w:val="22"/>
          <w:szCs w:val="22"/>
          <w:shd w:val="clear" w:color="auto" w:fill="auto"/>
          <w:lang w:val="cs-CZ" w:eastAsia="cs-CZ" w:bidi="cs-CZ"/>
        </w:rPr>
        <w:t xml:space="preserve">TOPWET s.r.o., náměstí Viléma Mrštíka 62, 664 81 Ostrovačice, lč: 27377377 </w:t>
      </w:r>
      <w:r>
        <w:rPr>
          <w:rFonts w:ascii="Times New Roman" w:eastAsia="Times New Roman" w:hAnsi="Times New Roman" w:cs="Times New Roman"/>
          <w:color w:val="000000"/>
          <w:spacing w:val="0"/>
          <w:w w:val="100"/>
          <w:position w:val="0"/>
          <w:sz w:val="24"/>
          <w:szCs w:val="24"/>
          <w:shd w:val="clear" w:color="auto" w:fill="auto"/>
          <w:lang w:val="cs-CZ" w:eastAsia="cs-CZ" w:bidi="cs-CZ"/>
        </w:rPr>
        <w:t>jednající prostřednictvím</w:t>
      </w:r>
    </w:p>
    <w:p>
      <w:pPr>
        <w:pStyle w:val="Style16"/>
        <w:keepNext w:val="0"/>
        <w:keepLines w:val="0"/>
        <w:widowControl w:val="0"/>
        <w:shd w:val="clear" w:color="auto" w:fill="auto"/>
        <w:bidi w:val="0"/>
        <w:spacing w:before="0" w:after="0" w:line="300" w:lineRule="auto"/>
        <w:ind w:right="0"/>
        <w:jc w:val="left"/>
      </w:pPr>
      <w:r>
        <w:rPr>
          <w:color w:val="000000"/>
          <w:spacing w:val="0"/>
          <w:w w:val="100"/>
          <w:position w:val="0"/>
          <w:shd w:val="clear" w:color="auto" w:fill="auto"/>
          <w:lang w:val="cs-CZ" w:eastAsia="cs-CZ" w:bidi="cs-CZ"/>
        </w:rPr>
        <w:t>, provozní ředitel TOPSAFE</w:t>
      </w:r>
    </w:p>
    <w:p>
      <w:pPr>
        <w:pStyle w:val="Style10"/>
        <w:keepNext w:val="0"/>
        <w:keepLines w:val="0"/>
        <w:widowControl w:val="0"/>
        <w:shd w:val="clear" w:color="auto" w:fill="auto"/>
        <w:bidi w:val="0"/>
        <w:spacing w:before="0" w:after="520" w:line="276" w:lineRule="auto"/>
        <w:ind w:left="30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„dodavatel”),</w:t>
      </w:r>
    </w:p>
    <w:p>
      <w:pPr>
        <w:pStyle w:val="Style10"/>
        <w:keepNext w:val="0"/>
        <w:keepLines w:val="0"/>
        <w:widowControl w:val="0"/>
        <w:shd w:val="clear" w:color="auto" w:fill="auto"/>
        <w:bidi w:val="0"/>
        <w:spacing w:before="0" w:after="0" w:line="218" w:lineRule="auto"/>
        <w:ind w:left="30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čestně prohlašuje, že</w:t>
      </w:r>
    </w:p>
    <w:p>
      <w:pPr>
        <w:pStyle w:val="Style10"/>
        <w:keepNext w:val="0"/>
        <w:keepLines w:val="0"/>
        <w:widowControl w:val="0"/>
        <w:numPr>
          <w:ilvl w:val="0"/>
          <w:numId w:val="1"/>
        </w:numPr>
        <w:shd w:val="clear" w:color="auto" w:fill="auto"/>
        <w:tabs>
          <w:tab w:pos="707" w:val="left"/>
        </w:tabs>
        <w:bidi w:val="0"/>
        <w:spacing w:before="0" w:after="100" w:line="214" w:lineRule="auto"/>
        <w:ind w:left="580" w:right="0" w:hanging="260"/>
        <w:jc w:val="both"/>
      </w:pPr>
      <w:bookmarkStart w:id="6" w:name="bookmark6"/>
      <w:bookmarkEnd w:id="6"/>
      <w:r>
        <w:rPr>
          <w:rFonts w:ascii="Times New Roman" w:eastAsia="Times New Roman" w:hAnsi="Times New Roman" w:cs="Times New Roman"/>
          <w:color w:val="000000"/>
          <w:spacing w:val="0"/>
          <w:w w:val="100"/>
          <w:position w:val="0"/>
          <w:sz w:val="24"/>
          <w:szCs w:val="24"/>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0"/>
        <w:keepNext w:val="0"/>
        <w:keepLines w:val="0"/>
        <w:widowControl w:val="0"/>
        <w:numPr>
          <w:ilvl w:val="0"/>
          <w:numId w:val="3"/>
        </w:numPr>
        <w:shd w:val="clear" w:color="auto" w:fill="auto"/>
        <w:tabs>
          <w:tab w:pos="334" w:val="left"/>
        </w:tabs>
        <w:bidi w:val="0"/>
        <w:spacing w:before="0" w:line="214" w:lineRule="auto"/>
        <w:ind w:left="300" w:right="0" w:hanging="300"/>
        <w:jc w:val="both"/>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0"/>
        <w:keepNext w:val="0"/>
        <w:keepLines w:val="0"/>
        <w:widowControl w:val="0"/>
        <w:numPr>
          <w:ilvl w:val="0"/>
          <w:numId w:val="3"/>
        </w:numPr>
        <w:shd w:val="clear" w:color="auto" w:fill="auto"/>
        <w:tabs>
          <w:tab w:pos="406" w:val="left"/>
        </w:tabs>
        <w:bidi w:val="0"/>
        <w:spacing w:before="0" w:after="0" w:line="214" w:lineRule="auto"/>
        <w:ind w:left="300" w:right="0" w:hanging="300"/>
        <w:jc w:val="both"/>
      </w:pPr>
      <w:bookmarkStart w:id="8" w:name="bookmark8"/>
      <w:bookmarkEnd w:id="8"/>
      <w:r>
        <w:rPr>
          <w:rFonts w:ascii="Times New Roman" w:eastAsia="Times New Roman" w:hAnsi="Times New Roman" w:cs="Times New Roman"/>
          <w:color w:val="000000"/>
          <w:spacing w:val="0"/>
          <w:w w:val="100"/>
          <w:position w:val="0"/>
          <w:sz w:val="24"/>
          <w:szCs w:val="24"/>
          <w:shd w:val="clear" w:color="auto" w:fill="auto"/>
          <w:lang w:val="cs-CZ" w:eastAsia="cs-CZ" w:bidi="cs-CZ"/>
        </w:rPr>
        <w:t>jiné aplikovatelné sankce platné v České republice nebo zemi sídla dodavatele, kterými je sledován stejný účel jako těmi ze Základních nařízení; a</w:t>
      </w:r>
    </w:p>
    <w:p>
      <w:pPr>
        <w:pStyle w:val="Style10"/>
        <w:keepNext w:val="0"/>
        <w:keepLines w:val="0"/>
        <w:widowControl w:val="0"/>
        <w:numPr>
          <w:ilvl w:val="0"/>
          <w:numId w:val="1"/>
        </w:numPr>
        <w:shd w:val="clear" w:color="auto" w:fill="auto"/>
        <w:tabs>
          <w:tab w:pos="722" w:val="left"/>
        </w:tabs>
        <w:bidi w:val="0"/>
        <w:spacing w:before="0" w:line="218" w:lineRule="auto"/>
        <w:ind w:left="580" w:right="0" w:hanging="260"/>
        <w:jc w:val="both"/>
      </w:pPr>
      <w:bookmarkStart w:id="9" w:name="bookmark9"/>
      <w:bookmarkEnd w:id="9"/>
      <w:r>
        <w:rPr>
          <w:rFonts w:ascii="Times New Roman" w:eastAsia="Times New Roman" w:hAnsi="Times New Roman" w:cs="Times New Roman"/>
          <w:color w:val="000000"/>
          <w:spacing w:val="0"/>
          <w:w w:val="100"/>
          <w:position w:val="0"/>
          <w:sz w:val="24"/>
          <w:szCs w:val="24"/>
          <w:shd w:val="clear" w:color="auto" w:fill="auto"/>
          <w:lang w:val="cs-CZ" w:eastAsia="cs-CZ" w:bidi="cs-CZ"/>
        </w:rPr>
        <w:t>bude-li s ním uzavřena smlouva na veřejnou zakázku, zajistí po celou dobu plnění veřejné zakázky, že</w:t>
      </w:r>
    </w:p>
    <w:p>
      <w:pPr>
        <w:pStyle w:val="Style10"/>
        <w:keepNext w:val="0"/>
        <w:keepLines w:val="0"/>
        <w:widowControl w:val="0"/>
        <w:numPr>
          <w:ilvl w:val="0"/>
          <w:numId w:val="5"/>
        </w:numPr>
        <w:shd w:val="clear" w:color="auto" w:fill="auto"/>
        <w:tabs>
          <w:tab w:pos="339" w:val="left"/>
        </w:tabs>
        <w:bidi w:val="0"/>
        <w:spacing w:before="0" w:after="0" w:line="209" w:lineRule="auto"/>
        <w:ind w:left="300" w:right="0" w:hanging="300"/>
        <w:jc w:val="both"/>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0"/>
        <w:keepNext w:val="0"/>
        <w:keepLines w:val="0"/>
        <w:widowControl w:val="0"/>
        <w:numPr>
          <w:ilvl w:val="0"/>
          <w:numId w:val="5"/>
        </w:numPr>
        <w:shd w:val="clear" w:color="auto" w:fill="auto"/>
        <w:tabs>
          <w:tab w:pos="411" w:val="left"/>
        </w:tabs>
        <w:bidi w:val="0"/>
        <w:spacing w:before="0" w:after="160" w:line="214" w:lineRule="auto"/>
        <w:ind w:left="300" w:right="0" w:hanging="300"/>
        <w:jc w:val="both"/>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0"/>
        <w:keepNext w:val="0"/>
        <w:keepLines w:val="0"/>
        <w:widowControl w:val="0"/>
        <w:shd w:val="clear" w:color="auto" w:fill="auto"/>
        <w:bidi w:val="0"/>
        <w:spacing w:before="0" w:after="600" w:line="262" w:lineRule="auto"/>
        <w:ind w:left="420" w:right="0" w:firstLine="0"/>
        <w:jc w:val="left"/>
        <w:rPr>
          <w:sz w:val="26"/>
          <w:szCs w:val="26"/>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0"/>
        <w:keepNext w:val="0"/>
        <w:keepLines w:val="0"/>
        <w:widowControl w:val="0"/>
        <w:shd w:val="clear" w:color="auto" w:fill="auto"/>
        <w:bidi w:val="0"/>
        <w:spacing w:before="0" w:after="940" w:line="262" w:lineRule="auto"/>
        <w:ind w:left="0" w:right="0" w:firstLine="300"/>
        <w:jc w:val="left"/>
        <w:rPr>
          <w:sz w:val="26"/>
          <w:szCs w:val="26"/>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Jméno:</w:t>
      </w:r>
    </w:p>
    <w:p>
      <w:pPr>
        <w:pStyle w:val="Style10"/>
        <w:keepNext w:val="0"/>
        <w:keepLines w:val="0"/>
        <w:widowControl w:val="0"/>
        <w:shd w:val="clear" w:color="auto" w:fill="auto"/>
        <w:tabs>
          <w:tab w:pos="1879" w:val="left"/>
        </w:tabs>
        <w:bidi w:val="0"/>
        <w:spacing w:before="0" w:after="0" w:line="283" w:lineRule="auto"/>
        <w:ind w:left="0" w:right="0" w:firstLine="300"/>
        <w:jc w:val="left"/>
        <w:sectPr>
          <w:headerReference w:type="default" r:id="rId5"/>
          <w:footerReference w:type="default" r:id="rId6"/>
          <w:headerReference w:type="first" r:id="rId7"/>
          <w:footerReference w:type="first" r:id="rId8"/>
          <w:footnotePr>
            <w:pos w:val="pageBottom"/>
            <w:numFmt w:val="decimal"/>
            <w:numRestart w:val="continuous"/>
          </w:footnotePr>
          <w:pgSz w:w="11909" w:h="16838"/>
          <w:pgMar w:top="1401" w:left="777" w:right="1118" w:bottom="3883" w:header="0" w:footer="3" w:gutter="0"/>
          <w:pgNumType w:start="1"/>
          <w:cols w:space="720"/>
          <w:noEndnote/>
          <w:titlePg/>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Datum:</w:t>
        <w:tab/>
        <w:t>17.10.2025</w:t>
      </w:r>
    </w:p>
    <w:p>
      <w:pPr>
        <w:pStyle w:val="Style10"/>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 2 z 2</w:t>
      </w:r>
    </w:p>
    <w:sectPr>
      <w:headerReference w:type="default" r:id="rId9"/>
      <w:footerReference w:type="default" r:id="rId10"/>
      <w:footnotePr>
        <w:pos w:val="pageBottom"/>
        <w:numFmt w:val="decimal"/>
        <w:numRestart w:val="continuous"/>
      </w:footnotePr>
      <w:pgSz w:w="11909" w:h="16838"/>
      <w:pgMar w:top="523" w:left="864" w:right="1032" w:bottom="523" w:header="95" w:footer="9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6019800</wp:posOffset>
              </wp:positionH>
              <wp:positionV relativeFrom="page">
                <wp:posOffset>9591675</wp:posOffset>
              </wp:positionV>
              <wp:extent cx="786130" cy="204470"/>
              <wp:wrapNone/>
              <wp:docPr id="5" name="Shape 5"/>
              <a:graphic xmlns:a="http://schemas.openxmlformats.org/drawingml/2006/main">
                <a:graphicData uri="http://schemas.microsoft.com/office/word/2010/wordprocessingShape">
                  <wps:wsp>
                    <wps:cNvSpPr txBox="1"/>
                    <wps:spPr>
                      <a:xfrm>
                        <a:ext cx="78613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Stránka 1 z 2</w:t>
                          </w:r>
                        </w:p>
                      </w:txbxContent>
                    </wps:txbx>
                    <wps:bodyPr wrap="none" lIns="0" tIns="0" rIns="0" bIns="0">
                      <a:spAutoFit/>
                    </wps:bodyPr>
                  </wps:wsp>
                </a:graphicData>
              </a:graphic>
            </wp:anchor>
          </w:drawing>
        </mc:Choice>
        <mc:Fallback>
          <w:pict>
            <v:shape id="_x0000_s1031" type="#_x0000_t202" style="position:absolute;margin-left:474.pt;margin-top:755.25pt;width:61.899999999999999pt;height:16.1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Stránka 1 z 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6318250</wp:posOffset>
              </wp:positionH>
              <wp:positionV relativeFrom="page">
                <wp:posOffset>350520</wp:posOffset>
              </wp:positionV>
              <wp:extent cx="563880" cy="204470"/>
              <wp:wrapNone/>
              <wp:docPr id="1" name="Shape 1"/>
              <a:graphic xmlns:a="http://schemas.openxmlformats.org/drawingml/2006/main">
                <a:graphicData uri="http://schemas.microsoft.com/office/word/2010/wordprocessingShape">
                  <wps:wsp>
                    <wps:cNvSpPr txBox="1"/>
                    <wps:spPr>
                      <a:xfrm>
                        <a:ext cx="56388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7.5pt;margin-top:27.600000000000001pt;width:44.399999999999999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Formulář</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6318250</wp:posOffset>
              </wp:positionH>
              <wp:positionV relativeFrom="page">
                <wp:posOffset>350520</wp:posOffset>
              </wp:positionV>
              <wp:extent cx="563880" cy="204470"/>
              <wp:wrapNone/>
              <wp:docPr id="3" name="Shape 3"/>
              <a:graphic xmlns:a="http://schemas.openxmlformats.org/drawingml/2006/main">
                <a:graphicData uri="http://schemas.microsoft.com/office/word/2010/wordprocessingShape">
                  <wps:wsp>
                    <wps:cNvSpPr txBox="1"/>
                    <wps:spPr>
                      <a:xfrm>
                        <a:ext cx="56388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Formulář</w:t>
                          </w:r>
                        </w:p>
                      </w:txbxContent>
                    </wps:txbx>
                    <wps:bodyPr wrap="none" lIns="0" tIns="0" rIns="0" bIns="0">
                      <a:spAutoFit/>
                    </wps:bodyPr>
                  </wps:wsp>
                </a:graphicData>
              </a:graphic>
            </wp:anchor>
          </w:drawing>
        </mc:Choice>
        <mc:Fallback>
          <w:pict>
            <v:shape id="_x0000_s1029" type="#_x0000_t202" style="position:absolute;margin-left:497.5pt;margin-top:27.600000000000001pt;width:44.399999999999999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Formulář</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abstractNum>
  <w:abstractNum w:abstractNumId="4">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b w:val="0"/>
      <w:bCs w:val="0"/>
      <w:i w:val="0"/>
      <w:iCs w:val="0"/>
      <w:smallCaps w:val="0"/>
      <w:strike w:val="0"/>
      <w:sz w:val="30"/>
      <w:szCs w:val="30"/>
      <w:u w:val="none"/>
    </w:rPr>
  </w:style>
  <w:style w:type="character" w:customStyle="1" w:styleId="CharStyle11">
    <w:name w:val="Char Style 11"/>
    <w:basedOn w:val="DefaultParagraphFont"/>
    <w:link w:val="Style10"/>
    <w:rPr>
      <w:b w:val="0"/>
      <w:bCs w:val="0"/>
      <w:i w:val="0"/>
      <w:iCs w:val="0"/>
      <w:smallCaps w:val="0"/>
      <w:strike w:val="0"/>
      <w:u w:val="none"/>
    </w:rPr>
  </w:style>
  <w:style w:type="character" w:customStyle="1" w:styleId="CharStyle15">
    <w:name w:val="Char Style 15"/>
    <w:basedOn w:val="DefaultParagraphFont"/>
    <w:link w:val="Style14"/>
    <w:rPr>
      <w:b w:val="0"/>
      <w:bCs w:val="0"/>
      <w:i w:val="0"/>
      <w:iCs w:val="0"/>
      <w:smallCaps w:val="0"/>
      <w:strike w:val="0"/>
      <w:sz w:val="30"/>
      <w:szCs w:val="3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20"/>
      <w:jc w:val="center"/>
      <w:outlineLvl w:val="0"/>
    </w:pPr>
    <w:rPr>
      <w:b w:val="0"/>
      <w:bCs w:val="0"/>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00"/>
      <w:ind w:firstLine="300"/>
    </w:pPr>
    <w:rPr>
      <w:b w:val="0"/>
      <w:bCs w:val="0"/>
      <w:i w:val="0"/>
      <w:iCs w:val="0"/>
      <w:smallCaps w:val="0"/>
      <w:strike w:val="0"/>
      <w:sz w:val="30"/>
      <w:szCs w:val="30"/>
      <w:u w:val="none"/>
    </w:rPr>
  </w:style>
  <w:style w:type="paragraph" w:customStyle="1" w:styleId="Style10">
    <w:name w:val="Style 10"/>
    <w:basedOn w:val="Normal"/>
    <w:link w:val="CharStyle11"/>
    <w:pPr>
      <w:widowControl w:val="0"/>
      <w:shd w:val="clear" w:color="auto" w:fill="FFFFFF"/>
      <w:spacing w:after="40"/>
    </w:pPr>
    <w:rPr>
      <w:b w:val="0"/>
      <w:bCs w:val="0"/>
      <w:i w:val="0"/>
      <w:iCs w:val="0"/>
      <w:smallCaps w:val="0"/>
      <w:strike w:val="0"/>
      <w:u w:val="none"/>
    </w:rPr>
  </w:style>
  <w:style w:type="paragraph" w:customStyle="1" w:styleId="Style14">
    <w:name w:val="Style 14"/>
    <w:basedOn w:val="Normal"/>
    <w:link w:val="CharStyle15"/>
    <w:pPr>
      <w:widowControl w:val="0"/>
      <w:shd w:val="clear" w:color="auto" w:fill="FFFFFF"/>
      <w:spacing w:after="340"/>
      <w:ind w:firstLine="300"/>
      <w:outlineLvl w:val="1"/>
    </w:pPr>
    <w:rPr>
      <w:b w:val="0"/>
      <w:bCs w:val="0"/>
      <w:i w:val="0"/>
      <w:iCs w:val="0"/>
      <w:smallCaps w:val="0"/>
      <w:strike w:val="0"/>
      <w:sz w:val="30"/>
      <w:szCs w:val="30"/>
      <w:u w:val="none"/>
    </w:rPr>
  </w:style>
  <w:style w:type="paragraph" w:customStyle="1" w:styleId="Style16">
    <w:name w:val="Style 16"/>
    <w:basedOn w:val="Normal"/>
    <w:link w:val="CharStyle17"/>
    <w:pPr>
      <w:widowControl w:val="0"/>
      <w:shd w:val="clear" w:color="auto" w:fill="FFFFFF"/>
      <w:spacing w:line="293" w:lineRule="auto"/>
      <w:ind w:left="300" w:firstLine="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Document25101706450</dc:title>
  <dc:subject/>
  <dc:creator>Romana Chaloupková</dc:creator>
  <cp:keywords/>
</cp:coreProperties>
</file>