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bottom w:color="00000a" w:space="1" w:sz="6" w:val="single"/>
        </w:pBd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Dohoda o změně smluvní strany Smlouvy č. SAAS - 12/2016 o poskytování  softwarových služeb – systém TRITIUS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Husitské muzeum v Táboře, pobočka Blatské muzeum v Soběslavi a Veselí nad Lužnicí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se sídlem: náměstí Mikuláše z Husi 44, 390 01 Tábor, IČ: 00072486, DIČ: CZ00072486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bankovní spojení:  ČSOB č.ú. 247305527/0300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jednající: Mgr. Jakub Smrčka, Th.D., ředitel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objednatel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a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LANius s.r.o.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se sídlem: Jiráskova 1775, 390 02 Tábor, IČ: 25150707, DIČ: CZ25150707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zapsána v obchodním rejstříku vedeném Krajským soudem v Českých Budějovicích, oddíl C, vložka 6201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bankovní spojení: ČSOB a.s. pobočka Tábor, č. ú. 108421851/0300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zastupuje: Ing. Jiří Šilha, jednatel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původní poskytovatel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a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Tritius Solutions a.s.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se sídlem: Vodní 258/13, Staré Brno, 602 00 Brno, IČ: 05700582, DIČ: </w:t>
      </w:r>
      <w:r w:rsidDel="00000000" w:rsidR="00000000" w:rsidRPr="00000000">
        <w:rPr>
          <w:rtl w:val="0"/>
        </w:rPr>
        <w:t xml:space="preserve">CZ05700582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zapsána v obchodním rejstříku vedeném Krajským soudem v Brně, oddíl B, vložka 7644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bankovní spojení: Komerční banka a.s., č. ú. 115-3913000287/0100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zastupuje: Ing. Jiří Šilha, předseda představenstva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nový poskytovatel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uzavírají tuto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Dohodu o změně smluvní strany Smlouvy č. SAAS – 12/2016 o poskytování softwarových služeb – systém TRITIUS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I.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Úvodní ustanovení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Objednatel dne 26.4.2016 uzavřel s původním poskytovatelem Smlouvu č. SAAS - 12/2016 o poskytování softwarových služeb – systém TRITIUS.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Nový poskytovatel vznikl dne 11. 1. 2017 zápisem do obchodního rejstříku. Nový poskytovatel vstoupí dnem </w:t>
      </w:r>
      <w:r w:rsidDel="00000000" w:rsidR="00000000" w:rsidRPr="00000000">
        <w:rPr>
          <w:rtl w:val="0"/>
        </w:rPr>
        <w:t xml:space="preserve">1. 9. 2017</w:t>
      </w:r>
      <w:r w:rsidDel="00000000" w:rsidR="00000000" w:rsidRPr="00000000">
        <w:rPr>
          <w:rtl w:val="0"/>
        </w:rPr>
        <w:t xml:space="preserve"> do smluvního vztahu, vyplývajícího ze Smlouvy č. SAAS – 12/2016 o poskytování softwarových služeb – systém TRITIUS, namísto původního poskytovatele a stane se nositelem práv a povinností z těchto právních vztahů vyplývajících.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Účelem a smyslem této dohody je smluvně upravit změnu smluvní strany smlouvy, a to nahrazením původního poskytovatele poskytovatelem novým.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II.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Změna smluvní strany smlouvy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Objednatel, původní poskytovatel a nový poskytovatel se dohodli, že s účinností ode dne 1. 9. 2017 dojde ke změně smluvní strany smlouvy a to nahrazením původního poskytovatele novým poskytovatelem.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V důsledku změny smluvní strany budou s účinností ode dne 1.9.2017 práva a povinnosti ze smlouvy vznikat mezi objednatelem a novým poskytovatelem.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Práva  a povinnosti ze smlouvy, která vznikla mezi objednatelem a původním poskytovatelem přede dnem 1. 9. 2017, zůstávají změnou smluvní strany nedotčeny.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III.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Závěrečná ustanovení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Tento dodatek nabývá platnosti a účinnosti dnem uzavření.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Tento dodatek se uzavírá v českém jazyce ve třech vyhotoveních, z nichž jedno si ponechá objednatel, jedno si ponechá původní poskytovatel a jedno si ponechá nový poskytovatel.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Smluvní strany prohlašují, že si tento dodatek před jeho uzavřením přečetly, že byl uzavřen po vzájemném projednání podle jejich pravé a svobodné vůle, určitě, vážně a srozumitelně, nikoliv v tísni a za nápadně nevýhodných podmínek.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Objednatel jakožto státní příspěvková organizace, je podle zákona č. 340/2015 Sb., o zvláštních podmínkách účinnosti některých smluv, uveřejňování těchto smluv a o registru smluv, povinen uveřejňovat některé smlouvy v registru smluv.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Pokud se na tuto smlouvu vztahuje povinnost uveřejnění prostřednictvím registru smluv, nabývá tato smlouva účinnosti dnem uveřejnění v registru smluv. Uveřejnění této smlouvy v registru smluv v takovém případě zajistí objednatel.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Pokud se na tuto smlouvu nevztahuje povinnost uveřejnění prostřednictvím registru smluv, nabývá tato smlouva účinnosti dnem podpisu oběma smluvními stranami, není-li uvedeno jinak.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bookmarkStart w:colFirst="0" w:colLast="0" w:name="_yn7xqol841w5" w:id="0"/>
      <w:bookmarkEnd w:id="0"/>
      <w:r w:rsidDel="00000000" w:rsidR="00000000" w:rsidRPr="00000000">
        <w:rPr>
          <w:rtl w:val="0"/>
        </w:rPr>
        <w:t xml:space="preserve">V Táboře   28.8.2017</w:t>
      </w:r>
    </w:p>
    <w:p w:rsidR="00000000" w:rsidDel="00000000" w:rsidP="00000000" w:rsidRDefault="00000000" w:rsidRPr="00000000">
      <w:pPr>
        <w:contextualSpacing w:val="0"/>
        <w:jc w:val="both"/>
        <w:rPr/>
      </w:pPr>
      <w:bookmarkStart w:colFirst="0" w:colLast="0" w:name="_gq05h27utv1j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bookmarkStart w:colFirst="0" w:colLast="0" w:name="_ojwhu8ea3jl5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bookmarkStart w:colFirst="0" w:colLast="0" w:name="_z851okdro6mt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bookmarkStart w:colFirst="0" w:colLast="0" w:name="_4ujlknardcpp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Objednatel:                     Mgr. Jakub Smrčka, Th.D., ředitel                        ………………………………………………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ab/>
        <w:t xml:space="preserve">                     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Původní poskytovatel:   Ing. Jiří Šilha, jednatel</w:t>
        <w:tab/>
        <w:tab/>
        <w:tab/>
        <w:t xml:space="preserve">          ………………………………………………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Nový poskytovatel:         Ing. Jiří Šilha, předseda představenstva            ………………………………………………</w:t>
      </w:r>
    </w:p>
    <w:sectPr>
      <w:pgSz w:h="16838" w:w="11906"/>
      <w:pgMar w:bottom="1417" w:top="1417" w:left="1417" w:right="141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cs-CZ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