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10e1dfd7748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2109ba50801841f0"/>
      <w:footerReference w:type="even" r:id="Rcb600e22ba3040d6"/>
      <w:footerReference w:type="first" r:id="Rc88b8e39358d4cc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db7d4d807d4f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231/2025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3350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dobití volnočasového kreditu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428 099,17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89 900,83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518 000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20.10.2025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ec5fa6303d459a" /><Relationship Type="http://schemas.openxmlformats.org/officeDocument/2006/relationships/numbering" Target="/word/numbering.xml" Id="R0c40ebd40b9f4c45" /><Relationship Type="http://schemas.openxmlformats.org/officeDocument/2006/relationships/settings" Target="/word/settings.xml" Id="R577990d8207d4cb8" /><Relationship Type="http://schemas.openxmlformats.org/officeDocument/2006/relationships/image" Target="/word/media/8bec9990-2fb8-4244-b04d-503616f32abd.jpeg" Id="R15db7d4d807d4f83" /><Relationship Type="http://schemas.openxmlformats.org/officeDocument/2006/relationships/footer" Target="/word/footer1.xml" Id="R2109ba50801841f0" /><Relationship Type="http://schemas.openxmlformats.org/officeDocument/2006/relationships/footer" Target="/word/footer2.xml" Id="Rcb600e22ba3040d6" /><Relationship Type="http://schemas.openxmlformats.org/officeDocument/2006/relationships/footer" Target="/word/footer3.xml" Id="Rc88b8e39358d4ccd" /></Relationships>
</file>