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2"/>
        <w:keepNext w:val="0"/>
        <w:keepLines w:val="0"/>
        <w:framePr w:w="9120" w:h="389" w:hRule="exact" w:wrap="none" w:vAnchor="page" w:hAnchor="page" w:x="1390" w:y="1419"/>
        <w:widowControl w:val="0"/>
        <w:shd w:val="clear" w:color="auto" w:fill="auto"/>
        <w:bidi w:val="0"/>
        <w:spacing w:before="0" w:after="0" w:line="240" w:lineRule="auto"/>
        <w:ind w:left="0" w:right="0" w:firstLine="0"/>
        <w:jc w:val="center"/>
      </w:pPr>
      <w:bookmarkStart w:id="0" w:name="bookmark0"/>
      <w:r>
        <w:rPr>
          <w:color w:val="000000"/>
          <w:spacing w:val="0"/>
          <w:w w:val="100"/>
          <w:position w:val="0"/>
          <w:shd w:val="clear" w:color="auto" w:fill="auto"/>
          <w:lang w:val="cs-CZ" w:eastAsia="cs-CZ" w:bidi="cs-CZ"/>
        </w:rPr>
        <w:t>Dohoda o narovnání</w:t>
      </w:r>
      <w:bookmarkEnd w:id="0"/>
    </w:p>
    <w:p>
      <w:pPr>
        <w:pStyle w:val="Style4"/>
        <w:keepNext w:val="0"/>
        <w:keepLines w:val="0"/>
        <w:framePr w:w="9120" w:h="6120" w:hRule="exact" w:wrap="none" w:vAnchor="page" w:hAnchor="page" w:x="1390" w:y="2207"/>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Níže psaného dne, měsíce a roku uzavírají smluvní strany:</w:t>
      </w:r>
    </w:p>
    <w:p>
      <w:pPr>
        <w:pStyle w:val="Style4"/>
        <w:keepNext w:val="0"/>
        <w:keepLines w:val="0"/>
        <w:framePr w:w="9120" w:h="6120" w:hRule="exact" w:wrap="none" w:vAnchor="page" w:hAnchor="page" w:x="1390" w:y="2207"/>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Statutární město Pardubice</w:t>
      </w:r>
      <w:r>
        <w:rPr>
          <w:color w:val="000000"/>
          <w:spacing w:val="0"/>
          <w:w w:val="100"/>
          <w:position w:val="0"/>
          <w:shd w:val="clear" w:color="auto" w:fill="auto"/>
          <w:lang w:val="cs-CZ" w:eastAsia="cs-CZ" w:bidi="cs-CZ"/>
        </w:rPr>
        <w:t>, IČO: 002 74 046,</w:t>
      </w:r>
    </w:p>
    <w:p>
      <w:pPr>
        <w:pStyle w:val="Style4"/>
        <w:keepNext w:val="0"/>
        <w:keepLines w:val="0"/>
        <w:framePr w:w="9120" w:h="6120" w:hRule="exact" w:wrap="none" w:vAnchor="page" w:hAnchor="page" w:x="1390" w:y="2207"/>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se sídlem Pernštýnské náměstí 1, 530 21 Pardubice, zastoupeno Bc. Janem Nadrchalem, primátorem na straně jedné</w:t>
      </w:r>
    </w:p>
    <w:p>
      <w:pPr>
        <w:pStyle w:val="Style4"/>
        <w:keepNext w:val="0"/>
        <w:keepLines w:val="0"/>
        <w:framePr w:w="9120" w:h="6120" w:hRule="exact" w:wrap="none" w:vAnchor="page" w:hAnchor="page" w:x="1390" w:y="2207"/>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Objednatel</w:t>
      </w:r>
      <w:r>
        <w:rPr>
          <w:color w:val="000000"/>
          <w:spacing w:val="0"/>
          <w:w w:val="100"/>
          <w:position w:val="0"/>
          <w:shd w:val="clear" w:color="auto" w:fill="auto"/>
          <w:lang w:val="cs-CZ" w:eastAsia="cs-CZ" w:bidi="cs-CZ"/>
        </w:rPr>
        <w:t>“)</w:t>
      </w:r>
    </w:p>
    <w:p>
      <w:pPr>
        <w:pStyle w:val="Style4"/>
        <w:keepNext w:val="0"/>
        <w:keepLines w:val="0"/>
        <w:framePr w:w="9120" w:h="6120" w:hRule="exact" w:wrap="none" w:vAnchor="page" w:hAnchor="page" w:x="1390" w:y="2207"/>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a</w:t>
      </w:r>
    </w:p>
    <w:p>
      <w:pPr>
        <w:pStyle w:val="Style4"/>
        <w:keepNext w:val="0"/>
        <w:keepLines w:val="0"/>
        <w:framePr w:w="9120" w:h="6120" w:hRule="exact" w:wrap="none" w:vAnchor="page" w:hAnchor="page" w:x="1390" w:y="2207"/>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M-tech, s.r.o</w:t>
      </w:r>
      <w:r>
        <w:rPr>
          <w:color w:val="000000"/>
          <w:spacing w:val="0"/>
          <w:w w:val="100"/>
          <w:position w:val="0"/>
          <w:shd w:val="clear" w:color="auto" w:fill="auto"/>
          <w:lang w:val="cs-CZ" w:eastAsia="cs-CZ" w:bidi="cs-CZ"/>
        </w:rPr>
        <w:t>., IČO: 601 08 550,</w:t>
      </w:r>
    </w:p>
    <w:p>
      <w:pPr>
        <w:pStyle w:val="Style4"/>
        <w:keepNext w:val="0"/>
        <w:keepLines w:val="0"/>
        <w:framePr w:w="9120" w:h="6120" w:hRule="exact" w:wrap="none" w:vAnchor="page" w:hAnchor="page" w:x="1390" w:y="2207"/>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 sídlem Průmyslová 526, Pardubičky, 530 03 Pardubice,</w:t>
      </w:r>
    </w:p>
    <w:p>
      <w:pPr>
        <w:pStyle w:val="Style4"/>
        <w:keepNext w:val="0"/>
        <w:keepLines w:val="0"/>
        <w:framePr w:w="9120" w:h="6120" w:hRule="exact" w:wrap="none" w:vAnchor="page" w:hAnchor="page" w:x="1390" w:y="2207"/>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zastoupena panem Martinem Štěpánkem, jednatelem na straně druhé</w:t>
      </w:r>
    </w:p>
    <w:p>
      <w:pPr>
        <w:pStyle w:val="Style4"/>
        <w:keepNext w:val="0"/>
        <w:keepLines w:val="0"/>
        <w:framePr w:w="9120" w:h="6120" w:hRule="exact" w:wrap="none" w:vAnchor="page" w:hAnchor="page" w:x="1390" w:y="2207"/>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Zhotovitel</w:t>
      </w:r>
      <w:r>
        <w:rPr>
          <w:color w:val="000000"/>
          <w:spacing w:val="0"/>
          <w:w w:val="100"/>
          <w:position w:val="0"/>
          <w:shd w:val="clear" w:color="auto" w:fill="auto"/>
          <w:lang w:val="cs-CZ" w:eastAsia="cs-CZ" w:bidi="cs-CZ"/>
        </w:rPr>
        <w:t>“)</w:t>
      </w:r>
    </w:p>
    <w:p>
      <w:pPr>
        <w:pStyle w:val="Style4"/>
        <w:keepNext w:val="0"/>
        <w:keepLines w:val="0"/>
        <w:framePr w:w="9120" w:h="6120" w:hRule="exact" w:wrap="none" w:vAnchor="page" w:hAnchor="page" w:x="1390" w:y="2207"/>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(Objednatel a Zhotovitel společně také jako „</w:t>
      </w:r>
      <w:r>
        <w:rPr>
          <w:b/>
          <w:bCs/>
          <w:color w:val="000000"/>
          <w:spacing w:val="0"/>
          <w:w w:val="100"/>
          <w:position w:val="0"/>
          <w:shd w:val="clear" w:color="auto" w:fill="auto"/>
          <w:lang w:val="cs-CZ" w:eastAsia="cs-CZ" w:bidi="cs-CZ"/>
        </w:rPr>
        <w:t>strany</w:t>
      </w:r>
      <w:r>
        <w:rPr>
          <w:color w:val="000000"/>
          <w:spacing w:val="0"/>
          <w:w w:val="100"/>
          <w:position w:val="0"/>
          <w:shd w:val="clear" w:color="auto" w:fill="auto"/>
          <w:lang w:val="cs-CZ" w:eastAsia="cs-CZ" w:bidi="cs-CZ"/>
        </w:rPr>
        <w:t>“ nebo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w:t>
      </w:r>
    </w:p>
    <w:p>
      <w:pPr>
        <w:pStyle w:val="Style4"/>
        <w:keepNext w:val="0"/>
        <w:keepLines w:val="0"/>
        <w:framePr w:w="9120" w:h="6120" w:hRule="exact" w:wrap="none" w:vAnchor="page" w:hAnchor="page" w:x="1390" w:y="2207"/>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 xml:space="preserve">ve smyslu ustanovení § 1903 a násl. zákona č. 89/2012 Sb., občanský zákoník, v platném znění (dále jen </w:t>
      </w:r>
      <w:r>
        <w:rPr>
          <w:b/>
          <w:bCs/>
          <w:color w:val="000000"/>
          <w:spacing w:val="0"/>
          <w:w w:val="100"/>
          <w:position w:val="0"/>
          <w:shd w:val="clear" w:color="auto" w:fill="auto"/>
          <w:lang w:val="cs-CZ" w:eastAsia="cs-CZ" w:bidi="cs-CZ"/>
        </w:rPr>
        <w:t>„občanský zákoník</w:t>
      </w:r>
      <w:r>
        <w:rPr>
          <w:color w:val="000000"/>
          <w:spacing w:val="0"/>
          <w:w w:val="100"/>
          <w:position w:val="0"/>
          <w:shd w:val="clear" w:color="auto" w:fill="auto"/>
          <w:lang w:val="cs-CZ" w:eastAsia="cs-CZ" w:bidi="cs-CZ"/>
        </w:rPr>
        <w:t>“), tuto dohodu o narovnání (dále jen „</w:t>
      </w:r>
      <w:r>
        <w:rPr>
          <w:b/>
          <w:bCs/>
          <w:color w:val="000000"/>
          <w:spacing w:val="0"/>
          <w:w w:val="100"/>
          <w:position w:val="0"/>
          <w:shd w:val="clear" w:color="auto" w:fill="auto"/>
          <w:lang w:val="cs-CZ" w:eastAsia="cs-CZ" w:bidi="cs-CZ"/>
        </w:rPr>
        <w:t>Dohoda</w:t>
      </w:r>
      <w:r>
        <w:rPr>
          <w:color w:val="000000"/>
          <w:spacing w:val="0"/>
          <w:w w:val="100"/>
          <w:position w:val="0"/>
          <w:shd w:val="clear" w:color="auto" w:fill="auto"/>
          <w:lang w:val="cs-CZ" w:eastAsia="cs-CZ" w:bidi="cs-CZ"/>
        </w:rPr>
        <w:t>“).</w:t>
      </w:r>
    </w:p>
    <w:p>
      <w:pPr>
        <w:pStyle w:val="Style7"/>
        <w:keepNext w:val="0"/>
        <w:keepLines w:val="0"/>
        <w:framePr w:w="9120" w:h="6490" w:hRule="exact" w:wrap="none" w:vAnchor="page" w:hAnchor="page" w:x="1390" w:y="8960"/>
        <w:widowControl w:val="0"/>
        <w:numPr>
          <w:ilvl w:val="0"/>
          <w:numId w:val="1"/>
        </w:numPr>
        <w:shd w:val="clear" w:color="auto" w:fill="auto"/>
        <w:tabs>
          <w:tab w:pos="427" w:val="left"/>
        </w:tabs>
        <w:bidi w:val="0"/>
        <w:spacing w:before="0"/>
        <w:ind w:left="0" w:right="0" w:firstLine="0"/>
        <w:jc w:val="center"/>
      </w:pPr>
      <w:bookmarkStart w:id="2" w:name="bookmark2"/>
      <w:r>
        <w:rPr>
          <w:color w:val="000000"/>
          <w:spacing w:val="0"/>
          <w:w w:val="100"/>
          <w:position w:val="0"/>
          <w:shd w:val="clear" w:color="auto" w:fill="auto"/>
          <w:lang w:val="cs-CZ" w:eastAsia="cs-CZ" w:bidi="cs-CZ"/>
        </w:rPr>
        <w:t>Úvodní ustanovení, rekapitulace</w:t>
      </w:r>
      <w:bookmarkEnd w:id="2"/>
    </w:p>
    <w:p>
      <w:pPr>
        <w:pStyle w:val="Style4"/>
        <w:keepNext w:val="0"/>
        <w:keepLines w:val="0"/>
        <w:framePr w:w="9120" w:h="6490" w:hRule="exact" w:wrap="none" w:vAnchor="page" w:hAnchor="page" w:x="1390" w:y="8960"/>
        <w:widowControl w:val="0"/>
        <w:numPr>
          <w:ilvl w:val="1"/>
          <w:numId w:val="1"/>
        </w:numPr>
        <w:shd w:val="clear" w:color="auto" w:fill="auto"/>
        <w:tabs>
          <w:tab w:pos="651" w:val="left"/>
        </w:tabs>
        <w:bidi w:val="0"/>
        <w:spacing w:before="0"/>
        <w:ind w:left="700" w:right="0" w:hanging="700"/>
        <w:jc w:val="both"/>
      </w:pPr>
      <w:r>
        <w:rPr>
          <w:color w:val="000000"/>
          <w:spacing w:val="0"/>
          <w:w w:val="100"/>
          <w:position w:val="0"/>
          <w:shd w:val="clear" w:color="auto" w:fill="auto"/>
          <w:lang w:val="cs-CZ" w:eastAsia="cs-CZ" w:bidi="cs-CZ"/>
        </w:rPr>
        <w:t>Smluvní strany konstatují, že dne 17. 8. 2022 uzavřely smlouvu o dílo (dále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 jejímž předmětem bylo zpracování návrhu řešení (studie) a projektové dokumentace pro provádění stavby „COK - Divadlo 29 - klimatizace - PD“ ze strany Zhotovitele (dále jen „</w:t>
      </w:r>
      <w:r>
        <w:rPr>
          <w:b/>
          <w:bCs/>
          <w:color w:val="000000"/>
          <w:spacing w:val="0"/>
          <w:w w:val="100"/>
          <w:position w:val="0"/>
          <w:shd w:val="clear" w:color="auto" w:fill="auto"/>
          <w:lang w:val="cs-CZ" w:eastAsia="cs-CZ" w:bidi="cs-CZ"/>
        </w:rPr>
        <w:t>Dílo</w:t>
      </w:r>
      <w:r>
        <w:rPr>
          <w:color w:val="000000"/>
          <w:spacing w:val="0"/>
          <w:w w:val="100"/>
          <w:position w:val="0"/>
          <w:shd w:val="clear" w:color="auto" w:fill="auto"/>
          <w:lang w:val="cs-CZ" w:eastAsia="cs-CZ" w:bidi="cs-CZ"/>
        </w:rPr>
        <w:t>“).</w:t>
      </w:r>
    </w:p>
    <w:p>
      <w:pPr>
        <w:pStyle w:val="Style4"/>
        <w:keepNext w:val="0"/>
        <w:keepLines w:val="0"/>
        <w:framePr w:w="9120" w:h="6490" w:hRule="exact" w:wrap="none" w:vAnchor="page" w:hAnchor="page" w:x="1390" w:y="8960"/>
        <w:widowControl w:val="0"/>
        <w:numPr>
          <w:ilvl w:val="1"/>
          <w:numId w:val="1"/>
        </w:numPr>
        <w:shd w:val="clear" w:color="auto" w:fill="auto"/>
        <w:tabs>
          <w:tab w:pos="651" w:val="left"/>
        </w:tabs>
        <w:bidi w:val="0"/>
        <w:spacing w:before="0"/>
        <w:ind w:left="0" w:right="0" w:firstLine="0"/>
        <w:jc w:val="left"/>
      </w:pPr>
      <w:r>
        <w:rPr>
          <w:color w:val="000000"/>
          <w:spacing w:val="0"/>
          <w:w w:val="100"/>
          <w:position w:val="0"/>
          <w:shd w:val="clear" w:color="auto" w:fill="auto"/>
          <w:lang w:val="cs-CZ" w:eastAsia="cs-CZ" w:bidi="cs-CZ"/>
        </w:rPr>
        <w:t>Dle oddílu I. čl. III odst. 1 Smlouvy byla cena Díla sjednána následovně:</w:t>
      </w:r>
    </w:p>
    <w:p>
      <w:pPr>
        <w:pStyle w:val="Style4"/>
        <w:keepNext w:val="0"/>
        <w:keepLines w:val="0"/>
        <w:framePr w:w="9120" w:h="6490" w:hRule="exact" w:wrap="none" w:vAnchor="page" w:hAnchor="page" w:x="1390" w:y="8960"/>
        <w:widowControl w:val="0"/>
        <w:shd w:val="clear" w:color="auto" w:fill="auto"/>
        <w:bidi w:val="0"/>
        <w:spacing w:before="0" w:after="0"/>
        <w:ind w:left="0" w:right="0" w:firstLine="700"/>
        <w:jc w:val="left"/>
      </w:pPr>
      <w:r>
        <w:rPr>
          <w:color w:val="000000"/>
          <w:spacing w:val="0"/>
          <w:w w:val="100"/>
          <w:position w:val="0"/>
          <w:shd w:val="clear" w:color="auto" w:fill="auto"/>
          <w:lang w:val="cs-CZ" w:eastAsia="cs-CZ" w:bidi="cs-CZ"/>
        </w:rPr>
        <w:t>Návrh řešení - studie (bez DPH) - 25 000,- Kč</w:t>
      </w:r>
    </w:p>
    <w:p>
      <w:pPr>
        <w:pStyle w:val="Style4"/>
        <w:keepNext w:val="0"/>
        <w:keepLines w:val="0"/>
        <w:framePr w:w="9120" w:h="6490" w:hRule="exact" w:wrap="none" w:vAnchor="page" w:hAnchor="page" w:x="1390" w:y="8960"/>
        <w:widowControl w:val="0"/>
        <w:shd w:val="clear" w:color="auto" w:fill="auto"/>
        <w:bidi w:val="0"/>
        <w:spacing w:before="0" w:after="0"/>
        <w:ind w:left="700" w:right="0" w:firstLine="0"/>
        <w:jc w:val="left"/>
      </w:pPr>
      <w:r>
        <w:rPr>
          <w:b/>
          <w:bCs/>
          <w:color w:val="000000"/>
          <w:spacing w:val="0"/>
          <w:w w:val="100"/>
          <w:position w:val="0"/>
          <w:shd w:val="clear" w:color="auto" w:fill="auto"/>
          <w:lang w:val="cs-CZ" w:eastAsia="cs-CZ" w:bidi="cs-CZ"/>
        </w:rPr>
        <w:t xml:space="preserve">Projektová dokumentace pro provádění stavby vč. IČ (bez DPH) - 293 000,- Kč </w:t>
      </w:r>
      <w:r>
        <w:rPr>
          <w:color w:val="000000"/>
          <w:spacing w:val="0"/>
          <w:w w:val="100"/>
          <w:position w:val="0"/>
          <w:shd w:val="clear" w:color="auto" w:fill="auto"/>
          <w:lang w:val="cs-CZ" w:eastAsia="cs-CZ" w:bidi="cs-CZ"/>
        </w:rPr>
        <w:t>DPH 21 % - 66 780,- Kč</w:t>
      </w:r>
    </w:p>
    <w:p>
      <w:pPr>
        <w:pStyle w:val="Style4"/>
        <w:keepNext w:val="0"/>
        <w:keepLines w:val="0"/>
        <w:framePr w:w="9120" w:h="6490" w:hRule="exact" w:wrap="none" w:vAnchor="page" w:hAnchor="page" w:x="1390" w:y="8960"/>
        <w:widowControl w:val="0"/>
        <w:shd w:val="clear" w:color="auto" w:fill="auto"/>
        <w:bidi w:val="0"/>
        <w:spacing w:before="0"/>
        <w:ind w:left="0" w:right="0" w:firstLine="700"/>
        <w:jc w:val="left"/>
      </w:pPr>
      <w:r>
        <w:rPr>
          <w:color w:val="000000"/>
          <w:spacing w:val="0"/>
          <w:w w:val="100"/>
          <w:position w:val="0"/>
          <w:shd w:val="clear" w:color="auto" w:fill="auto"/>
          <w:lang w:val="cs-CZ" w:eastAsia="cs-CZ" w:bidi="cs-CZ"/>
        </w:rPr>
        <w:t>Celková cena díla včetně DPH - 384 780,- Kč.</w:t>
      </w:r>
    </w:p>
    <w:p>
      <w:pPr>
        <w:pStyle w:val="Style4"/>
        <w:keepNext w:val="0"/>
        <w:keepLines w:val="0"/>
        <w:framePr w:w="9120" w:h="6490" w:hRule="exact" w:wrap="none" w:vAnchor="page" w:hAnchor="page" w:x="1390" w:y="8960"/>
        <w:widowControl w:val="0"/>
        <w:numPr>
          <w:ilvl w:val="1"/>
          <w:numId w:val="1"/>
        </w:numPr>
        <w:shd w:val="clear" w:color="auto" w:fill="auto"/>
        <w:tabs>
          <w:tab w:pos="651" w:val="left"/>
        </w:tabs>
        <w:bidi w:val="0"/>
        <w:spacing w:before="0"/>
        <w:ind w:left="700" w:right="0" w:hanging="700"/>
        <w:jc w:val="both"/>
      </w:pPr>
      <w:r>
        <w:rPr>
          <w:color w:val="000000"/>
          <w:spacing w:val="0"/>
          <w:w w:val="100"/>
          <w:position w:val="0"/>
          <w:shd w:val="clear" w:color="auto" w:fill="auto"/>
          <w:lang w:val="cs-CZ" w:eastAsia="cs-CZ" w:bidi="cs-CZ"/>
        </w:rPr>
        <w:t xml:space="preserve">Dne 14. 8. 2024 došlo k předání projektové dokumentace pro provádění stavby Zhotovitelem. Na základě tohoto vystavil Zhotovitel Objednateli dne 19. 8. 2024 </w:t>
      </w:r>
      <w:r>
        <w:rPr>
          <w:b/>
          <w:bCs/>
          <w:color w:val="000000"/>
          <w:spacing w:val="0"/>
          <w:w w:val="100"/>
          <w:position w:val="0"/>
          <w:shd w:val="clear" w:color="auto" w:fill="auto"/>
          <w:lang w:val="cs-CZ" w:eastAsia="cs-CZ" w:bidi="cs-CZ"/>
        </w:rPr>
        <w:t>fakturu č. 240100604 na částku 354 530,- Kč vč. DPH</w:t>
      </w:r>
      <w:r>
        <w:rPr>
          <w:color w:val="000000"/>
          <w:spacing w:val="0"/>
          <w:w w:val="100"/>
          <w:position w:val="0"/>
          <w:shd w:val="clear" w:color="auto" w:fill="auto"/>
          <w:lang w:val="cs-CZ" w:eastAsia="cs-CZ" w:bidi="cs-CZ"/>
        </w:rPr>
        <w:t>, splatnou dne 31. 12. 2024 (dále jen „</w:t>
      </w:r>
      <w:r>
        <w:rPr>
          <w:b/>
          <w:bCs/>
          <w:color w:val="000000"/>
          <w:spacing w:val="0"/>
          <w:w w:val="100"/>
          <w:position w:val="0"/>
          <w:shd w:val="clear" w:color="auto" w:fill="auto"/>
          <w:lang w:val="cs-CZ" w:eastAsia="cs-CZ" w:bidi="cs-CZ"/>
        </w:rPr>
        <w:t>Dluh</w:t>
      </w:r>
      <w:r>
        <w:rPr>
          <w:color w:val="000000"/>
          <w:spacing w:val="0"/>
          <w:w w:val="100"/>
          <w:position w:val="0"/>
          <w:shd w:val="clear" w:color="auto" w:fill="auto"/>
          <w:lang w:val="cs-CZ" w:eastAsia="cs-CZ" w:bidi="cs-CZ"/>
        </w:rPr>
        <w:t>“).</w:t>
      </w:r>
    </w:p>
    <w:p>
      <w:pPr>
        <w:pStyle w:val="Style4"/>
        <w:keepNext w:val="0"/>
        <w:keepLines w:val="0"/>
        <w:framePr w:w="9120" w:h="6490" w:hRule="exact" w:wrap="none" w:vAnchor="page" w:hAnchor="page" w:x="1390" w:y="8960"/>
        <w:widowControl w:val="0"/>
        <w:numPr>
          <w:ilvl w:val="1"/>
          <w:numId w:val="1"/>
        </w:numPr>
        <w:shd w:val="clear" w:color="auto" w:fill="auto"/>
        <w:tabs>
          <w:tab w:pos="651" w:val="left"/>
          <w:tab w:pos="662" w:val="left"/>
        </w:tabs>
        <w:bidi w:val="0"/>
        <w:spacing w:before="0" w:after="0"/>
        <w:ind w:left="0" w:right="0" w:firstLine="0"/>
        <w:jc w:val="left"/>
      </w:pPr>
      <w:r>
        <w:rPr>
          <w:color w:val="000000"/>
          <w:spacing w:val="0"/>
          <w:w w:val="100"/>
          <w:position w:val="0"/>
          <w:shd w:val="clear" w:color="auto" w:fill="auto"/>
          <w:lang w:val="cs-CZ" w:eastAsia="cs-CZ" w:bidi="cs-CZ"/>
        </w:rPr>
        <w:t>Dne 21. 8. 2024 se uskutečnilo jednání mezi stranami ohledně Objednatelem</w:t>
      </w:r>
    </w:p>
    <w:p>
      <w:pPr>
        <w:pStyle w:val="Style4"/>
        <w:keepNext w:val="0"/>
        <w:keepLines w:val="0"/>
        <w:framePr w:w="9120" w:h="6490" w:hRule="exact" w:wrap="none" w:vAnchor="page" w:hAnchor="page" w:x="1390" w:y="8960"/>
        <w:widowControl w:val="0"/>
        <w:shd w:val="clear" w:color="auto" w:fill="auto"/>
        <w:bidi w:val="0"/>
        <w:spacing w:before="0"/>
        <w:ind w:left="0" w:right="0" w:firstLine="700"/>
        <w:jc w:val="left"/>
      </w:pPr>
      <w:r>
        <w:rPr>
          <w:color w:val="000000"/>
          <w:spacing w:val="0"/>
          <w:w w:val="100"/>
          <w:position w:val="0"/>
          <w:shd w:val="clear" w:color="auto" w:fill="auto"/>
          <w:lang w:val="cs-CZ" w:eastAsia="cs-CZ" w:bidi="cs-CZ"/>
        </w:rPr>
        <w:t>namítaných nedostatků/vad projektové dokumentace pro provádění stavby.</w:t>
      </w:r>
    </w:p>
    <w:p>
      <w:pPr>
        <w:pStyle w:val="Style4"/>
        <w:keepNext w:val="0"/>
        <w:keepLines w:val="0"/>
        <w:framePr w:w="9120" w:h="6490" w:hRule="exact" w:wrap="none" w:vAnchor="page" w:hAnchor="page" w:x="1390" w:y="8960"/>
        <w:widowControl w:val="0"/>
        <w:numPr>
          <w:ilvl w:val="1"/>
          <w:numId w:val="1"/>
        </w:numPr>
        <w:shd w:val="clear" w:color="auto" w:fill="auto"/>
        <w:tabs>
          <w:tab w:pos="651" w:val="left"/>
          <w:tab w:pos="662" w:val="left"/>
        </w:tabs>
        <w:bidi w:val="0"/>
        <w:spacing w:before="0" w:after="0"/>
        <w:ind w:left="0" w:right="0" w:firstLine="0"/>
        <w:jc w:val="left"/>
      </w:pPr>
      <w:r>
        <w:rPr>
          <w:color w:val="000000"/>
          <w:spacing w:val="0"/>
          <w:w w:val="100"/>
          <w:position w:val="0"/>
          <w:shd w:val="clear" w:color="auto" w:fill="auto"/>
          <w:lang w:val="cs-CZ" w:eastAsia="cs-CZ" w:bidi="cs-CZ"/>
        </w:rPr>
        <w:t>Smluvní strany prohlašují, že mezi nimi existují sporná práva a povinnosti uvedené</w:t>
      </w:r>
    </w:p>
    <w:p>
      <w:pPr>
        <w:pStyle w:val="Style4"/>
        <w:keepNext w:val="0"/>
        <w:keepLines w:val="0"/>
        <w:framePr w:w="9120" w:h="6490" w:hRule="exact" w:wrap="none" w:vAnchor="page" w:hAnchor="page" w:x="1390" w:y="8960"/>
        <w:widowControl w:val="0"/>
        <w:shd w:val="clear" w:color="auto" w:fill="auto"/>
        <w:bidi w:val="0"/>
        <w:spacing w:before="0" w:after="0"/>
        <w:ind w:left="0" w:right="0" w:firstLine="700"/>
        <w:jc w:val="left"/>
      </w:pPr>
      <w:r>
        <w:rPr>
          <w:color w:val="000000"/>
          <w:spacing w:val="0"/>
          <w:w w:val="100"/>
          <w:position w:val="0"/>
          <w:shd w:val="clear" w:color="auto" w:fill="auto"/>
          <w:lang w:val="cs-CZ" w:eastAsia="cs-CZ" w:bidi="cs-CZ"/>
        </w:rPr>
        <w:t>v čl.</w:t>
      </w:r>
      <w:hyperlink w:anchor="bookmark6" w:tooltip="Current Document">
        <w:r>
          <w:rPr>
            <w:color w:val="000000"/>
            <w:spacing w:val="0"/>
            <w:w w:val="100"/>
            <w:position w:val="0"/>
            <w:shd w:val="clear" w:color="auto" w:fill="auto"/>
            <w:lang w:val="cs-CZ" w:eastAsia="cs-CZ" w:bidi="cs-CZ"/>
          </w:rPr>
          <w:t xml:space="preserve"> 2 </w:t>
        </w:r>
      </w:hyperlink>
      <w:r>
        <w:rPr>
          <w:color w:val="000000"/>
          <w:spacing w:val="0"/>
          <w:w w:val="100"/>
          <w:position w:val="0"/>
          <w:shd w:val="clear" w:color="auto" w:fill="auto"/>
          <w:lang w:val="cs-CZ" w:eastAsia="cs-CZ" w:bidi="cs-CZ"/>
        </w:rPr>
        <w:t>této Dohody, které mají smluvní strany zájem narovnat touto Dohodou.</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30" w:h="278" w:hRule="exact" w:wrap="none" w:vAnchor="page" w:hAnchor="page" w:x="1385" w:y="1419"/>
        <w:widowControl w:val="0"/>
        <w:numPr>
          <w:ilvl w:val="0"/>
          <w:numId w:val="1"/>
        </w:numPr>
        <w:shd w:val="clear" w:color="auto" w:fill="auto"/>
        <w:tabs>
          <w:tab w:pos="427" w:val="left"/>
        </w:tabs>
        <w:bidi w:val="0"/>
        <w:spacing w:before="0" w:after="0" w:line="240" w:lineRule="auto"/>
        <w:ind w:left="0" w:right="0" w:firstLine="0"/>
        <w:jc w:val="center"/>
      </w:pPr>
      <w:bookmarkStart w:id="4" w:name="bookmark4"/>
      <w:r>
        <w:rPr>
          <w:color w:val="000000"/>
          <w:spacing w:val="0"/>
          <w:w w:val="100"/>
          <w:position w:val="0"/>
          <w:shd w:val="clear" w:color="auto" w:fill="auto"/>
          <w:lang w:val="cs-CZ" w:eastAsia="cs-CZ" w:bidi="cs-CZ"/>
        </w:rPr>
        <w:t>Sporná práva a skutečnosti</w:t>
      </w:r>
      <w:bookmarkEnd w:id="4"/>
    </w:p>
    <w:p>
      <w:pPr>
        <w:pStyle w:val="Style4"/>
        <w:keepNext w:val="0"/>
        <w:keepLines w:val="0"/>
        <w:framePr w:w="9130" w:h="1877" w:hRule="exact" w:wrap="none" w:vAnchor="page" w:hAnchor="page" w:x="1385" w:y="1909"/>
        <w:widowControl w:val="0"/>
        <w:numPr>
          <w:ilvl w:val="1"/>
          <w:numId w:val="1"/>
        </w:numPr>
        <w:shd w:val="clear" w:color="auto" w:fill="auto"/>
        <w:tabs>
          <w:tab w:pos="675" w:val="left"/>
        </w:tabs>
        <w:bidi w:val="0"/>
        <w:spacing w:before="0"/>
        <w:ind w:left="700" w:right="0" w:hanging="700"/>
        <w:jc w:val="both"/>
      </w:pPr>
      <w:bookmarkStart w:id="6" w:name="bookmark6"/>
      <w:bookmarkStart w:id="7" w:name="bookmark7"/>
      <w:r>
        <w:rPr>
          <w:color w:val="000000"/>
          <w:spacing w:val="0"/>
          <w:w w:val="100"/>
          <w:position w:val="0"/>
          <w:shd w:val="clear" w:color="auto" w:fill="auto"/>
          <w:lang w:val="cs-CZ" w:eastAsia="cs-CZ" w:bidi="cs-CZ"/>
        </w:rPr>
        <w:t>Smluvní strany shodně prohlašují, že ke dni uzavření této Dohody jsou mezi nimi sporná práva a povinnosti, resp. skutečnosti:</w:t>
      </w:r>
      <w:bookmarkEnd w:id="6"/>
      <w:bookmarkEnd w:id="7"/>
    </w:p>
    <w:p>
      <w:pPr>
        <w:pStyle w:val="Style4"/>
        <w:keepNext w:val="0"/>
        <w:keepLines w:val="0"/>
        <w:framePr w:w="9130" w:h="1877" w:hRule="exact" w:wrap="none" w:vAnchor="page" w:hAnchor="page" w:x="1385" w:y="1909"/>
        <w:widowControl w:val="0"/>
        <w:numPr>
          <w:ilvl w:val="0"/>
          <w:numId w:val="3"/>
        </w:numPr>
        <w:shd w:val="clear" w:color="auto" w:fill="auto"/>
        <w:tabs>
          <w:tab w:pos="1372" w:val="left"/>
          <w:tab w:pos="1378" w:val="left"/>
        </w:tabs>
        <w:bidi w:val="0"/>
        <w:spacing w:before="0" w:after="0"/>
        <w:ind w:left="0" w:right="0" w:firstLine="500"/>
        <w:jc w:val="both"/>
      </w:pPr>
      <w:r>
        <w:rPr>
          <w:color w:val="000000"/>
          <w:spacing w:val="0"/>
          <w:w w:val="100"/>
          <w:position w:val="0"/>
          <w:shd w:val="clear" w:color="auto" w:fill="auto"/>
          <w:lang w:val="cs-CZ" w:eastAsia="cs-CZ" w:bidi="cs-CZ"/>
        </w:rPr>
        <w:t>Objednatel sporuje řádné provedení Díla Zhotovitelem co do části projektové</w:t>
      </w:r>
    </w:p>
    <w:p>
      <w:pPr>
        <w:pStyle w:val="Style4"/>
        <w:keepNext w:val="0"/>
        <w:keepLines w:val="0"/>
        <w:framePr w:w="9130" w:h="1877" w:hRule="exact" w:wrap="none" w:vAnchor="page" w:hAnchor="page" w:x="1385" w:y="1909"/>
        <w:widowControl w:val="0"/>
        <w:shd w:val="clear" w:color="auto" w:fill="auto"/>
        <w:bidi w:val="0"/>
        <w:spacing w:before="0"/>
        <w:ind w:left="1380" w:right="0" w:firstLine="0"/>
        <w:jc w:val="both"/>
      </w:pPr>
      <w:r>
        <w:rPr>
          <w:color w:val="000000"/>
          <w:spacing w:val="0"/>
          <w:w w:val="100"/>
          <w:position w:val="0"/>
          <w:shd w:val="clear" w:color="auto" w:fill="auto"/>
          <w:lang w:val="cs-CZ" w:eastAsia="cs-CZ" w:bidi="cs-CZ"/>
        </w:rPr>
        <w:t>dokumentace pro provádění stavby, a tedy i výši Dluhu;</w:t>
      </w:r>
    </w:p>
    <w:p>
      <w:pPr>
        <w:pStyle w:val="Style4"/>
        <w:keepNext w:val="0"/>
        <w:keepLines w:val="0"/>
        <w:framePr w:w="9130" w:h="1877" w:hRule="exact" w:wrap="none" w:vAnchor="page" w:hAnchor="page" w:x="1385" w:y="1909"/>
        <w:widowControl w:val="0"/>
        <w:numPr>
          <w:ilvl w:val="0"/>
          <w:numId w:val="3"/>
        </w:numPr>
        <w:shd w:val="clear" w:color="auto" w:fill="auto"/>
        <w:tabs>
          <w:tab w:pos="1372" w:val="left"/>
          <w:tab w:pos="1378" w:val="left"/>
        </w:tabs>
        <w:bidi w:val="0"/>
        <w:spacing w:before="0" w:after="0"/>
        <w:ind w:left="0" w:right="0" w:firstLine="500"/>
        <w:jc w:val="both"/>
      </w:pPr>
      <w:r>
        <w:rPr>
          <w:color w:val="000000"/>
          <w:spacing w:val="0"/>
          <w:w w:val="100"/>
          <w:position w:val="0"/>
          <w:shd w:val="clear" w:color="auto" w:fill="auto"/>
          <w:lang w:val="cs-CZ" w:eastAsia="cs-CZ" w:bidi="cs-CZ"/>
        </w:rPr>
        <w:t>Zhotovitel považuje svůj nárok na úhradu Dluhu za důvodný.</w:t>
      </w:r>
    </w:p>
    <w:p>
      <w:pPr>
        <w:pStyle w:val="Style7"/>
        <w:keepNext w:val="0"/>
        <w:keepLines w:val="0"/>
        <w:framePr w:w="9130" w:h="4896" w:hRule="exact" w:wrap="none" w:vAnchor="page" w:hAnchor="page" w:x="1385" w:y="4443"/>
        <w:widowControl w:val="0"/>
        <w:numPr>
          <w:ilvl w:val="0"/>
          <w:numId w:val="1"/>
        </w:numPr>
        <w:shd w:val="clear" w:color="auto" w:fill="auto"/>
        <w:tabs>
          <w:tab w:pos="427" w:val="left"/>
        </w:tabs>
        <w:bidi w:val="0"/>
        <w:spacing w:before="0"/>
        <w:ind w:left="0" w:right="0" w:firstLine="0"/>
        <w:jc w:val="center"/>
      </w:pPr>
      <w:bookmarkStart w:id="8" w:name="bookmark8"/>
      <w:r>
        <w:rPr>
          <w:color w:val="000000"/>
          <w:spacing w:val="0"/>
          <w:w w:val="100"/>
          <w:position w:val="0"/>
          <w:shd w:val="clear" w:color="auto" w:fill="auto"/>
          <w:lang w:val="cs-CZ" w:eastAsia="cs-CZ" w:bidi="cs-CZ"/>
        </w:rPr>
        <w:t>Narovnání</w:t>
      </w:r>
      <w:bookmarkEnd w:id="8"/>
    </w:p>
    <w:p>
      <w:pPr>
        <w:pStyle w:val="Style4"/>
        <w:keepNext w:val="0"/>
        <w:keepLines w:val="0"/>
        <w:framePr w:w="9130" w:h="4896" w:hRule="exact" w:wrap="none" w:vAnchor="page" w:hAnchor="page" w:x="1385" w:y="4443"/>
        <w:widowControl w:val="0"/>
        <w:numPr>
          <w:ilvl w:val="1"/>
          <w:numId w:val="1"/>
        </w:numPr>
        <w:shd w:val="clear" w:color="auto" w:fill="auto"/>
        <w:tabs>
          <w:tab w:pos="675" w:val="left"/>
        </w:tabs>
        <w:bidi w:val="0"/>
        <w:spacing w:before="0"/>
        <w:ind w:left="700" w:right="0" w:hanging="700"/>
        <w:jc w:val="both"/>
      </w:pPr>
      <w:r>
        <w:rPr>
          <w:color w:val="000000"/>
          <w:spacing w:val="0"/>
          <w:w w:val="100"/>
          <w:position w:val="0"/>
          <w:shd w:val="clear" w:color="auto" w:fill="auto"/>
          <w:lang w:val="cs-CZ" w:eastAsia="cs-CZ" w:bidi="cs-CZ"/>
        </w:rPr>
        <w:t xml:space="preserve">Vzhledem k tomu, že výše Dluhu je mezi stranami i nadále sporná, strany, vedeny snahou narovnat tato sporná práva a povinnosti, se dohodly tak, že uzavřením této Dohody se Dluh nahrazuje novým závazkem Objednatele vůči Zhotoviteli, a to závazkem Objednatele uhradit Zhotoviteli na místo Dluhu částku ve výši </w:t>
      </w:r>
      <w:r>
        <w:rPr>
          <w:b/>
          <w:bCs/>
          <w:color w:val="000000"/>
          <w:spacing w:val="0"/>
          <w:w w:val="100"/>
          <w:position w:val="0"/>
          <w:shd w:val="clear" w:color="auto" w:fill="auto"/>
          <w:lang w:val="cs-CZ" w:eastAsia="cs-CZ" w:bidi="cs-CZ"/>
        </w:rPr>
        <w:t xml:space="preserve">106 359,- Kč vč. DPH </w:t>
      </w:r>
      <w:r>
        <w:rPr>
          <w:color w:val="000000"/>
          <w:spacing w:val="0"/>
          <w:w w:val="100"/>
          <w:position w:val="0"/>
          <w:shd w:val="clear" w:color="auto" w:fill="auto"/>
          <w:lang w:val="cs-CZ" w:eastAsia="cs-CZ" w:bidi="cs-CZ"/>
        </w:rPr>
        <w:t>nejpozději do 15 dnů ode dne uzavření této Dohody (dále jen „</w:t>
      </w:r>
      <w:r>
        <w:rPr>
          <w:b/>
          <w:bCs/>
          <w:color w:val="000000"/>
          <w:spacing w:val="0"/>
          <w:w w:val="100"/>
          <w:position w:val="0"/>
          <w:shd w:val="clear" w:color="auto" w:fill="auto"/>
          <w:lang w:val="cs-CZ" w:eastAsia="cs-CZ" w:bidi="cs-CZ"/>
        </w:rPr>
        <w:t>Nový Dluh</w:t>
      </w:r>
      <w:r>
        <w:rPr>
          <w:color w:val="000000"/>
          <w:spacing w:val="0"/>
          <w:w w:val="100"/>
          <w:position w:val="0"/>
          <w:shd w:val="clear" w:color="auto" w:fill="auto"/>
          <w:lang w:val="cs-CZ" w:eastAsia="cs-CZ" w:bidi="cs-CZ"/>
        </w:rPr>
        <w:t>“).</w:t>
      </w:r>
    </w:p>
    <w:p>
      <w:pPr>
        <w:pStyle w:val="Style4"/>
        <w:keepNext w:val="0"/>
        <w:keepLines w:val="0"/>
        <w:framePr w:w="9130" w:h="4896" w:hRule="exact" w:wrap="none" w:vAnchor="page" w:hAnchor="page" w:x="1385" w:y="4443"/>
        <w:widowControl w:val="0"/>
        <w:numPr>
          <w:ilvl w:val="1"/>
          <w:numId w:val="1"/>
        </w:numPr>
        <w:shd w:val="clear" w:color="auto" w:fill="auto"/>
        <w:tabs>
          <w:tab w:pos="675" w:val="left"/>
        </w:tabs>
        <w:bidi w:val="0"/>
        <w:spacing w:before="0"/>
        <w:ind w:left="700" w:right="0" w:hanging="700"/>
        <w:jc w:val="both"/>
      </w:pPr>
      <w:r>
        <w:rPr>
          <w:color w:val="000000"/>
          <w:spacing w:val="0"/>
          <w:w w:val="100"/>
          <w:position w:val="0"/>
          <w:shd w:val="clear" w:color="auto" w:fill="auto"/>
          <w:lang w:val="cs-CZ" w:eastAsia="cs-CZ" w:bidi="cs-CZ"/>
        </w:rPr>
        <w:t>Zhotovitel se zavazuje bez zbytečného odkladu po uzavření této Dohody zrušit fakturu uvedenou v čl. 1.3 této Dohody a vystavit Objednateli fakturu novou, na Nový Dluh.</w:t>
      </w:r>
    </w:p>
    <w:p>
      <w:pPr>
        <w:pStyle w:val="Style4"/>
        <w:keepNext w:val="0"/>
        <w:keepLines w:val="0"/>
        <w:framePr w:w="9130" w:h="4896" w:hRule="exact" w:wrap="none" w:vAnchor="page" w:hAnchor="page" w:x="1385" w:y="4443"/>
        <w:widowControl w:val="0"/>
        <w:numPr>
          <w:ilvl w:val="1"/>
          <w:numId w:val="1"/>
        </w:numPr>
        <w:shd w:val="clear" w:color="auto" w:fill="auto"/>
        <w:tabs>
          <w:tab w:pos="675" w:val="left"/>
        </w:tabs>
        <w:bidi w:val="0"/>
        <w:spacing w:before="0"/>
        <w:ind w:left="700" w:right="0" w:hanging="700"/>
        <w:jc w:val="both"/>
      </w:pPr>
      <w:r>
        <w:rPr>
          <w:color w:val="000000"/>
          <w:spacing w:val="0"/>
          <w:w w:val="100"/>
          <w:position w:val="0"/>
          <w:shd w:val="clear" w:color="auto" w:fill="auto"/>
          <w:lang w:val="cs-CZ" w:eastAsia="cs-CZ" w:bidi="cs-CZ"/>
        </w:rPr>
        <w:t>Smluvní strany se dále dohodly, že v souvislosti se zánikem sporných práv a povinností uvedených v odst.</w:t>
      </w:r>
      <w:hyperlink w:anchor="bookmark7" w:tooltip="Current Document">
        <w:r>
          <w:rPr>
            <w:color w:val="000000"/>
            <w:spacing w:val="0"/>
            <w:w w:val="100"/>
            <w:position w:val="0"/>
            <w:shd w:val="clear" w:color="auto" w:fill="auto"/>
            <w:lang w:val="cs-CZ" w:eastAsia="cs-CZ" w:bidi="cs-CZ"/>
          </w:rPr>
          <w:t xml:space="preserve"> 2.1 </w:t>
        </w:r>
      </w:hyperlink>
      <w:r>
        <w:rPr>
          <w:color w:val="000000"/>
          <w:spacing w:val="0"/>
          <w:w w:val="100"/>
          <w:position w:val="0"/>
          <w:shd w:val="clear" w:color="auto" w:fill="auto"/>
          <w:lang w:val="cs-CZ" w:eastAsia="cs-CZ" w:bidi="cs-CZ"/>
        </w:rPr>
        <w:t>této Dohody nebudou v budoucnu vůči sobě vznášet žádné případné další nároky přímo či nepřímo související s nároky, jak jsou vymezeny v odstavci</w:t>
      </w:r>
      <w:hyperlink w:anchor="bookmark7" w:tooltip="Current Document">
        <w:r>
          <w:rPr>
            <w:color w:val="000000"/>
            <w:spacing w:val="0"/>
            <w:w w:val="100"/>
            <w:position w:val="0"/>
            <w:shd w:val="clear" w:color="auto" w:fill="auto"/>
            <w:lang w:val="cs-CZ" w:eastAsia="cs-CZ" w:bidi="cs-CZ"/>
          </w:rPr>
          <w:t xml:space="preserve"> 2.1.</w:t>
        </w:r>
      </w:hyperlink>
    </w:p>
    <w:p>
      <w:pPr>
        <w:pStyle w:val="Style4"/>
        <w:keepNext w:val="0"/>
        <w:keepLines w:val="0"/>
        <w:framePr w:w="9130" w:h="4896" w:hRule="exact" w:wrap="none" w:vAnchor="page" w:hAnchor="page" w:x="1385" w:y="4443"/>
        <w:widowControl w:val="0"/>
        <w:numPr>
          <w:ilvl w:val="1"/>
          <w:numId w:val="1"/>
        </w:numPr>
        <w:shd w:val="clear" w:color="auto" w:fill="auto"/>
        <w:tabs>
          <w:tab w:pos="675" w:val="left"/>
        </w:tabs>
        <w:bidi w:val="0"/>
        <w:spacing w:before="0" w:after="0"/>
        <w:ind w:left="700" w:right="0" w:hanging="700"/>
        <w:jc w:val="both"/>
      </w:pPr>
      <w:r>
        <w:rPr>
          <w:color w:val="000000"/>
          <w:spacing w:val="0"/>
          <w:w w:val="100"/>
          <w:position w:val="0"/>
          <w:shd w:val="clear" w:color="auto" w:fill="auto"/>
          <w:lang w:val="cs-CZ" w:eastAsia="cs-CZ" w:bidi="cs-CZ"/>
        </w:rPr>
        <w:t>Žádná další práva ani povinnosti kromě těch uvedených v odst. 3.1 až 3.3 této Dohody se mezi stranami nesjednávají.</w:t>
      </w:r>
    </w:p>
    <w:p>
      <w:pPr>
        <w:pStyle w:val="Style7"/>
        <w:keepNext w:val="0"/>
        <w:keepLines w:val="0"/>
        <w:framePr w:w="9130" w:h="5477" w:hRule="exact" w:wrap="none" w:vAnchor="page" w:hAnchor="page" w:x="1385" w:y="9997"/>
        <w:widowControl w:val="0"/>
        <w:numPr>
          <w:ilvl w:val="0"/>
          <w:numId w:val="1"/>
        </w:numPr>
        <w:shd w:val="clear" w:color="auto" w:fill="auto"/>
        <w:tabs>
          <w:tab w:pos="427" w:val="left"/>
        </w:tabs>
        <w:bidi w:val="0"/>
        <w:spacing w:before="0"/>
        <w:ind w:left="0" w:right="0" w:firstLine="0"/>
        <w:jc w:val="center"/>
      </w:pPr>
      <w:bookmarkStart w:id="10" w:name="bookmark10"/>
      <w:r>
        <w:rPr>
          <w:color w:val="000000"/>
          <w:spacing w:val="0"/>
          <w:w w:val="100"/>
          <w:position w:val="0"/>
          <w:shd w:val="clear" w:color="auto" w:fill="auto"/>
          <w:lang w:val="cs-CZ" w:eastAsia="cs-CZ" w:bidi="cs-CZ"/>
        </w:rPr>
        <w:t>Závěrečná ustanovení</w:t>
      </w:r>
      <w:bookmarkEnd w:id="10"/>
    </w:p>
    <w:p>
      <w:pPr>
        <w:pStyle w:val="Style4"/>
        <w:keepNext w:val="0"/>
        <w:keepLines w:val="0"/>
        <w:framePr w:w="9130" w:h="5477" w:hRule="exact" w:wrap="none" w:vAnchor="page" w:hAnchor="page" w:x="1385" w:y="9997"/>
        <w:widowControl w:val="0"/>
        <w:numPr>
          <w:ilvl w:val="1"/>
          <w:numId w:val="1"/>
        </w:numPr>
        <w:shd w:val="clear" w:color="auto" w:fill="auto"/>
        <w:tabs>
          <w:tab w:pos="675" w:val="left"/>
        </w:tabs>
        <w:bidi w:val="0"/>
        <w:spacing w:before="0"/>
        <w:ind w:left="700" w:right="0" w:hanging="700"/>
        <w:jc w:val="both"/>
      </w:pPr>
      <w:r>
        <w:rPr>
          <w:color w:val="000000"/>
          <w:spacing w:val="0"/>
          <w:w w:val="100"/>
          <w:position w:val="0"/>
          <w:shd w:val="clear" w:color="auto" w:fill="auto"/>
          <w:lang w:val="cs-CZ" w:eastAsia="cs-CZ" w:bidi="cs-CZ"/>
        </w:rPr>
        <w:t>Tato Dohoda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pPr>
        <w:pStyle w:val="Style4"/>
        <w:keepNext w:val="0"/>
        <w:keepLines w:val="0"/>
        <w:framePr w:w="9130" w:h="5477" w:hRule="exact" w:wrap="none" w:vAnchor="page" w:hAnchor="page" w:x="1385" w:y="9997"/>
        <w:widowControl w:val="0"/>
        <w:numPr>
          <w:ilvl w:val="1"/>
          <w:numId w:val="1"/>
        </w:numPr>
        <w:shd w:val="clear" w:color="auto" w:fill="auto"/>
        <w:tabs>
          <w:tab w:pos="675" w:val="left"/>
        </w:tabs>
        <w:bidi w:val="0"/>
        <w:spacing w:before="0"/>
        <w:ind w:left="700" w:right="0" w:hanging="700"/>
        <w:jc w:val="both"/>
      </w:pPr>
      <w:r>
        <w:rPr>
          <w:color w:val="000000"/>
          <w:spacing w:val="0"/>
          <w:w w:val="100"/>
          <w:position w:val="0"/>
          <w:shd w:val="clear" w:color="auto" w:fill="auto"/>
          <w:lang w:val="cs-CZ" w:eastAsia="cs-CZ" w:bidi="cs-CZ"/>
        </w:rPr>
        <w:t>Smluvní strany se dohodly, že Objednatel bezodkladně po uzavření této Dohody odešle tuto Dohodu k řádnému uveřejnění do registru smluv spravovaného Digitální a informační agenturou. O uveřejnění této Dohody Objednatel bezodkladně informuje druhou smluvní stranu, nebyl-li kontaktní údaj této smluvní strany uveden přímo do registru smluv jako kontakt pro notifikaci o uveřejnění.</w:t>
      </w:r>
    </w:p>
    <w:p>
      <w:pPr>
        <w:pStyle w:val="Style4"/>
        <w:keepNext w:val="0"/>
        <w:keepLines w:val="0"/>
        <w:framePr w:w="9130" w:h="5477" w:hRule="exact" w:wrap="none" w:vAnchor="page" w:hAnchor="page" w:x="1385" w:y="9997"/>
        <w:widowControl w:val="0"/>
        <w:numPr>
          <w:ilvl w:val="1"/>
          <w:numId w:val="1"/>
        </w:numPr>
        <w:shd w:val="clear" w:color="auto" w:fill="auto"/>
        <w:tabs>
          <w:tab w:pos="675" w:val="left"/>
        </w:tabs>
        <w:bidi w:val="0"/>
        <w:spacing w:before="0"/>
        <w:ind w:left="700" w:right="0" w:hanging="700"/>
        <w:jc w:val="both"/>
      </w:pPr>
      <w:r>
        <w:rPr>
          <w:color w:val="000000"/>
          <w:spacing w:val="0"/>
          <w:w w:val="100"/>
          <w:position w:val="0"/>
          <w:shd w:val="clear" w:color="auto" w:fill="auto"/>
          <w:lang w:val="cs-CZ" w:eastAsia="cs-CZ" w:bidi="cs-CZ"/>
        </w:rPr>
        <w:t>Smluvní strany prohlašují, že žádná část této Dohody nenaplňuje znaky obchodního tajemství podle § 504 občanského zákoníku.</w:t>
      </w:r>
    </w:p>
    <w:p>
      <w:pPr>
        <w:pStyle w:val="Style4"/>
        <w:keepNext w:val="0"/>
        <w:keepLines w:val="0"/>
        <w:framePr w:w="9130" w:h="5477" w:hRule="exact" w:wrap="none" w:vAnchor="page" w:hAnchor="page" w:x="1385" w:y="9997"/>
        <w:widowControl w:val="0"/>
        <w:numPr>
          <w:ilvl w:val="1"/>
          <w:numId w:val="1"/>
        </w:numPr>
        <w:shd w:val="clear" w:color="auto" w:fill="auto"/>
        <w:tabs>
          <w:tab w:pos="675" w:val="left"/>
        </w:tabs>
        <w:bidi w:val="0"/>
        <w:spacing w:before="0" w:after="0"/>
        <w:ind w:left="700" w:right="0" w:hanging="700"/>
        <w:jc w:val="both"/>
      </w:pPr>
      <w:r>
        <w:rPr>
          <w:color w:val="000000"/>
          <w:spacing w:val="0"/>
          <w:w w:val="100"/>
          <w:position w:val="0"/>
          <w:shd w:val="clear" w:color="auto" w:fill="auto"/>
          <w:lang w:val="cs-CZ" w:eastAsia="cs-CZ" w:bidi="cs-CZ"/>
        </w:rPr>
        <w:t>Je-li nebo stane-li se některé ustanovení této Dohody neplatným, nevymahatelným, neúčinným nebo protiprávním, nebude tímto dotčena nebo ovlivněna platnost, účinnost nebo vymahatelnost zbývajících ustanovení této Dohody. Jakákoliv vada této Dohody,</w:t>
      </w:r>
    </w:p>
    <w:p>
      <w:pPr>
        <w:pStyle w:val="Style12"/>
        <w:keepNext w:val="0"/>
        <w:keepLines w:val="0"/>
        <w:framePr w:wrap="none" w:vAnchor="page" w:hAnchor="page" w:x="5869" w:y="1590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4229735</wp:posOffset>
                </wp:positionH>
                <wp:positionV relativeFrom="page">
                  <wp:posOffset>7625715</wp:posOffset>
                </wp:positionV>
                <wp:extent cx="743585" cy="0"/>
                <wp:wrapNone/>
                <wp:docPr id="1" name="Shape 1"/>
                <a:graphic xmlns:a="http://schemas.openxmlformats.org/drawingml/2006/main">
                  <a:graphicData uri="http://schemas.microsoft.com/office/word/2010/wordprocessingShape">
                    <wps:wsp>
                      <wps:cNvCnPr/>
                      <wps:spPr>
                        <a:xfrm>
                          <a:ext cx="743585" cy="0"/>
                        </a:xfrm>
                        <a:prstGeom prst="straightConnector1"/>
                        <a:ln w="12065">
                          <a:solidFill/>
                        </a:ln>
                      </wps:spPr>
                      <wps:bodyPr/>
                    </wps:wsp>
                  </a:graphicData>
                </a:graphic>
              </wp:anchor>
            </w:drawing>
          </mc:Choice>
          <mc:Fallback>
            <w:pict>
              <v:shape o:spt="32" o:oned="true" path="m,l21600,21600e" style="position:absolute;margin-left:333.05000000000001pt;margin-top:600.45000000000005pt;width:58.550000000000004pt;height:0;z-index:-251658240;mso-position-horizontal-relative:page;mso-position-vertical-relative:page">
                <v:stroke weight="0.95000000000000007pt"/>
              </v:shape>
            </w:pict>
          </mc:Fallback>
        </mc:AlternateContent>
      </w:r>
      <w:r>
        <mc:AlternateContent>
          <mc:Choice Requires="wps">
            <w:drawing>
              <wp:anchor simplePos="0" relativeHeight="2" behindDoc="1" locked="0" layoutInCell="1" allowOverlap="1">
                <wp:simplePos x="0" y="0"/>
                <wp:positionH relativeFrom="page">
                  <wp:posOffset>5034280</wp:posOffset>
                </wp:positionH>
                <wp:positionV relativeFrom="page">
                  <wp:posOffset>7625715</wp:posOffset>
                </wp:positionV>
                <wp:extent cx="1295400" cy="0"/>
                <wp:wrapNone/>
                <wp:docPr id="2" name="Shape 2"/>
                <a:graphic xmlns:a="http://schemas.openxmlformats.org/drawingml/2006/main">
                  <a:graphicData uri="http://schemas.microsoft.com/office/word/2010/wordprocessingShape">
                    <wps:wsp>
                      <wps:cNvCnPr/>
                      <wps:spPr>
                        <a:xfrm>
                          <a:ext cx="1295400" cy="0"/>
                        </a:xfrm>
                        <a:prstGeom prst="straightConnector1"/>
                        <a:ln w="12065">
                          <a:solidFill/>
                        </a:ln>
                      </wps:spPr>
                      <wps:bodyPr/>
                    </wps:wsp>
                  </a:graphicData>
                </a:graphic>
              </wp:anchor>
            </w:drawing>
          </mc:Choice>
          <mc:Fallback>
            <w:pict>
              <v:shape o:spt="32" o:oned="true" path="m,l21600,21600e" style="position:absolute;margin-left:396.40000000000003pt;margin-top:600.45000000000005pt;width:102.pt;height:0;z-index:-251658240;mso-position-horizontal-relative:page;mso-position-vertical-relative:page">
                <v:stroke weight="0.95000000000000007pt"/>
              </v:shape>
            </w:pict>
          </mc:Fallback>
        </mc:AlternateContent>
      </w:r>
    </w:p>
    <w:p>
      <w:pPr>
        <w:pStyle w:val="Style4"/>
        <w:keepNext w:val="0"/>
        <w:keepLines w:val="0"/>
        <w:framePr w:w="9139" w:h="7421" w:hRule="exact" w:wrap="none" w:vAnchor="page" w:hAnchor="page" w:x="1382" w:y="1421"/>
        <w:widowControl w:val="0"/>
        <w:shd w:val="clear" w:color="auto" w:fill="auto"/>
        <w:bidi w:val="0"/>
        <w:spacing w:before="0" w:after="200"/>
        <w:ind w:left="680" w:right="0" w:firstLine="20"/>
        <w:jc w:val="both"/>
      </w:pPr>
      <w:r>
        <w:rPr>
          <w:color w:val="000000"/>
          <w:spacing w:val="0"/>
          <w:w w:val="100"/>
          <w:position w:val="0"/>
          <w:shd w:val="clear" w:color="auto" w:fill="auto"/>
          <w:lang w:val="cs-CZ" w:eastAsia="cs-CZ" w:bidi="cs-CZ"/>
        </w:rPr>
        <w:t>která by měla vzniknout z takové neplatnosti nebo neúčinnosti některého ustanovení, bude dodatečně upravena výkladem této Dohody, který musí respektovat zájmy smluvních stran. Smluvní strany se zavazují nahradit takové neplatné nebo neúčinné ustanovení ustanovením platným či vynutitelným se stejným nebo alespoň obdobným obsahem.</w:t>
      </w:r>
    </w:p>
    <w:p>
      <w:pPr>
        <w:pStyle w:val="Style4"/>
        <w:keepNext w:val="0"/>
        <w:keepLines w:val="0"/>
        <w:framePr w:w="9139" w:h="7421" w:hRule="exact" w:wrap="none" w:vAnchor="page" w:hAnchor="page" w:x="1382" w:y="1421"/>
        <w:widowControl w:val="0"/>
        <w:shd w:val="clear" w:color="auto" w:fill="auto"/>
        <w:tabs>
          <w:tab w:pos="677" w:val="left"/>
        </w:tabs>
        <w:bidi w:val="0"/>
        <w:spacing w:before="0" w:after="200"/>
        <w:ind w:left="680" w:right="0" w:hanging="680"/>
        <w:jc w:val="both"/>
      </w:pPr>
      <w:r>
        <w:rPr>
          <w:color w:val="000000"/>
          <w:spacing w:val="0"/>
          <w:w w:val="100"/>
          <w:position w:val="0"/>
          <w:shd w:val="clear" w:color="auto" w:fill="auto"/>
          <w:lang w:val="cs-CZ" w:eastAsia="cs-CZ" w:bidi="cs-CZ"/>
        </w:rPr>
        <w:t>4.5.</w:t>
        <w:tab/>
        <w:t>Tato Dohoda představuje jedinou a úplnou dohodu mezi stranami týkající se předmětu Dohody a nahrazuje veškeré předchozí dohody, návrhy, nabídky a/nebo jakákoli jiná ujednání mezi smluvními stranami týkající se téhož předmětu. Měnit nebo doplňovat podmínky sjednané touto Dohodou je možno jen se souhlasem obou smluvních stran, a to pouze formou písemných, vzestupně číslovaných a takto označených dodatků, které se stanou nedílnou součástí této Dohody.</w:t>
      </w:r>
    </w:p>
    <w:p>
      <w:pPr>
        <w:pStyle w:val="Style4"/>
        <w:keepNext w:val="0"/>
        <w:keepLines w:val="0"/>
        <w:framePr w:w="9139" w:h="7421" w:hRule="exact" w:wrap="none" w:vAnchor="page" w:hAnchor="page" w:x="1382" w:y="1421"/>
        <w:widowControl w:val="0"/>
        <w:shd w:val="clear" w:color="auto" w:fill="auto"/>
        <w:tabs>
          <w:tab w:pos="677" w:val="left"/>
        </w:tabs>
        <w:bidi w:val="0"/>
        <w:spacing w:before="0" w:after="200"/>
        <w:ind w:left="680" w:right="0" w:hanging="680"/>
        <w:jc w:val="both"/>
      </w:pPr>
      <w:r>
        <w:rPr>
          <w:color w:val="000000"/>
          <w:spacing w:val="0"/>
          <w:w w:val="100"/>
          <w:position w:val="0"/>
          <w:shd w:val="clear" w:color="auto" w:fill="auto"/>
          <w:lang w:val="cs-CZ" w:eastAsia="cs-CZ" w:bidi="cs-CZ"/>
        </w:rPr>
        <w:t>4.6.</w:t>
        <w:tab/>
        <w:t>Smluvní strany na sebe berou nebezpečí změny okolností ve smyslu ustanovení § 1765 občanského zákoníku.</w:t>
      </w:r>
    </w:p>
    <w:p>
      <w:pPr>
        <w:pStyle w:val="Style4"/>
        <w:keepNext w:val="0"/>
        <w:keepLines w:val="0"/>
        <w:framePr w:w="9139" w:h="7421" w:hRule="exact" w:wrap="none" w:vAnchor="page" w:hAnchor="page" w:x="1382" w:y="1421"/>
        <w:widowControl w:val="0"/>
        <w:shd w:val="clear" w:color="auto" w:fill="auto"/>
        <w:tabs>
          <w:tab w:pos="677" w:val="left"/>
        </w:tabs>
        <w:bidi w:val="0"/>
        <w:spacing w:before="0" w:after="200"/>
        <w:ind w:left="680" w:right="0" w:hanging="680"/>
        <w:jc w:val="both"/>
      </w:pPr>
      <w:r>
        <w:rPr>
          <w:color w:val="000000"/>
          <w:spacing w:val="0"/>
          <w:w w:val="100"/>
          <w:position w:val="0"/>
          <w:shd w:val="clear" w:color="auto" w:fill="auto"/>
          <w:lang w:val="cs-CZ" w:eastAsia="cs-CZ" w:bidi="cs-CZ"/>
        </w:rPr>
        <w:t>4.7.</w:t>
        <w:tab/>
        <w:t>Smluvní strany berou na vědomí, že nebude-li tato Dohoda zveřejněna ani do tří měsíců ode dne jejího uzavření, je následujícím dnem zrušena od počátku s účinky případného bezdůvodného obohacení</w:t>
      </w:r>
    </w:p>
    <w:p>
      <w:pPr>
        <w:pStyle w:val="Style4"/>
        <w:keepNext w:val="0"/>
        <w:keepLines w:val="0"/>
        <w:framePr w:w="9139" w:h="7421" w:hRule="exact" w:wrap="none" w:vAnchor="page" w:hAnchor="page" w:x="1382" w:y="1421"/>
        <w:widowControl w:val="0"/>
        <w:shd w:val="clear" w:color="auto" w:fill="auto"/>
        <w:tabs>
          <w:tab w:pos="677" w:val="left"/>
        </w:tabs>
        <w:bidi w:val="0"/>
        <w:spacing w:before="0" w:after="200"/>
        <w:ind w:left="680" w:right="0" w:hanging="680"/>
        <w:jc w:val="both"/>
      </w:pPr>
      <w:r>
        <w:rPr>
          <w:color w:val="000000"/>
          <w:spacing w:val="0"/>
          <w:w w:val="100"/>
          <w:position w:val="0"/>
          <w:shd w:val="clear" w:color="auto" w:fill="auto"/>
          <w:lang w:val="cs-CZ" w:eastAsia="cs-CZ" w:bidi="cs-CZ"/>
        </w:rPr>
        <w:t>4.8.</w:t>
        <w:tab/>
        <w:t>Tato Dohoda je vyhotovena pouze v jednom elektronickém vyhotovení splatností originálu.</w:t>
      </w:r>
    </w:p>
    <w:p>
      <w:pPr>
        <w:pStyle w:val="Style4"/>
        <w:keepNext w:val="0"/>
        <w:keepLines w:val="0"/>
        <w:framePr w:w="9139" w:h="7421" w:hRule="exact" w:wrap="none" w:vAnchor="page" w:hAnchor="page" w:x="1382" w:y="1421"/>
        <w:widowControl w:val="0"/>
        <w:shd w:val="clear" w:color="auto" w:fill="auto"/>
        <w:tabs>
          <w:tab w:pos="677" w:val="left"/>
        </w:tabs>
        <w:bidi w:val="0"/>
        <w:spacing w:before="0" w:after="0"/>
        <w:ind w:left="680" w:right="0" w:hanging="680"/>
        <w:jc w:val="both"/>
      </w:pPr>
      <w:r>
        <w:rPr>
          <w:color w:val="000000"/>
          <w:spacing w:val="0"/>
          <w:w w:val="100"/>
          <w:position w:val="0"/>
          <w:shd w:val="clear" w:color="auto" w:fill="auto"/>
          <w:lang w:val="cs-CZ" w:eastAsia="cs-CZ" w:bidi="cs-CZ"/>
        </w:rPr>
        <w:t>4.9.</w:t>
        <w:tab/>
        <w:t>Smluvní strany prohlašují, že se s obsahem této Dohody podrobně seznámily, prohlašují rovněž, že Dohoda představuje úplný projev jejich svobodné a vážné vůle a nebyla ujednána v tísni a/nebo za nápadně nevýhodných podmínek a na důkaz pravdivosti tohoto prohlášení připojují k textu Dohody své elektronické podpisy.</w:t>
      </w:r>
    </w:p>
    <w:p>
      <w:pPr>
        <w:pStyle w:val="Style4"/>
        <w:keepNext w:val="0"/>
        <w:keepLines w:val="0"/>
        <w:framePr w:w="9139" w:h="1498" w:hRule="exact" w:wrap="none" w:vAnchor="page" w:hAnchor="page" w:x="1382" w:y="9514"/>
        <w:widowControl w:val="0"/>
        <w:shd w:val="clear" w:color="auto" w:fill="auto"/>
        <w:bidi w:val="0"/>
        <w:spacing w:before="0" w:after="200" w:line="240" w:lineRule="auto"/>
        <w:ind w:left="0" w:right="0" w:firstLine="0"/>
        <w:jc w:val="both"/>
      </w:pPr>
      <w:r>
        <w:rPr>
          <w:color w:val="000000"/>
          <w:spacing w:val="0"/>
          <w:w w:val="100"/>
          <w:position w:val="0"/>
          <w:u w:val="single"/>
          <w:shd w:val="clear" w:color="auto" w:fill="auto"/>
          <w:lang w:val="cs-CZ" w:eastAsia="cs-CZ" w:bidi="cs-CZ"/>
        </w:rPr>
        <w:t>Doložka dle § 41 zákona č. 128/2000 Sb., o obcích, v platném znění:</w:t>
      </w:r>
    </w:p>
    <w:p>
      <w:pPr>
        <w:pStyle w:val="Style4"/>
        <w:keepNext w:val="0"/>
        <w:keepLines w:val="0"/>
        <w:framePr w:w="9139" w:h="1498" w:hRule="exact" w:wrap="none" w:vAnchor="page" w:hAnchor="page" w:x="1382" w:y="9514"/>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Schváleno usnesením Rady města Pardubice dne 17.09.2025 č. usnesení R/6339/2025.</w:t>
      </w:r>
    </w:p>
    <w:p>
      <w:pPr>
        <w:pStyle w:val="Style4"/>
        <w:keepNext w:val="0"/>
        <w:keepLines w:val="0"/>
        <w:framePr w:w="9139" w:h="1498" w:hRule="exact" w:wrap="none" w:vAnchor="page" w:hAnchor="page" w:x="1382" w:y="9514"/>
        <w:widowControl w:val="0"/>
        <w:shd w:val="clear" w:color="auto" w:fill="auto"/>
        <w:tabs>
          <w:tab w:leader="dot" w:pos="2011" w:val="right"/>
          <w:tab w:leader="dot" w:pos="2693" w:val="left"/>
          <w:tab w:pos="4603" w:val="left"/>
          <w:tab w:leader="dot" w:pos="6149" w:val="left"/>
          <w:tab w:leader="dot" w:pos="7301" w:val="left"/>
        </w:tabs>
        <w:bidi w:val="0"/>
        <w:spacing w:before="0" w:after="0" w:line="240" w:lineRule="auto"/>
        <w:ind w:left="0" w:right="0" w:firstLine="0"/>
        <w:jc w:val="both"/>
      </w:pPr>
      <w:r>
        <w:rPr>
          <w:color w:val="000000"/>
          <w:spacing w:val="0"/>
          <w:w w:val="100"/>
          <w:position w:val="0"/>
          <w:shd w:val="clear" w:color="auto" w:fill="auto"/>
          <w:lang w:val="cs-CZ" w:eastAsia="cs-CZ" w:bidi="cs-CZ"/>
        </w:rPr>
        <w:t>V</w:t>
        <w:tab/>
        <w:t xml:space="preserve"> dne</w:t>
        <w:tab/>
        <w:t xml:space="preserve"> 2025</w:t>
        <w:tab/>
        <w:t>V</w:t>
        <w:tab/>
        <w:t xml:space="preserve"> dne</w:t>
        <w:tab/>
        <w:t xml:space="preserve"> 2025</w:t>
      </w:r>
    </w:p>
    <w:p>
      <w:pPr>
        <w:pStyle w:val="Style4"/>
        <w:keepNext w:val="0"/>
        <w:keepLines w:val="0"/>
        <w:framePr w:w="2909" w:h="528" w:hRule="exact" w:wrap="none" w:vAnchor="page" w:hAnchor="page" w:x="2265" w:y="12101"/>
        <w:widowControl w:val="0"/>
        <w:pBdr>
          <w:top w:val="single" w:sz="4" w:space="0" w:color="auto"/>
        </w:pBdr>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Statutární město Pardubice</w:t>
        <w:br/>
        <w:t>Bc. Jan Nadrchal, primátor</w:t>
      </w:r>
    </w:p>
    <w:p>
      <w:pPr>
        <w:pStyle w:val="Style4"/>
        <w:keepNext w:val="0"/>
        <w:keepLines w:val="0"/>
        <w:framePr w:w="2688" w:h="566" w:hRule="exact" w:wrap="none" w:vAnchor="page" w:hAnchor="page" w:x="6984" w:y="1206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M-tech, s.r.o.</w:t>
      </w:r>
    </w:p>
    <w:p>
      <w:pPr>
        <w:pStyle w:val="Style4"/>
        <w:keepNext w:val="0"/>
        <w:keepLines w:val="0"/>
        <w:framePr w:w="2688" w:h="566" w:hRule="exact" w:wrap="none" w:vAnchor="page" w:hAnchor="page" w:x="6984" w:y="1206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Martin Štěpánek, jednatel</w:t>
      </w:r>
    </w:p>
    <w:p>
      <w:pPr>
        <w:pStyle w:val="Style12"/>
        <w:keepNext w:val="0"/>
        <w:keepLines w:val="0"/>
        <w:framePr w:wrap="none" w:vAnchor="page" w:hAnchor="page" w:x="5870" w:y="159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bCs/>
      <w:i w:val="0"/>
      <w:iCs w:val="0"/>
      <w:smallCaps w:val="0"/>
      <w:strike w:val="0"/>
      <w:sz w:val="32"/>
      <w:szCs w:val="32"/>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Nadpis #2_"/>
    <w:basedOn w:val="DefaultParagraphFont"/>
    <w:link w:val="Style7"/>
    <w:rPr>
      <w:rFonts w:ascii="Arial" w:eastAsia="Arial" w:hAnsi="Arial" w:cs="Arial"/>
      <w:b/>
      <w:bCs/>
      <w:i w:val="0"/>
      <w:iCs w:val="0"/>
      <w:smallCaps w:val="0"/>
      <w:strike w:val="0"/>
      <w:sz w:val="22"/>
      <w:szCs w:val="22"/>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Záhlaví nebo zápatí_"/>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Nadpis #1"/>
    <w:basedOn w:val="Normal"/>
    <w:link w:val="CharStyle3"/>
    <w:pPr>
      <w:widowControl w:val="0"/>
      <w:shd w:val="clear" w:color="auto" w:fill="auto"/>
      <w:spacing w:after="400"/>
      <w:jc w:val="center"/>
      <w:outlineLvl w:val="0"/>
    </w:pPr>
    <w:rPr>
      <w:rFonts w:ascii="Arial" w:eastAsia="Arial" w:hAnsi="Arial" w:cs="Arial"/>
      <w:b/>
      <w:bCs/>
      <w:i w:val="0"/>
      <w:iCs w:val="0"/>
      <w:smallCaps w:val="0"/>
      <w:strike w:val="0"/>
      <w:sz w:val="32"/>
      <w:szCs w:val="32"/>
      <w:u w:val="none"/>
    </w:rPr>
  </w:style>
  <w:style w:type="paragraph" w:customStyle="1" w:styleId="Style4">
    <w:name w:val="Základní text"/>
    <w:basedOn w:val="Normal"/>
    <w:link w:val="CharStyle5"/>
    <w:pPr>
      <w:widowControl w:val="0"/>
      <w:shd w:val="clear" w:color="auto" w:fill="auto"/>
      <w:spacing w:after="180" w:line="276" w:lineRule="auto"/>
    </w:pPr>
    <w:rPr>
      <w:rFonts w:ascii="Arial" w:eastAsia="Arial" w:hAnsi="Arial" w:cs="Arial"/>
      <w:b w:val="0"/>
      <w:bCs w:val="0"/>
      <w:i w:val="0"/>
      <w:iCs w:val="0"/>
      <w:smallCaps w:val="0"/>
      <w:strike w:val="0"/>
      <w:sz w:val="22"/>
      <w:szCs w:val="22"/>
      <w:u w:val="none"/>
    </w:rPr>
  </w:style>
  <w:style w:type="paragraph" w:customStyle="1" w:styleId="Style7">
    <w:name w:val="Nadpis #2"/>
    <w:basedOn w:val="Normal"/>
    <w:link w:val="CharStyle8"/>
    <w:pPr>
      <w:widowControl w:val="0"/>
      <w:shd w:val="clear" w:color="auto" w:fill="auto"/>
      <w:spacing w:after="180" w:line="276" w:lineRule="auto"/>
      <w:jc w:val="center"/>
      <w:outlineLvl w:val="1"/>
    </w:pPr>
    <w:rPr>
      <w:rFonts w:ascii="Arial" w:eastAsia="Arial" w:hAnsi="Arial" w:cs="Arial"/>
      <w:b/>
      <w:bCs/>
      <w:i w:val="0"/>
      <w:iCs w:val="0"/>
      <w:smallCaps w:val="0"/>
      <w:strike w:val="0"/>
      <w:sz w:val="22"/>
      <w:szCs w:val="22"/>
      <w:u w:val="none"/>
    </w:rPr>
  </w:style>
  <w:style w:type="paragraph" w:customStyle="1" w:styleId="Style9">
    <w:name w:val="Záhlaví nebo zápatí (2)"/>
    <w:basedOn w:val="Normal"/>
    <w:link w:val="CharStyle10"/>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Záhlaví nebo zápatí"/>
    <w:basedOn w:val="Normal"/>
    <w:link w:val="CharStyle13"/>
    <w:pPr>
      <w:widowControl w:val="0"/>
      <w:shd w:val="clear" w:color="auto" w:fill="auto"/>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Patrik Čihak</dc:creator>
  <cp:keywords/>
</cp:coreProperties>
</file>