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786776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70112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830" to="574,1283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381" w:val="left" w:leader="none"/>
        </w:tabs>
        <w:spacing w:before="1"/>
        <w:ind w:right="7965"/>
        <w:jc w:val="right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IT-PRO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s.r.o.</w:t>
      </w:r>
    </w:p>
    <w:p>
      <w:pPr>
        <w:pStyle w:val="BodyText"/>
        <w:spacing w:before="5"/>
        <w:ind w:right="7938"/>
        <w:jc w:val="right"/>
      </w:pPr>
      <w:r>
        <w:rPr>
          <w:spacing w:val="-2"/>
          <w:w w:val="105"/>
        </w:rPr>
        <w:t>Šlejnarova36</w:t>
      </w:r>
    </w:p>
    <w:p>
      <w:pPr>
        <w:pStyle w:val="BodyText"/>
        <w:spacing w:before="6"/>
        <w:ind w:left="1574"/>
      </w:pPr>
      <w:r>
        <w:rPr>
          <w:w w:val="105"/>
        </w:rPr>
        <w:t>509</w:t>
      </w:r>
      <w:r>
        <w:rPr>
          <w:spacing w:val="7"/>
          <w:w w:val="105"/>
        </w:rPr>
        <w:t> </w:t>
      </w:r>
      <w:r>
        <w:rPr>
          <w:w w:val="105"/>
        </w:rPr>
        <w:t>01</w:t>
      </w:r>
      <w:r>
        <w:rPr>
          <w:spacing w:val="8"/>
          <w:w w:val="105"/>
        </w:rPr>
        <w:t> </w:t>
      </w:r>
      <w:r>
        <w:rPr>
          <w:w w:val="105"/>
        </w:rPr>
        <w:t>Nová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Paja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28786921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CZ28786921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OA2025044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7415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Michal Čumpl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+420 777 670 598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8">
        <w:r>
          <w:rPr>
            <w:spacing w:val="-2"/>
          </w:rPr>
          <w:t>michal.cumpl@ddmalfa.cz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13"/>
          <w:w w:val="105"/>
        </w:rPr>
        <w:t> </w:t>
      </w:r>
      <w:r>
        <w:rPr>
          <w:w w:val="105"/>
        </w:rPr>
        <w:t>u</w:t>
      </w:r>
      <w:r>
        <w:rPr>
          <w:spacing w:val="14"/>
          <w:w w:val="105"/>
        </w:rPr>
        <w:t> </w:t>
      </w:r>
      <w:r>
        <w:rPr>
          <w:w w:val="105"/>
        </w:rPr>
        <w:t>Vás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notebooky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3ks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-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Lenovo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ThinkBook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16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G7,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Ryzen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5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7535HS,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16"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WUXGA,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16GB,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512GB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SSD,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AMD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660M,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W11P,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5Y</w:t>
      </w:r>
      <w:r>
        <w:rPr>
          <w:spacing w:val="21"/>
          <w:w w:val="105"/>
          <w:sz w:val="21"/>
        </w:rPr>
        <w:t> </w:t>
      </w:r>
      <w:r>
        <w:rPr>
          <w:spacing w:val="-5"/>
          <w:w w:val="105"/>
          <w:sz w:val="21"/>
        </w:rPr>
        <w:t>On-</w:t>
      </w:r>
    </w:p>
    <w:p>
      <w:pPr>
        <w:pStyle w:val="BodyText"/>
        <w:spacing w:before="32"/>
        <w:ind w:left="141"/>
      </w:pPr>
      <w:r>
        <w:rPr>
          <w:spacing w:val="-4"/>
          <w:w w:val="110"/>
        </w:rPr>
        <w:t>Site</w:t>
      </w:r>
    </w:p>
    <w:p>
      <w:pPr>
        <w:pStyle w:val="BodyText"/>
        <w:tabs>
          <w:tab w:pos="4662" w:val="left" w:leader="dot"/>
        </w:tabs>
        <w:spacing w:before="33"/>
        <w:ind w:left="141"/>
      </w:pPr>
      <w:r>
        <w:rPr>
          <w:w w:val="110"/>
        </w:rPr>
        <w:t>Cena</w:t>
      </w:r>
      <w:r>
        <w:rPr>
          <w:spacing w:val="-8"/>
          <w:w w:val="110"/>
        </w:rPr>
        <w:t> </w:t>
      </w:r>
      <w:r>
        <w:rPr>
          <w:w w:val="110"/>
        </w:rPr>
        <w:t>26</w:t>
      </w:r>
      <w:r>
        <w:rPr>
          <w:spacing w:val="-7"/>
          <w:w w:val="110"/>
        </w:rPr>
        <w:t> </w:t>
      </w:r>
      <w:r>
        <w:rPr>
          <w:w w:val="110"/>
        </w:rPr>
        <w:t>438,017</w:t>
      </w:r>
      <w:r>
        <w:rPr>
          <w:spacing w:val="-8"/>
          <w:w w:val="110"/>
        </w:rPr>
        <w:t> </w:t>
      </w:r>
      <w:r>
        <w:rPr>
          <w:w w:val="110"/>
        </w:rPr>
        <w:t>Kč/ks</w:t>
      </w:r>
      <w:r>
        <w:rPr>
          <w:spacing w:val="-7"/>
          <w:w w:val="110"/>
        </w:rPr>
        <w:t> </w:t>
      </w:r>
      <w:r>
        <w:rPr>
          <w:w w:val="120"/>
        </w:rPr>
        <w:t>.....</w:t>
      </w:r>
      <w:r>
        <w:rPr>
          <w:spacing w:val="-12"/>
          <w:w w:val="120"/>
        </w:rPr>
        <w:t> </w:t>
      </w:r>
      <w:r>
        <w:rPr>
          <w:w w:val="110"/>
        </w:rPr>
        <w:t>celkem</w:t>
      </w:r>
      <w:r>
        <w:rPr>
          <w:spacing w:val="-7"/>
          <w:w w:val="110"/>
        </w:rPr>
        <w:t> </w:t>
      </w:r>
      <w:r>
        <w:rPr>
          <w:w w:val="110"/>
        </w:rPr>
        <w:t>za</w:t>
      </w:r>
      <w:r>
        <w:rPr>
          <w:spacing w:val="-8"/>
          <w:w w:val="110"/>
        </w:rPr>
        <w:t> </w:t>
      </w:r>
      <w:r>
        <w:rPr>
          <w:w w:val="110"/>
        </w:rPr>
        <w:t>3</w:t>
      </w:r>
      <w:r>
        <w:rPr>
          <w:spacing w:val="-7"/>
          <w:w w:val="110"/>
        </w:rPr>
        <w:t> </w:t>
      </w:r>
      <w:r>
        <w:rPr>
          <w:spacing w:val="-5"/>
          <w:w w:val="110"/>
        </w:rPr>
        <w:t>ks</w:t>
      </w:r>
      <w:r>
        <w:rPr/>
        <w:tab/>
      </w:r>
      <w:r>
        <w:rPr>
          <w:w w:val="110"/>
        </w:rPr>
        <w:t>79</w:t>
      </w:r>
      <w:r>
        <w:rPr>
          <w:spacing w:val="-10"/>
          <w:w w:val="110"/>
        </w:rPr>
        <w:t> </w:t>
      </w:r>
      <w:r>
        <w:rPr>
          <w:w w:val="110"/>
        </w:rPr>
        <w:t>314,05</w:t>
      </w:r>
      <w:r>
        <w:rPr>
          <w:spacing w:val="-9"/>
          <w:w w:val="110"/>
        </w:rPr>
        <w:t> </w:t>
      </w:r>
      <w:r>
        <w:rPr>
          <w:w w:val="110"/>
        </w:rPr>
        <w:t>Kč</w:t>
      </w:r>
      <w:r>
        <w:rPr>
          <w:spacing w:val="-9"/>
          <w:w w:val="110"/>
        </w:rPr>
        <w:t> </w:t>
      </w:r>
      <w:r>
        <w:rPr>
          <w:w w:val="110"/>
        </w:rPr>
        <w:t>bez</w:t>
      </w:r>
      <w:r>
        <w:rPr>
          <w:spacing w:val="-9"/>
          <w:w w:val="110"/>
        </w:rPr>
        <w:t> </w:t>
      </w:r>
      <w:r>
        <w:rPr>
          <w:spacing w:val="-5"/>
          <w:w w:val="110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1ks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Lenovo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ThinkPad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L16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Gen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2,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Ryzen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7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PRO-250,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16"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WUXGA,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32GB,1TB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SSD,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AMD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780,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W11P,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5Y</w:t>
      </w:r>
      <w:r>
        <w:rPr>
          <w:spacing w:val="-6"/>
          <w:w w:val="110"/>
          <w:sz w:val="21"/>
        </w:rPr>
        <w:t> </w:t>
      </w:r>
      <w:r>
        <w:rPr>
          <w:spacing w:val="-5"/>
          <w:w w:val="110"/>
          <w:sz w:val="21"/>
        </w:rPr>
        <w:t>On-</w:t>
      </w:r>
    </w:p>
    <w:p>
      <w:pPr>
        <w:pStyle w:val="BodyText"/>
        <w:spacing w:before="33"/>
        <w:ind w:left="141"/>
      </w:pPr>
      <w:r>
        <w:rPr>
          <w:spacing w:val="-4"/>
          <w:w w:val="110"/>
        </w:rPr>
        <w:t>Site</w:t>
      </w:r>
    </w:p>
    <w:p>
      <w:pPr>
        <w:pStyle w:val="BodyText"/>
        <w:spacing w:before="32"/>
        <w:ind w:left="141"/>
      </w:pPr>
      <w:r>
        <w:rPr>
          <w:w w:val="105"/>
        </w:rPr>
        <w:t>Cena</w:t>
      </w:r>
      <w:r>
        <w:rPr>
          <w:spacing w:val="15"/>
          <w:w w:val="105"/>
        </w:rPr>
        <w:t> </w:t>
      </w:r>
      <w:r>
        <w:rPr>
          <w:w w:val="105"/>
        </w:rPr>
        <w:t>30</w:t>
      </w:r>
      <w:r>
        <w:rPr>
          <w:spacing w:val="15"/>
          <w:w w:val="105"/>
        </w:rPr>
        <w:t> </w:t>
      </w:r>
      <w:r>
        <w:rPr>
          <w:w w:val="105"/>
        </w:rPr>
        <w:t>577,69</w:t>
      </w:r>
      <w:r>
        <w:rPr>
          <w:spacing w:val="15"/>
          <w:w w:val="105"/>
        </w:rPr>
        <w:t> </w:t>
      </w:r>
      <w:r>
        <w:rPr>
          <w:w w:val="105"/>
        </w:rPr>
        <w:t>Kč</w:t>
      </w:r>
      <w:r>
        <w:rPr>
          <w:spacing w:val="16"/>
          <w:w w:val="105"/>
        </w:rPr>
        <w:t> </w:t>
      </w:r>
      <w:r>
        <w:rPr>
          <w:w w:val="105"/>
        </w:rPr>
        <w:t>bez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DPH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1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ks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Lenovo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ThinkPad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P16s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Gen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4,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Ryzen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AI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7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PRO-350,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16"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WUXGA,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32GB,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1TB,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AMD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860M,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W11P,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5Y</w:t>
      </w:r>
      <w:r>
        <w:rPr>
          <w:spacing w:val="18"/>
          <w:w w:val="105"/>
          <w:sz w:val="21"/>
        </w:rPr>
        <w:t> </w:t>
      </w:r>
      <w:r>
        <w:rPr>
          <w:spacing w:val="-5"/>
          <w:w w:val="105"/>
          <w:sz w:val="21"/>
        </w:rPr>
        <w:t>On-</w:t>
      </w:r>
    </w:p>
    <w:p>
      <w:pPr>
        <w:pStyle w:val="BodyText"/>
        <w:spacing w:before="33"/>
        <w:ind w:left="141"/>
      </w:pPr>
      <w:r>
        <w:rPr>
          <w:spacing w:val="-4"/>
          <w:w w:val="110"/>
        </w:rPr>
        <w:t>Site</w:t>
      </w:r>
    </w:p>
    <w:p>
      <w:pPr>
        <w:pStyle w:val="BodyText"/>
        <w:spacing w:before="32"/>
        <w:ind w:left="141"/>
      </w:pPr>
      <w:r>
        <w:rPr>
          <w:w w:val="105"/>
        </w:rPr>
        <w:t>Cena</w:t>
      </w:r>
      <w:r>
        <w:rPr>
          <w:spacing w:val="78"/>
          <w:w w:val="105"/>
        </w:rPr>
        <w:t> </w:t>
      </w:r>
      <w:r>
        <w:rPr>
          <w:w w:val="105"/>
        </w:rPr>
        <w:t>33</w:t>
      </w:r>
      <w:r>
        <w:rPr>
          <w:spacing w:val="14"/>
          <w:w w:val="105"/>
        </w:rPr>
        <w:t> </w:t>
      </w:r>
      <w:r>
        <w:rPr>
          <w:w w:val="105"/>
        </w:rPr>
        <w:t>057,02</w:t>
      </w:r>
      <w:r>
        <w:rPr>
          <w:spacing w:val="15"/>
          <w:w w:val="105"/>
        </w:rPr>
        <w:t> </w:t>
      </w:r>
      <w:r>
        <w:rPr>
          <w:w w:val="105"/>
        </w:rPr>
        <w:t>Kč</w:t>
      </w:r>
      <w:r>
        <w:rPr>
          <w:spacing w:val="14"/>
          <w:w w:val="105"/>
        </w:rPr>
        <w:t> </w:t>
      </w:r>
      <w:r>
        <w:rPr>
          <w:w w:val="105"/>
        </w:rPr>
        <w:t>bez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DPH</w:t>
      </w:r>
    </w:p>
    <w:p>
      <w:pPr>
        <w:pStyle w:val="BodyText"/>
        <w:tabs>
          <w:tab w:pos="2360" w:val="left" w:leader="dot"/>
        </w:tabs>
        <w:spacing w:before="33"/>
        <w:ind w:left="141"/>
      </w:pPr>
      <w:r>
        <w:rPr>
          <w:w w:val="110"/>
        </w:rPr>
        <w:t>Celkem</w:t>
      </w:r>
      <w:r>
        <w:rPr>
          <w:spacing w:val="-6"/>
          <w:w w:val="110"/>
        </w:rPr>
        <w:t> </w:t>
      </w:r>
      <w:r>
        <w:rPr>
          <w:w w:val="110"/>
        </w:rPr>
        <w:t>bez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DPH.</w:t>
      </w:r>
      <w:r>
        <w:rPr/>
        <w:tab/>
      </w:r>
      <w:r>
        <w:rPr>
          <w:w w:val="105"/>
        </w:rPr>
        <w:t>142</w:t>
      </w:r>
      <w:r>
        <w:rPr>
          <w:spacing w:val="3"/>
          <w:w w:val="105"/>
        </w:rPr>
        <w:t> </w:t>
      </w:r>
      <w:r>
        <w:rPr>
          <w:w w:val="105"/>
        </w:rPr>
        <w:t>948,76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506" w:val="left" w:leader="dot"/>
        </w:tabs>
        <w:spacing w:before="32"/>
        <w:ind w:left="141"/>
      </w:pPr>
      <w:r>
        <w:rPr/>
        <w:t>21%</w:t>
      </w:r>
      <w:r>
        <w:rPr>
          <w:spacing w:val="13"/>
        </w:rPr>
        <w:t> </w:t>
      </w:r>
      <w:r>
        <w:rPr>
          <w:spacing w:val="-5"/>
        </w:rPr>
        <w:t>DPH</w:t>
      </w:r>
      <w:r>
        <w:rPr/>
        <w:tab/>
        <w:t>30</w:t>
      </w:r>
      <w:r>
        <w:rPr>
          <w:spacing w:val="29"/>
        </w:rPr>
        <w:t> </w:t>
      </w:r>
      <w:r>
        <w:rPr/>
        <w:t>019,24</w:t>
      </w:r>
      <w:r>
        <w:rPr>
          <w:spacing w:val="29"/>
        </w:rPr>
        <w:t> </w:t>
      </w:r>
      <w:r>
        <w:rPr>
          <w:spacing w:val="-5"/>
        </w:rPr>
        <w:t>Kč</w:t>
      </w:r>
    </w:p>
    <w:p>
      <w:pPr>
        <w:pStyle w:val="BodyText"/>
        <w:tabs>
          <w:tab w:pos="2367" w:val="left" w:leader="dot"/>
        </w:tabs>
        <w:spacing w:before="33"/>
        <w:ind w:left="141"/>
      </w:pPr>
      <w:r>
        <w:rPr>
          <w:w w:val="105"/>
        </w:rPr>
        <w:t>Cena</w:t>
      </w:r>
      <w:r>
        <w:rPr>
          <w:spacing w:val="30"/>
          <w:w w:val="105"/>
        </w:rPr>
        <w:t> </w:t>
      </w:r>
      <w:r>
        <w:rPr>
          <w:w w:val="105"/>
        </w:rPr>
        <w:t>vč.</w:t>
      </w:r>
      <w:r>
        <w:rPr>
          <w:spacing w:val="31"/>
          <w:w w:val="105"/>
        </w:rPr>
        <w:t> </w:t>
      </w:r>
      <w:r>
        <w:rPr>
          <w:spacing w:val="-5"/>
          <w:w w:val="105"/>
        </w:rPr>
        <w:t>DPH</w:t>
      </w:r>
      <w:r>
        <w:rPr/>
        <w:tab/>
      </w:r>
      <w:r>
        <w:rPr>
          <w:w w:val="105"/>
        </w:rPr>
        <w:t>172</w:t>
      </w:r>
      <w:r>
        <w:rPr>
          <w:spacing w:val="3"/>
          <w:w w:val="105"/>
        </w:rPr>
        <w:t> </w:t>
      </w:r>
      <w:r>
        <w:rPr>
          <w:w w:val="105"/>
        </w:rPr>
        <w:t>968,00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236"/>
      </w:pPr>
    </w:p>
    <w:p>
      <w:pPr>
        <w:pStyle w:val="Body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15.10.2025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michal.cumpl@ddmalfa.cz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OA2025044</dc:title>
  <dcterms:created xsi:type="dcterms:W3CDTF">2025-10-22T13:39:36Z</dcterms:created>
  <dcterms:modified xsi:type="dcterms:W3CDTF">2025-10-22T13:39:36Z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mPDF 8.2.6</vt:lpwstr>
  </property>
</Properties>
</file>