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2253046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LIMA CZ s 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27199592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CZ27199592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22.10.2025 9:19:03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14708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13722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26053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207059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67 396,00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75 483,52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2253046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