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9F9A" w14:textId="0C0DB8F3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0E23BD" w:rsidRPr="00CC1C42">
        <w:rPr>
          <w:rFonts w:asciiTheme="minorHAnsi" w:hAnsiTheme="minorHAnsi" w:cstheme="minorHAnsi"/>
          <w:b/>
          <w:bCs/>
          <w:color w:val="000000"/>
          <w:sz w:val="24"/>
          <w:szCs w:val="24"/>
        </w:rPr>
        <w:t>3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67AD845D" w:rsidR="00005867" w:rsidRPr="00781562" w:rsidRDefault="00DF0E96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proofErr w:type="spellStart"/>
      <w:r w:rsidRPr="00DF0E9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4F74E4D9" w14:textId="77777777" w:rsidR="004143B7" w:rsidRPr="005E1A4C" w:rsidRDefault="004143B7" w:rsidP="004143B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Pojišťovna: </w:t>
      </w:r>
      <w:r w:rsidRPr="005E1A4C">
        <w:rPr>
          <w:rFonts w:ascii="Calibri" w:hAnsi="Calibri" w:cs="Calibri"/>
          <w:b/>
          <w:sz w:val="24"/>
          <w:szCs w:val="24"/>
        </w:rPr>
        <w:t>RBP, zdravotní pojišťovna</w:t>
      </w:r>
    </w:p>
    <w:p w14:paraId="527C3332" w14:textId="77777777" w:rsidR="004143B7" w:rsidRPr="005E1A4C" w:rsidRDefault="004143B7" w:rsidP="004143B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se sídlem: </w:t>
      </w:r>
      <w:r w:rsidRPr="005E1A4C">
        <w:rPr>
          <w:rFonts w:ascii="Calibri" w:hAnsi="Calibri" w:cs="Calibri"/>
          <w:bCs/>
          <w:sz w:val="24"/>
          <w:szCs w:val="24"/>
        </w:rPr>
        <w:t>Michálkovická 967/108, 710 00 Ostrava – Slezská Ostrava</w:t>
      </w:r>
    </w:p>
    <w:p w14:paraId="01C4E141" w14:textId="77777777" w:rsidR="004143B7" w:rsidRPr="005E1A4C" w:rsidRDefault="004143B7" w:rsidP="004143B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zastoupena: </w:t>
      </w:r>
      <w:r w:rsidRPr="005E1A4C">
        <w:rPr>
          <w:rFonts w:ascii="Calibri" w:hAnsi="Calibri" w:cs="Calibri"/>
          <w:bCs/>
          <w:sz w:val="24"/>
          <w:szCs w:val="24"/>
        </w:rPr>
        <w:t>Ing. Antonínem Klimšou, MBA, výkonným ředitelem</w:t>
      </w:r>
    </w:p>
    <w:p w14:paraId="79023727" w14:textId="77777777" w:rsidR="004143B7" w:rsidRPr="005E1A4C" w:rsidRDefault="004143B7" w:rsidP="004143B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IČO: </w:t>
      </w:r>
      <w:r w:rsidRPr="005E1A4C">
        <w:rPr>
          <w:rFonts w:ascii="Calibri" w:hAnsi="Calibri" w:cs="Calibri"/>
          <w:bCs/>
          <w:sz w:val="24"/>
          <w:szCs w:val="24"/>
        </w:rPr>
        <w:t>476 73 036</w:t>
      </w:r>
    </w:p>
    <w:p w14:paraId="650ACA61" w14:textId="77777777" w:rsidR="004143B7" w:rsidRPr="005E1A4C" w:rsidRDefault="004143B7" w:rsidP="004143B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DIČ: </w:t>
      </w:r>
      <w:r w:rsidRPr="005E1A4C">
        <w:rPr>
          <w:rFonts w:ascii="Calibri" w:hAnsi="Calibri" w:cs="Calibri"/>
          <w:bCs/>
          <w:sz w:val="24"/>
          <w:szCs w:val="24"/>
        </w:rPr>
        <w:t>CZ47673036</w:t>
      </w:r>
    </w:p>
    <w:p w14:paraId="6A02DBB4" w14:textId="77777777" w:rsidR="004143B7" w:rsidRPr="005E1A4C" w:rsidRDefault="004143B7" w:rsidP="004143B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zapsaná v obchodním rejstříku vedeném </w:t>
      </w:r>
      <w:r w:rsidRPr="005E1A4C">
        <w:rPr>
          <w:rFonts w:ascii="Calibri" w:hAnsi="Calibri" w:cs="Calibri"/>
          <w:sz w:val="24"/>
          <w:szCs w:val="24"/>
        </w:rPr>
        <w:t>u Krajského soudu v Ostravě, oddíl AXIV, vložka 554</w:t>
      </w:r>
    </w:p>
    <w:p w14:paraId="0AB37AE2" w14:textId="1792F6EE" w:rsidR="004143B7" w:rsidRPr="005E1A4C" w:rsidRDefault="004143B7" w:rsidP="004143B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color w:val="3D3D3D"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bankovní spojení: </w:t>
      </w:r>
      <w:proofErr w:type="spellStart"/>
      <w:r w:rsidR="00DF0E96" w:rsidRPr="00DF0E9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</w:p>
    <w:p w14:paraId="227DF88F" w14:textId="3671EDC6" w:rsidR="004143B7" w:rsidRPr="005E1A4C" w:rsidRDefault="004143B7" w:rsidP="004143B7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E1A4C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číslo účtu: </w:t>
      </w:r>
      <w:proofErr w:type="spellStart"/>
      <w:r w:rsidR="00DF0E96" w:rsidRPr="00DF0E96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</w:t>
      </w:r>
      <w:proofErr w:type="spellEnd"/>
    </w:p>
    <w:p w14:paraId="55B5523A" w14:textId="77777777" w:rsidR="004143B7" w:rsidRPr="0065015C" w:rsidRDefault="004143B7" w:rsidP="004143B7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5015C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65015C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65015C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4E029AC" w14:textId="77777777" w:rsidR="00EF1751" w:rsidRPr="00CD4F67" w:rsidRDefault="00EF1751" w:rsidP="00CC1C42">
      <w:pPr>
        <w:spacing w:after="0"/>
        <w:jc w:val="both"/>
        <w:rPr>
          <w:rFonts w:ascii="Calibri" w:hAnsi="Calibri" w:cs="Calibri"/>
          <w:b/>
          <w:bCs/>
        </w:rPr>
      </w:pPr>
      <w:r w:rsidRPr="00CD4F67">
        <w:rPr>
          <w:rFonts w:ascii="Calibri" w:hAnsi="Calibri" w:cs="Calibri"/>
          <w:b/>
          <w:bCs/>
        </w:rPr>
        <w:t>Merck Europe B.V.</w:t>
      </w:r>
    </w:p>
    <w:p w14:paraId="76AB5AC3" w14:textId="77777777" w:rsidR="00EF1751" w:rsidRPr="00CD4F67" w:rsidRDefault="00EF1751" w:rsidP="00CC1C42">
      <w:pPr>
        <w:spacing w:after="0"/>
        <w:jc w:val="both"/>
        <w:rPr>
          <w:rFonts w:ascii="Calibri" w:hAnsi="Calibri" w:cs="Calibri"/>
        </w:rPr>
      </w:pPr>
      <w:r w:rsidRPr="00CD4F67">
        <w:rPr>
          <w:rFonts w:ascii="Calibri" w:hAnsi="Calibri" w:cs="Calibri"/>
        </w:rPr>
        <w:t>Sídlo: Gustav Mahlerplein 102, 1082 MA Amsterdam, Nizozemské království</w:t>
      </w:r>
    </w:p>
    <w:p w14:paraId="26C5DC48" w14:textId="77777777" w:rsidR="00EF1751" w:rsidRPr="00CD4F67" w:rsidRDefault="00EF1751" w:rsidP="00CC1C42">
      <w:pPr>
        <w:spacing w:after="0"/>
        <w:jc w:val="both"/>
        <w:rPr>
          <w:rFonts w:ascii="Calibri" w:hAnsi="Calibri" w:cs="Calibri"/>
        </w:rPr>
      </w:pPr>
      <w:r w:rsidRPr="00CD4F67">
        <w:rPr>
          <w:rFonts w:ascii="Calibri" w:hAnsi="Calibri" w:cs="Calibri"/>
        </w:rPr>
        <w:t>Zapsaná: v obchodním rejstříku vedeném nizozemskou obchodní komorou</w:t>
      </w:r>
    </w:p>
    <w:p w14:paraId="0FA0904C" w14:textId="77777777" w:rsidR="00EF1751" w:rsidRPr="00CD4F67" w:rsidRDefault="00EF1751" w:rsidP="00CC1C42">
      <w:pPr>
        <w:spacing w:after="0"/>
        <w:jc w:val="both"/>
        <w:rPr>
          <w:rFonts w:ascii="Calibri" w:hAnsi="Calibri" w:cs="Calibri"/>
        </w:rPr>
      </w:pPr>
      <w:r w:rsidRPr="00CD4F67">
        <w:rPr>
          <w:rFonts w:ascii="Calibri" w:hAnsi="Calibri" w:cs="Calibri"/>
        </w:rPr>
        <w:t>Registrační číslo: 71283064</w:t>
      </w:r>
    </w:p>
    <w:p w14:paraId="1DCC7ACB" w14:textId="77777777" w:rsidR="00EF1751" w:rsidRDefault="00EF1751" w:rsidP="00CC1C42">
      <w:pPr>
        <w:spacing w:after="0"/>
        <w:jc w:val="both"/>
        <w:rPr>
          <w:rFonts w:ascii="Calibri" w:hAnsi="Calibri" w:cs="Calibri"/>
        </w:rPr>
      </w:pPr>
    </w:p>
    <w:p w14:paraId="488F86A7" w14:textId="77777777" w:rsidR="00EF1751" w:rsidRPr="00CD4F67" w:rsidRDefault="00EF1751" w:rsidP="00CC1C42">
      <w:pPr>
        <w:spacing w:after="0"/>
        <w:jc w:val="both"/>
        <w:rPr>
          <w:rFonts w:ascii="Calibri" w:hAnsi="Calibri" w:cs="Calibri"/>
        </w:rPr>
      </w:pPr>
      <w:r w:rsidRPr="69CC0F8B">
        <w:rPr>
          <w:rFonts w:ascii="Calibri" w:hAnsi="Calibri" w:cs="Calibri"/>
        </w:rPr>
        <w:t xml:space="preserve">Zastoupena na základě plné moci ze dne </w:t>
      </w:r>
      <w:r>
        <w:rPr>
          <w:rFonts w:ascii="Calibri" w:hAnsi="Calibri" w:cs="Calibri"/>
        </w:rPr>
        <w:t>2. 2. 2023</w:t>
      </w:r>
      <w:r w:rsidRPr="69CC0F8B">
        <w:rPr>
          <w:rFonts w:ascii="Calibri" w:hAnsi="Calibri" w:cs="Calibri"/>
        </w:rPr>
        <w:t xml:space="preserve"> společností:</w:t>
      </w:r>
    </w:p>
    <w:p w14:paraId="452D8464" w14:textId="77777777" w:rsidR="00EF1751" w:rsidRPr="00CD4F67" w:rsidRDefault="00EF1751" w:rsidP="00CC1C42">
      <w:pPr>
        <w:spacing w:after="0"/>
        <w:jc w:val="both"/>
        <w:rPr>
          <w:rFonts w:ascii="Calibri" w:hAnsi="Calibri" w:cs="Calibri"/>
          <w:b/>
          <w:bCs/>
        </w:rPr>
      </w:pPr>
      <w:r w:rsidRPr="00CD4F67">
        <w:rPr>
          <w:rFonts w:ascii="Calibri" w:hAnsi="Calibri" w:cs="Calibri"/>
          <w:b/>
          <w:bCs/>
        </w:rPr>
        <w:t>MERCK spol. s r.o.</w:t>
      </w:r>
    </w:p>
    <w:p w14:paraId="7E3CD45B" w14:textId="7076A27E" w:rsidR="00EF1751" w:rsidRPr="00CD4F67" w:rsidRDefault="00EF1751" w:rsidP="00CC1C42">
      <w:pPr>
        <w:spacing w:after="0"/>
        <w:jc w:val="both"/>
        <w:rPr>
          <w:rFonts w:ascii="Calibri" w:hAnsi="Calibri" w:cs="Calibri"/>
        </w:rPr>
      </w:pPr>
      <w:r w:rsidRPr="00CD4F67">
        <w:rPr>
          <w:rFonts w:ascii="Calibri" w:hAnsi="Calibri" w:cs="Calibri"/>
        </w:rPr>
        <w:t xml:space="preserve">Sídlo: Na </w:t>
      </w:r>
      <w:r w:rsidR="00187F24">
        <w:rPr>
          <w:rFonts w:ascii="Calibri" w:hAnsi="Calibri" w:cs="Calibri"/>
        </w:rPr>
        <w:t>h</w:t>
      </w:r>
      <w:r w:rsidRPr="00CD4F67">
        <w:rPr>
          <w:rFonts w:ascii="Calibri" w:hAnsi="Calibri" w:cs="Calibri"/>
        </w:rPr>
        <w:t>řebenech II 1718/10, 140 00 Praha 4</w:t>
      </w:r>
    </w:p>
    <w:p w14:paraId="7EAB93B3" w14:textId="77777777" w:rsidR="00EF1751" w:rsidRPr="00CD4F67" w:rsidRDefault="00EF1751" w:rsidP="00CC1C42">
      <w:pPr>
        <w:spacing w:after="0"/>
        <w:jc w:val="both"/>
        <w:rPr>
          <w:rFonts w:ascii="Calibri" w:hAnsi="Calibri" w:cs="Calibri"/>
        </w:rPr>
      </w:pPr>
      <w:r w:rsidRPr="00CD4F67">
        <w:rPr>
          <w:rFonts w:ascii="Calibri" w:hAnsi="Calibri" w:cs="Calibri"/>
        </w:rPr>
        <w:t xml:space="preserve">Zapsaná: v obchodním rejstříku vedeném Městským soudem v Praze, sp. zn. C 1834  </w:t>
      </w:r>
    </w:p>
    <w:p w14:paraId="174E48EB" w14:textId="77777777" w:rsidR="00EF1751" w:rsidRDefault="00EF1751" w:rsidP="00CC1C42">
      <w:pPr>
        <w:spacing w:after="0"/>
        <w:jc w:val="both"/>
        <w:rPr>
          <w:rFonts w:ascii="Calibri" w:hAnsi="Calibri" w:cs="Calibri"/>
        </w:rPr>
      </w:pPr>
      <w:r w:rsidRPr="00CD4F67">
        <w:rPr>
          <w:rFonts w:ascii="Calibri" w:hAnsi="Calibri" w:cs="Calibri"/>
        </w:rPr>
        <w:t>IČO: 18626971</w:t>
      </w:r>
    </w:p>
    <w:p w14:paraId="6F291761" w14:textId="4D0C5235" w:rsidR="00187F24" w:rsidRPr="00CD4F67" w:rsidRDefault="00187F24" w:rsidP="00CC1C42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</w:t>
      </w:r>
      <w:r w:rsidRPr="00CD4F67">
        <w:rPr>
          <w:rFonts w:ascii="Calibri" w:hAnsi="Calibri" w:cs="Calibri"/>
        </w:rPr>
        <w:t>18626971</w:t>
      </w:r>
    </w:p>
    <w:p w14:paraId="315021D5" w14:textId="77777777" w:rsidR="00EF1751" w:rsidRPr="0046174F" w:rsidRDefault="00EF1751" w:rsidP="00CC1C42">
      <w:pPr>
        <w:spacing w:after="0"/>
        <w:ind w:right="113"/>
        <w:jc w:val="both"/>
        <w:rPr>
          <w:rFonts w:asciiTheme="minorHAnsi" w:hAnsiTheme="minorHAnsi" w:cstheme="minorHAnsi"/>
        </w:rPr>
      </w:pPr>
      <w:r w:rsidRPr="0046174F">
        <w:rPr>
          <w:rFonts w:asciiTheme="minorHAnsi" w:hAnsiTheme="minorHAnsi" w:cstheme="minorHAnsi"/>
        </w:rPr>
        <w:t>Bankovní spojení:</w:t>
      </w:r>
      <w:r>
        <w:rPr>
          <w:rFonts w:asciiTheme="minorHAnsi" w:hAnsiTheme="minorHAnsi" w:cstheme="minorHAnsi"/>
        </w:rPr>
        <w:t xml:space="preserve"> Deutsche Bank</w:t>
      </w:r>
    </w:p>
    <w:p w14:paraId="6A2EC6A3" w14:textId="77777777" w:rsidR="00EF1751" w:rsidRPr="0046174F" w:rsidRDefault="00EF1751" w:rsidP="00CC1C42">
      <w:pPr>
        <w:spacing w:after="0"/>
        <w:ind w:right="113"/>
        <w:jc w:val="both"/>
        <w:rPr>
          <w:rFonts w:asciiTheme="minorHAnsi" w:hAnsiTheme="minorHAnsi" w:cstheme="minorHAnsi"/>
        </w:rPr>
      </w:pPr>
      <w:r w:rsidRPr="0046174F">
        <w:rPr>
          <w:rFonts w:asciiTheme="minorHAnsi" w:hAnsiTheme="minorHAnsi" w:cstheme="minorHAnsi"/>
        </w:rPr>
        <w:t>Číslo účtu:</w:t>
      </w:r>
      <w:r>
        <w:rPr>
          <w:rFonts w:asciiTheme="minorHAnsi" w:hAnsiTheme="minorHAnsi" w:cstheme="minorHAnsi"/>
        </w:rPr>
        <w:t xml:space="preserve"> </w:t>
      </w:r>
      <w:r w:rsidRPr="00B65C4D">
        <w:rPr>
          <w:rFonts w:asciiTheme="minorHAnsi" w:hAnsiTheme="minorHAnsi" w:cstheme="minorHAnsi"/>
        </w:rPr>
        <w:t>3137600019/7910</w:t>
      </w:r>
    </w:p>
    <w:p w14:paraId="1F874863" w14:textId="77777777" w:rsidR="00EF1751" w:rsidRPr="00CD4F67" w:rsidRDefault="00EF1751" w:rsidP="00CC1C42">
      <w:pPr>
        <w:spacing w:after="0"/>
        <w:jc w:val="both"/>
        <w:rPr>
          <w:rFonts w:ascii="Calibri" w:hAnsi="Calibri" w:cs="Calibri"/>
        </w:rPr>
      </w:pPr>
      <w:r w:rsidRPr="00CD4F67">
        <w:rPr>
          <w:rFonts w:ascii="Calibri" w:hAnsi="Calibri" w:cs="Calibri"/>
        </w:rPr>
        <w:t>Zastoupena: Serkan Kececioglu, jednatel</w:t>
      </w:r>
    </w:p>
    <w:p w14:paraId="23F0CA65" w14:textId="77777777" w:rsidR="00EF1751" w:rsidRPr="00B143E3" w:rsidRDefault="00EF1751" w:rsidP="00CC1C42">
      <w:pPr>
        <w:spacing w:after="0"/>
        <w:rPr>
          <w:rFonts w:asciiTheme="minorHAnsi" w:hAnsiTheme="minorHAnsi" w:cstheme="minorHAnsi"/>
        </w:rPr>
      </w:pPr>
      <w:r w:rsidRPr="00B143E3">
        <w:rPr>
          <w:rFonts w:asciiTheme="minorHAnsi" w:hAnsiTheme="minorHAnsi" w:cstheme="minorHAnsi"/>
        </w:rPr>
        <w:t>(</w:t>
      </w:r>
      <w:r w:rsidRPr="0018509E">
        <w:rPr>
          <w:rFonts w:asciiTheme="minorHAnsi" w:hAnsiTheme="minorHAnsi"/>
        </w:rPr>
        <w:t>dále jen „</w:t>
      </w:r>
      <w:r w:rsidRPr="00B143E3">
        <w:rPr>
          <w:rFonts w:asciiTheme="minorHAnsi" w:hAnsiTheme="minorHAnsi" w:cstheme="minorHAnsi"/>
        </w:rPr>
        <w:t>Držitel“)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7A1A37EA" w14:textId="77777777" w:rsidR="00E358D5" w:rsidRPr="00781562" w:rsidRDefault="00E358D5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0052271B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4C7B0773" w:rsidR="00997E47" w:rsidRPr="00781562" w:rsidRDefault="008E4705" w:rsidP="0052271B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6806C8">
        <w:rPr>
          <w:rFonts w:asciiTheme="minorHAnsi" w:hAnsiTheme="minorHAnsi" w:cstheme="minorBidi"/>
          <w:color w:val="000000" w:themeColor="text1"/>
          <w:sz w:val="24"/>
          <w:szCs w:val="24"/>
        </w:rPr>
        <w:t>14.6.2021</w:t>
      </w:r>
      <w:r w:rsidR="006806C8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smlouvu o limitaci nákladů spojených s hrazením léčivého přípravku </w:t>
      </w:r>
      <w:r w:rsidR="00947149" w:rsidRPr="006806C8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r w:rsidR="00EF175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047FF840" w:rsidR="00997E47" w:rsidRPr="00781562" w:rsidRDefault="008E4705" w:rsidP="3CCD1E60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CCD1E60">
        <w:rPr>
          <w:rFonts w:asciiTheme="minorHAnsi" w:hAnsiTheme="minorHAnsi" w:cstheme="minorBidi"/>
          <w:sz w:val="24"/>
          <w:szCs w:val="24"/>
          <w:lang w:val="cs-CZ"/>
        </w:rPr>
        <w:t>Smluvní strany si přejí změnit níže uvedená ustanovení Smlouvy a za tímto účelem se rozhodly uzavřít tento Dodatek</w:t>
      </w:r>
      <w:r w:rsidR="00E810FA" w:rsidRPr="3CCD1E60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67BE9A9F" w:rsidRPr="3CCD1E60">
        <w:rPr>
          <w:rFonts w:asciiTheme="minorHAnsi" w:hAnsiTheme="minorHAnsi" w:cstheme="minorBidi"/>
          <w:sz w:val="24"/>
          <w:szCs w:val="24"/>
          <w:lang w:val="cs-CZ"/>
        </w:rPr>
        <w:t xml:space="preserve">č. 3 </w:t>
      </w:r>
      <w:r w:rsidR="00FA6647" w:rsidRPr="3CCD1E60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3CCD1E60">
        <w:rPr>
          <w:rFonts w:asciiTheme="minorHAnsi" w:hAnsiTheme="minorHAnsi" w:cstheme="minorBidi"/>
          <w:sz w:val="24"/>
          <w:szCs w:val="24"/>
        </w:rPr>
        <w:t xml:space="preserve"> (</w:t>
      </w:r>
      <w:r w:rsidR="25F52948" w:rsidRPr="3CCD1E60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 w:rsidRPr="3CCD1E60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3CCD1E60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3CCD1E60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3CCD1E60">
        <w:rPr>
          <w:rFonts w:asciiTheme="minorHAnsi" w:hAnsiTheme="minorHAnsi" w:cstheme="minorBidi"/>
          <w:sz w:val="24"/>
          <w:szCs w:val="24"/>
        </w:rPr>
        <w:t>)</w:t>
      </w:r>
      <w:r w:rsidR="00E4237A" w:rsidRPr="3CCD1E60">
        <w:rPr>
          <w:rFonts w:asciiTheme="minorHAnsi" w:hAnsiTheme="minorHAnsi" w:cstheme="minorBidi"/>
          <w:sz w:val="24"/>
          <w:szCs w:val="24"/>
        </w:rPr>
        <w:t>.</w:t>
      </w:r>
    </w:p>
    <w:p w14:paraId="2E5025BF" w14:textId="77777777" w:rsidR="00997E47" w:rsidRPr="00781562" w:rsidRDefault="008E4705" w:rsidP="0052271B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53C4DE03" w14:textId="3283A5C8" w:rsidR="00997E47" w:rsidRPr="00EF1751" w:rsidRDefault="008E4705" w:rsidP="0052271B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Ustanovení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Článku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F1751">
        <w:rPr>
          <w:rFonts w:asciiTheme="minorHAnsi" w:hAnsiTheme="minorHAnsi" w:cstheme="minorHAnsi"/>
          <w:color w:val="000000"/>
          <w:sz w:val="24"/>
          <w:szCs w:val="24"/>
        </w:rPr>
        <w:t>X</w:t>
      </w:r>
      <w:r w:rsidR="007D6E5B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F1751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43933" w:rsidRPr="00781562">
        <w:rPr>
          <w:rFonts w:asciiTheme="minorHAnsi" w:hAnsiTheme="minorHAnsi" w:cstheme="minorHAnsi"/>
          <w:color w:val="000000"/>
          <w:sz w:val="24"/>
          <w:szCs w:val="24"/>
        </w:rPr>
        <w:t>odst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E4237A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F1751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="00EF1751"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 xml:space="preserve">Smlouvy se mění tak, že se datum </w:t>
      </w:r>
      <w:bookmarkStart w:id="1" w:name="_Hlk85112756"/>
      <w:r w:rsidRPr="00CC1C42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EF1751" w:rsidRPr="00CC1C42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31. 10. 2025</w:t>
      </w:r>
      <w:r w:rsidRPr="00CC1C42">
        <w:rPr>
          <w:rFonts w:asciiTheme="minorHAnsi" w:hAnsiTheme="minorHAnsi" w:cstheme="minorHAnsi"/>
          <w:color w:val="000000"/>
          <w:sz w:val="24"/>
          <w:szCs w:val="24"/>
        </w:rPr>
        <w:t>“</w:t>
      </w:r>
      <w:r w:rsidRPr="00EF1751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bookmarkEnd w:id="1"/>
      <w:r w:rsidRPr="00EF1751">
        <w:rPr>
          <w:rFonts w:asciiTheme="minorHAnsi" w:hAnsiTheme="minorHAnsi" w:cstheme="minorHAnsi"/>
          <w:color w:val="000000"/>
          <w:sz w:val="24"/>
          <w:szCs w:val="24"/>
        </w:rPr>
        <w:t xml:space="preserve">nahrazuje datem </w:t>
      </w:r>
      <w:r w:rsidR="00E4237A" w:rsidRPr="00CC1C42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„</w:t>
      </w:r>
      <w:r w:rsidR="00EF1751" w:rsidRPr="00CC1C42">
        <w:rPr>
          <w:rFonts w:asciiTheme="minorHAnsi" w:hAnsiTheme="minorHAnsi" w:cstheme="minorHAnsi"/>
          <w:i/>
          <w:iCs/>
          <w:color w:val="000000"/>
          <w:sz w:val="24"/>
          <w:szCs w:val="24"/>
        </w:rPr>
        <w:t>31. 10. 2028</w:t>
      </w:r>
      <w:r w:rsidR="00E4237A" w:rsidRPr="00CC1C42">
        <w:rPr>
          <w:rFonts w:asciiTheme="minorHAnsi" w:hAnsiTheme="minorHAnsi" w:cstheme="minorHAnsi"/>
          <w:i/>
          <w:iCs/>
          <w:color w:val="000000"/>
          <w:sz w:val="24"/>
          <w:szCs w:val="24"/>
        </w:rPr>
        <w:t>“</w:t>
      </w:r>
      <w:r w:rsidR="00E4237A" w:rsidRPr="00EF1751">
        <w:rPr>
          <w:rFonts w:asciiTheme="minorHAnsi" w:hAnsiTheme="minorHAnsi" w:cstheme="minorHAnsi"/>
          <w:i/>
          <w:iCs/>
          <w:color w:val="000000"/>
          <w:sz w:val="24"/>
          <w:szCs w:val="24"/>
        </w:rPr>
        <w:t>.</w:t>
      </w:r>
    </w:p>
    <w:p w14:paraId="4285F9D3" w14:textId="7F7BC537" w:rsidR="00997E47" w:rsidRPr="00781562" w:rsidRDefault="008E4705" w:rsidP="3CCD1E60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CCD1E6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316A88F6" w:rsidRPr="3CCD1E6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CCD1E6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ruší a plně nahrazuje zněním, které tvoří </w:t>
      </w:r>
      <w:r w:rsidR="0335D114" w:rsidRPr="3CCD1E60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CCD1E60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5864D03E" w:rsidR="00997E47" w:rsidRPr="00781562" w:rsidRDefault="008E4705" w:rsidP="00CC1C42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F0C6FB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5562E824" w:rsidRPr="3F0C6FB1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F0C6FB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F0C6FB1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F0C6FB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povinnosti smluvních stran související s předmětem Smlouvy </w:t>
      </w:r>
      <w:r w:rsidR="00706758"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3F0C6FB1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od </w:t>
      </w:r>
      <w:r w:rsidR="00EF1751" w:rsidRPr="3F0C6FB1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1. 1. 2025</w:t>
      </w:r>
      <w:r w:rsidRPr="3F0C6FB1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1E20C5C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>aždá ze smluvních stran obdrží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Pr="00781562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40EFD505" w14:textId="62338A58" w:rsidR="00997E47" w:rsidRDefault="00997E47">
      <w:pPr>
        <w:pStyle w:val="CMSANHeading2"/>
        <w:numPr>
          <w:ilvl w:val="0"/>
          <w:numId w:val="0"/>
        </w:numPr>
        <w:spacing w:before="0"/>
        <w:ind w:left="851"/>
        <w:rPr>
          <w:rFonts w:ascii="Calibri" w:hAnsi="Calibri" w:cs="Calibri"/>
          <w:b/>
          <w:sz w:val="24"/>
          <w:szCs w:val="24"/>
          <w:lang w:val="cs-CZ"/>
        </w:rPr>
      </w:pPr>
    </w:p>
    <w:p w14:paraId="1F758882" w14:textId="77777777" w:rsidR="00176586" w:rsidRPr="0018509E" w:rsidRDefault="00176586" w:rsidP="00176586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7B02B0A0" w14:textId="77777777" w:rsidR="00176586" w:rsidRPr="003E0E9B" w:rsidRDefault="00176586" w:rsidP="00176586">
      <w:pPr>
        <w:tabs>
          <w:tab w:val="left" w:pos="4678"/>
        </w:tabs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313EDC51" w14:textId="77777777" w:rsidR="00176586" w:rsidRPr="003E0E9B" w:rsidRDefault="00176586" w:rsidP="00176586">
      <w:pPr>
        <w:rPr>
          <w:rFonts w:asciiTheme="minorHAnsi" w:hAnsiTheme="minorHAnsi" w:cstheme="minorHAnsi"/>
        </w:rPr>
      </w:pPr>
    </w:p>
    <w:p w14:paraId="5396E25F" w14:textId="77777777" w:rsidR="00176586" w:rsidRDefault="00176586" w:rsidP="00176586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40"/>
      </w:tblGrid>
      <w:tr w:rsidR="00176586" w:rsidRPr="005B2EE0" w14:paraId="533D1F24" w14:textId="77777777" w:rsidTr="00F238C4">
        <w:tc>
          <w:tcPr>
            <w:tcW w:w="4606" w:type="dxa"/>
            <w:hideMark/>
          </w:tcPr>
          <w:p w14:paraId="5E773345" w14:textId="77777777" w:rsidR="00176586" w:rsidRPr="005B2EE0" w:rsidRDefault="00176586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105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1DF6D953" w14:textId="77777777" w:rsidR="00176586" w:rsidRDefault="00176586" w:rsidP="00F238C4">
            <w:pPr>
              <w:tabs>
                <w:tab w:val="left" w:pos="5245"/>
              </w:tabs>
              <w:spacing w:after="40"/>
              <w:ind w:left="-105"/>
              <w:rPr>
                <w:rFonts w:asciiTheme="minorHAnsi" w:hAnsiTheme="minorHAnsi" w:cstheme="minorHAnsi"/>
              </w:rPr>
            </w:pPr>
            <w:r w:rsidRPr="001652E3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21FC1747" w14:textId="77777777" w:rsidR="00176586" w:rsidRDefault="00176586" w:rsidP="00F238C4">
            <w:pPr>
              <w:tabs>
                <w:tab w:val="left" w:pos="5245"/>
              </w:tabs>
              <w:spacing w:after="40"/>
              <w:ind w:left="-105"/>
              <w:rPr>
                <w:rFonts w:asciiTheme="minorHAnsi" w:hAnsiTheme="minorHAnsi" w:cstheme="minorHAnsi"/>
              </w:rPr>
            </w:pPr>
            <w:r w:rsidRPr="001652E3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5F15B544" w14:textId="77777777" w:rsidR="00176586" w:rsidRPr="005B2EE0" w:rsidRDefault="00176586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105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RBP, zdravotní pojišťovna</w:t>
            </w:r>
          </w:p>
        </w:tc>
        <w:tc>
          <w:tcPr>
            <w:tcW w:w="4606" w:type="dxa"/>
          </w:tcPr>
          <w:p w14:paraId="5ED7CD90" w14:textId="77777777" w:rsidR="00176586" w:rsidRPr="005B2EE0" w:rsidRDefault="00176586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17F601AE" w14:textId="77777777" w:rsidR="00176586" w:rsidRDefault="00176586" w:rsidP="00F238C4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Serkan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Kececioglu</w:t>
            </w:r>
            <w:proofErr w:type="spellEnd"/>
            <w:r>
              <w:rPr>
                <w:rFonts w:ascii="Calibri" w:hAnsi="Calibri" w:cs="Calibri"/>
              </w:rPr>
              <w:t xml:space="preserve">, jednatel </w:t>
            </w:r>
          </w:p>
          <w:p w14:paraId="53AB270F" w14:textId="77777777" w:rsidR="00176586" w:rsidRPr="00F671DD" w:rsidRDefault="00176586" w:rsidP="00F238C4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proofErr w:type="spellStart"/>
            <w:r w:rsidRPr="5D702A45">
              <w:rPr>
                <w:rFonts w:ascii="Calibri" w:hAnsi="Calibri" w:cs="Calibri"/>
              </w:rPr>
              <w:t>Merck</w:t>
            </w:r>
            <w:proofErr w:type="spellEnd"/>
            <w:r w:rsidRPr="5D702A45">
              <w:rPr>
                <w:rFonts w:ascii="Calibri" w:hAnsi="Calibri" w:cs="Calibri"/>
              </w:rPr>
              <w:t xml:space="preserve"> spol. </w:t>
            </w:r>
            <w:r>
              <w:rPr>
                <w:rFonts w:ascii="Calibri" w:hAnsi="Calibri" w:cs="Calibri"/>
              </w:rPr>
              <w:t>s</w:t>
            </w:r>
            <w:r w:rsidRPr="5D702A45">
              <w:rPr>
                <w:rFonts w:ascii="Calibri" w:hAnsi="Calibri" w:cs="Calibri"/>
              </w:rPr>
              <w:t> r.o.</w:t>
            </w:r>
          </w:p>
          <w:p w14:paraId="680642CA" w14:textId="77777777" w:rsidR="00176586" w:rsidRPr="005B2EE0" w:rsidRDefault="00176586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5D702A45">
              <w:rPr>
                <w:rFonts w:ascii="Calibri" w:hAnsi="Calibri" w:cs="Calibri"/>
              </w:rPr>
              <w:t xml:space="preserve">na základě plné moci za </w:t>
            </w:r>
            <w:proofErr w:type="spellStart"/>
            <w:r w:rsidRPr="5D702A45">
              <w:rPr>
                <w:rFonts w:ascii="Calibri" w:hAnsi="Calibri" w:cs="Calibri"/>
              </w:rPr>
              <w:t>Merck</w:t>
            </w:r>
            <w:proofErr w:type="spellEnd"/>
            <w:r w:rsidRPr="5D702A45">
              <w:rPr>
                <w:rFonts w:ascii="Calibri" w:hAnsi="Calibri" w:cs="Calibri"/>
              </w:rPr>
              <w:t xml:space="preserve"> </w:t>
            </w:r>
            <w:proofErr w:type="spellStart"/>
            <w:r w:rsidRPr="5D702A45">
              <w:rPr>
                <w:rFonts w:ascii="Calibri" w:hAnsi="Calibri" w:cs="Calibri"/>
              </w:rPr>
              <w:t>Europe</w:t>
            </w:r>
            <w:proofErr w:type="spellEnd"/>
            <w:r w:rsidRPr="5D702A45">
              <w:rPr>
                <w:rFonts w:ascii="Calibri" w:hAnsi="Calibri" w:cs="Calibri"/>
              </w:rPr>
              <w:t xml:space="preserve"> B.V.</w:t>
            </w:r>
          </w:p>
        </w:tc>
      </w:tr>
    </w:tbl>
    <w:p w14:paraId="7A92B447" w14:textId="77777777" w:rsidR="000E23BD" w:rsidRPr="00CC1C42" w:rsidRDefault="00103627" w:rsidP="000E23BD">
      <w:pPr>
        <w:spacing w:before="120" w:after="120" w:line="30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lastRenderedPageBreak/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0E23BD" w:rsidRPr="00CC1C42">
        <w:rPr>
          <w:rFonts w:ascii="Calibri" w:eastAsia="Times New Roman" w:hAnsi="Calibri" w:cs="Calibri"/>
          <w:b/>
          <w:sz w:val="24"/>
          <w:szCs w:val="24"/>
          <w:lang w:eastAsia="cs-CZ"/>
        </w:rPr>
        <w:t>SMLOUVY</w:t>
      </w:r>
    </w:p>
    <w:p w14:paraId="45F9845F" w14:textId="5B417E2F" w:rsidR="000E23BD" w:rsidRPr="00CC1C42" w:rsidRDefault="000E23BD" w:rsidP="000E23BD">
      <w:pPr>
        <w:spacing w:before="120" w:after="120" w:line="300" w:lineRule="atLeast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CC1C42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O LIMITACI NÁKLADŮ SPOJENÝCH S HRAZENÍM LÉČIVÉHO PŘÍPRAVKU </w:t>
      </w:r>
    </w:p>
    <w:p w14:paraId="52C1D440" w14:textId="77777777" w:rsidR="00176586" w:rsidRDefault="00176586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6806C8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78C4667D" w14:textId="2EA6DEE5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58A1DA58" w14:textId="77777777" w:rsid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  <w:highlight w:val="green"/>
        </w:rPr>
      </w:pPr>
    </w:p>
    <w:p w14:paraId="5442391C" w14:textId="5AF9D6C1" w:rsidR="00090DBC" w:rsidRDefault="00176586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  <w:r w:rsidRPr="006806C8">
        <w:rPr>
          <w:rFonts w:asciiTheme="minorHAnsi" w:hAnsiTheme="minorHAnsi" w:cstheme="minorBidi"/>
          <w:color w:val="000000" w:themeColor="text1"/>
          <w:sz w:val="24"/>
          <w:szCs w:val="24"/>
          <w:highlight w:val="black"/>
        </w:rPr>
        <w:t>XXX</w:t>
      </w:r>
    </w:p>
    <w:p w14:paraId="12C50969" w14:textId="77777777" w:rsidR="00947149" w:rsidRDefault="00947149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1B822473" w14:textId="77777777" w:rsidR="00947149" w:rsidRDefault="00947149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71B994B2" w14:textId="77777777" w:rsidR="00947149" w:rsidRDefault="00947149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1186AF86" w14:textId="77777777" w:rsidR="00947149" w:rsidRDefault="00947149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18868938" w14:textId="77777777" w:rsidR="00947149" w:rsidRDefault="00947149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633385DA" w14:textId="77777777" w:rsidR="00947149" w:rsidRPr="00090DBC" w:rsidRDefault="00947149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21673A47" w14:textId="77777777" w:rsidR="004072BE" w:rsidRPr="0018509E" w:rsidRDefault="004072BE" w:rsidP="004072BE">
      <w:pPr>
        <w:rPr>
          <w:rFonts w:asciiTheme="minorHAnsi" w:hAnsiTheme="minorHAnsi"/>
        </w:rPr>
      </w:pPr>
      <w:r w:rsidRPr="0018509E">
        <w:rPr>
          <w:rFonts w:asciiTheme="minorHAnsi" w:hAnsiTheme="minorHAnsi"/>
        </w:rPr>
        <w:t>Za Pojišťovnu:</w:t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ab/>
      </w:r>
      <w:r w:rsidRPr="0018509E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  </w:t>
      </w:r>
      <w:r w:rsidRPr="0018509E">
        <w:rPr>
          <w:rFonts w:asciiTheme="minorHAnsi" w:hAnsiTheme="minorHAnsi"/>
        </w:rPr>
        <w:t>Za Držitele:</w:t>
      </w:r>
    </w:p>
    <w:p w14:paraId="103370B1" w14:textId="77777777" w:rsidR="004072BE" w:rsidRPr="003E0E9B" w:rsidRDefault="004072BE" w:rsidP="004072BE">
      <w:pPr>
        <w:tabs>
          <w:tab w:val="left" w:pos="4678"/>
        </w:tabs>
        <w:rPr>
          <w:rFonts w:asciiTheme="minorHAnsi" w:hAnsiTheme="minorHAnsi" w:cstheme="minorHAnsi"/>
        </w:rPr>
      </w:pP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  <w:sz w:val="24"/>
          <w:szCs w:val="24"/>
        </w:rPr>
        <w:t>Ostravě</w:t>
      </w:r>
      <w:r w:rsidRPr="003E0E9B">
        <w:rPr>
          <w:rFonts w:asciiTheme="minorHAnsi" w:hAnsiTheme="minorHAnsi" w:cstheme="minorHAnsi"/>
        </w:rPr>
        <w:t>, dne…………………….</w:t>
      </w:r>
      <w:r>
        <w:rPr>
          <w:rFonts w:asciiTheme="minorHAnsi" w:hAnsiTheme="minorHAnsi" w:cstheme="minorHAnsi"/>
        </w:rPr>
        <w:tab/>
      </w:r>
      <w:r w:rsidRPr="003E0E9B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Praze</w:t>
      </w:r>
      <w:r w:rsidRPr="003E0E9B">
        <w:rPr>
          <w:rFonts w:asciiTheme="minorHAnsi" w:hAnsiTheme="minorHAnsi" w:cstheme="minorHAnsi"/>
        </w:rPr>
        <w:t>, dne…………………….</w:t>
      </w:r>
    </w:p>
    <w:p w14:paraId="2076E0F0" w14:textId="77777777" w:rsidR="004072BE" w:rsidRPr="003E0E9B" w:rsidRDefault="004072BE" w:rsidP="004072BE">
      <w:pPr>
        <w:rPr>
          <w:rFonts w:asciiTheme="minorHAnsi" w:hAnsiTheme="minorHAnsi" w:cstheme="minorHAnsi"/>
        </w:rPr>
      </w:pPr>
    </w:p>
    <w:p w14:paraId="0BA0183B" w14:textId="77777777" w:rsidR="004072BE" w:rsidRDefault="004072BE" w:rsidP="004072BE">
      <w:pPr>
        <w:tabs>
          <w:tab w:val="left" w:pos="5245"/>
        </w:tabs>
        <w:spacing w:after="40"/>
        <w:rPr>
          <w:rFonts w:asciiTheme="minorHAnsi" w:hAnsi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2"/>
        <w:gridCol w:w="4540"/>
      </w:tblGrid>
      <w:tr w:rsidR="004072BE" w:rsidRPr="005B2EE0" w14:paraId="0ACE0BBD" w14:textId="77777777" w:rsidTr="00F238C4">
        <w:tc>
          <w:tcPr>
            <w:tcW w:w="4606" w:type="dxa"/>
            <w:hideMark/>
          </w:tcPr>
          <w:p w14:paraId="17CE3606" w14:textId="77777777" w:rsidR="004072BE" w:rsidRPr="005B2EE0" w:rsidRDefault="004072BE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105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5CFB4C8F" w14:textId="77777777" w:rsidR="004072BE" w:rsidRDefault="004072BE" w:rsidP="00F238C4">
            <w:pPr>
              <w:tabs>
                <w:tab w:val="left" w:pos="5245"/>
              </w:tabs>
              <w:spacing w:after="40"/>
              <w:ind w:left="-105"/>
              <w:rPr>
                <w:rFonts w:asciiTheme="minorHAnsi" w:hAnsiTheme="minorHAnsi" w:cstheme="minorHAnsi"/>
              </w:rPr>
            </w:pPr>
            <w:r w:rsidRPr="001652E3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Ing. Antonín Klimša, MBA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2FB4F59F" w14:textId="77777777" w:rsidR="004072BE" w:rsidRDefault="004072BE" w:rsidP="00F238C4">
            <w:pPr>
              <w:tabs>
                <w:tab w:val="left" w:pos="5245"/>
              </w:tabs>
              <w:spacing w:after="40"/>
              <w:ind w:left="-105"/>
              <w:rPr>
                <w:rFonts w:asciiTheme="minorHAnsi" w:hAnsiTheme="minorHAnsi" w:cstheme="minorHAnsi"/>
              </w:rPr>
            </w:pPr>
            <w:r w:rsidRPr="001652E3">
              <w:rPr>
                <w:rFonts w:ascii="Calibri" w:hAnsi="Calibri" w:cs="Calibri"/>
                <w:noProof/>
                <w:color w:val="000000"/>
                <w:sz w:val="24"/>
                <w:szCs w:val="24"/>
              </w:rPr>
              <w:t>výkonný ředitel</w:t>
            </w:r>
            <w:r w:rsidRPr="003E0E9B">
              <w:rPr>
                <w:rFonts w:asciiTheme="minorHAnsi" w:hAnsiTheme="minorHAnsi" w:cstheme="minorHAnsi"/>
              </w:rPr>
              <w:t xml:space="preserve"> </w:t>
            </w:r>
          </w:p>
          <w:p w14:paraId="4C3FAF46" w14:textId="77777777" w:rsidR="004072BE" w:rsidRPr="005B2EE0" w:rsidRDefault="004072BE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ind w:left="-105"/>
              <w:textAlignment w:val="baseline"/>
              <w:rPr>
                <w:rFonts w:asciiTheme="minorHAnsi" w:hAnsi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RBP, zdravotní pojišťovna</w:t>
            </w:r>
          </w:p>
        </w:tc>
        <w:tc>
          <w:tcPr>
            <w:tcW w:w="4606" w:type="dxa"/>
          </w:tcPr>
          <w:p w14:paraId="4233FA74" w14:textId="77777777" w:rsidR="004072BE" w:rsidRPr="005B2EE0" w:rsidRDefault="004072BE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005B2EE0">
              <w:rPr>
                <w:rFonts w:asciiTheme="minorHAnsi" w:hAnsiTheme="minorHAnsi"/>
              </w:rPr>
              <w:t>…………………………………………………………..</w:t>
            </w:r>
          </w:p>
          <w:p w14:paraId="5F1C0ECD" w14:textId="77777777" w:rsidR="004072BE" w:rsidRDefault="004072BE" w:rsidP="00F238C4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Serkan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Kececioglu</w:t>
            </w:r>
            <w:proofErr w:type="spellEnd"/>
            <w:r>
              <w:rPr>
                <w:rFonts w:ascii="Calibri" w:hAnsi="Calibri" w:cs="Calibri"/>
              </w:rPr>
              <w:t xml:space="preserve">, jednatel </w:t>
            </w:r>
          </w:p>
          <w:p w14:paraId="5270C66F" w14:textId="77777777" w:rsidR="004072BE" w:rsidRPr="00F671DD" w:rsidRDefault="004072BE" w:rsidP="00F238C4">
            <w:pPr>
              <w:tabs>
                <w:tab w:val="left" w:pos="5245"/>
              </w:tabs>
              <w:spacing w:after="40"/>
              <w:rPr>
                <w:rFonts w:ascii="Calibri" w:hAnsi="Calibri" w:cs="Calibri"/>
              </w:rPr>
            </w:pPr>
            <w:proofErr w:type="spellStart"/>
            <w:r w:rsidRPr="5D702A45">
              <w:rPr>
                <w:rFonts w:ascii="Calibri" w:hAnsi="Calibri" w:cs="Calibri"/>
              </w:rPr>
              <w:t>Merck</w:t>
            </w:r>
            <w:proofErr w:type="spellEnd"/>
            <w:r w:rsidRPr="5D702A45">
              <w:rPr>
                <w:rFonts w:ascii="Calibri" w:hAnsi="Calibri" w:cs="Calibri"/>
              </w:rPr>
              <w:t xml:space="preserve"> spol. </w:t>
            </w:r>
            <w:r>
              <w:rPr>
                <w:rFonts w:ascii="Calibri" w:hAnsi="Calibri" w:cs="Calibri"/>
              </w:rPr>
              <w:t>s</w:t>
            </w:r>
            <w:r w:rsidRPr="5D702A45">
              <w:rPr>
                <w:rFonts w:ascii="Calibri" w:hAnsi="Calibri" w:cs="Calibri"/>
              </w:rPr>
              <w:t> r.o.</w:t>
            </w:r>
          </w:p>
          <w:p w14:paraId="4B7962BF" w14:textId="77777777" w:rsidR="004072BE" w:rsidRPr="005B2EE0" w:rsidRDefault="004072BE" w:rsidP="00F238C4">
            <w:pPr>
              <w:tabs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40"/>
              <w:textAlignment w:val="baseline"/>
              <w:rPr>
                <w:rFonts w:asciiTheme="minorHAnsi" w:hAnsiTheme="minorHAnsi"/>
              </w:rPr>
            </w:pPr>
            <w:r w:rsidRPr="5D702A45">
              <w:rPr>
                <w:rFonts w:ascii="Calibri" w:hAnsi="Calibri" w:cs="Calibri"/>
              </w:rPr>
              <w:t xml:space="preserve">na základě plné moci za </w:t>
            </w:r>
            <w:proofErr w:type="spellStart"/>
            <w:r w:rsidRPr="5D702A45">
              <w:rPr>
                <w:rFonts w:ascii="Calibri" w:hAnsi="Calibri" w:cs="Calibri"/>
              </w:rPr>
              <w:t>Merck</w:t>
            </w:r>
            <w:proofErr w:type="spellEnd"/>
            <w:r w:rsidRPr="5D702A45">
              <w:rPr>
                <w:rFonts w:ascii="Calibri" w:hAnsi="Calibri" w:cs="Calibri"/>
              </w:rPr>
              <w:t xml:space="preserve"> </w:t>
            </w:r>
            <w:proofErr w:type="spellStart"/>
            <w:r w:rsidRPr="5D702A45">
              <w:rPr>
                <w:rFonts w:ascii="Calibri" w:hAnsi="Calibri" w:cs="Calibri"/>
              </w:rPr>
              <w:t>Europe</w:t>
            </w:r>
            <w:proofErr w:type="spellEnd"/>
            <w:r w:rsidRPr="5D702A45">
              <w:rPr>
                <w:rFonts w:ascii="Calibri" w:hAnsi="Calibri" w:cs="Calibri"/>
              </w:rPr>
              <w:t xml:space="preserve"> B.V.</w:t>
            </w:r>
          </w:p>
        </w:tc>
      </w:tr>
    </w:tbl>
    <w:p w14:paraId="47BFF2C7" w14:textId="12EAFFAF" w:rsidR="00E358D5" w:rsidRPr="002F701F" w:rsidRDefault="00E358D5" w:rsidP="00090DBC">
      <w:pPr>
        <w:tabs>
          <w:tab w:val="left" w:pos="5245"/>
        </w:tabs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sectPr w:rsidR="00E358D5" w:rsidRPr="002F701F"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2DEC8" w14:textId="77777777" w:rsidR="00FF515F" w:rsidRDefault="00FF515F">
      <w:pPr>
        <w:spacing w:after="0" w:line="240" w:lineRule="auto"/>
      </w:pPr>
      <w:r>
        <w:separator/>
      </w:r>
    </w:p>
  </w:endnote>
  <w:endnote w:type="continuationSeparator" w:id="0">
    <w:p w14:paraId="4FF921F9" w14:textId="77777777" w:rsidR="00FF515F" w:rsidRDefault="00FF5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EDC0" w14:textId="67F3AF48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E23BD">
      <w:rPr>
        <w:noProof/>
        <w:color w:val="000000"/>
        <w:sz w:val="18"/>
        <w:lang w:val="pl-PL"/>
      </w:rPr>
      <w:t>4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3AB99" w14:textId="77777777" w:rsidR="00FF515F" w:rsidRDefault="00FF515F">
      <w:pPr>
        <w:spacing w:after="0" w:line="240" w:lineRule="auto"/>
      </w:pPr>
      <w:r>
        <w:separator/>
      </w:r>
    </w:p>
  </w:footnote>
  <w:footnote w:type="continuationSeparator" w:id="0">
    <w:p w14:paraId="35012A83" w14:textId="77777777" w:rsidR="00FF515F" w:rsidRDefault="00FF5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76DB9"/>
    <w:multiLevelType w:val="hybridMultilevel"/>
    <w:tmpl w:val="B02067A8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9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829635430">
    <w:abstractNumId w:val="2"/>
  </w:num>
  <w:num w:numId="2" w16cid:durableId="72170051">
    <w:abstractNumId w:val="2"/>
  </w:num>
  <w:num w:numId="3" w16cid:durableId="734936637">
    <w:abstractNumId w:val="3"/>
  </w:num>
  <w:num w:numId="4" w16cid:durableId="1781757500">
    <w:abstractNumId w:val="6"/>
  </w:num>
  <w:num w:numId="5" w16cid:durableId="792746228">
    <w:abstractNumId w:val="10"/>
  </w:num>
  <w:num w:numId="6" w16cid:durableId="1763718600">
    <w:abstractNumId w:val="9"/>
  </w:num>
  <w:num w:numId="7" w16cid:durableId="579678280">
    <w:abstractNumId w:val="1"/>
  </w:num>
  <w:num w:numId="8" w16cid:durableId="755398045">
    <w:abstractNumId w:val="7"/>
  </w:num>
  <w:num w:numId="9" w16cid:durableId="465005981">
    <w:abstractNumId w:val="5"/>
  </w:num>
  <w:num w:numId="10" w16cid:durableId="1152210029">
    <w:abstractNumId w:val="4"/>
  </w:num>
  <w:num w:numId="11" w16cid:durableId="765230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67283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09048629">
    <w:abstractNumId w:val="0"/>
  </w:num>
  <w:num w:numId="14" w16cid:durableId="3356209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3328C"/>
    <w:rsid w:val="00054923"/>
    <w:rsid w:val="00064DB4"/>
    <w:rsid w:val="00090DBC"/>
    <w:rsid w:val="00095B2E"/>
    <w:rsid w:val="000A1DC7"/>
    <w:rsid w:val="000A7E99"/>
    <w:rsid w:val="000C2B74"/>
    <w:rsid w:val="000C76F4"/>
    <w:rsid w:val="000E01EB"/>
    <w:rsid w:val="000E23BD"/>
    <w:rsid w:val="000F4A8A"/>
    <w:rsid w:val="000F7CFE"/>
    <w:rsid w:val="00103627"/>
    <w:rsid w:val="00161FA9"/>
    <w:rsid w:val="001633DB"/>
    <w:rsid w:val="00176586"/>
    <w:rsid w:val="00182ABD"/>
    <w:rsid w:val="00187F24"/>
    <w:rsid w:val="001B3A0C"/>
    <w:rsid w:val="001C48C0"/>
    <w:rsid w:val="001E4197"/>
    <w:rsid w:val="001F69A9"/>
    <w:rsid w:val="00233045"/>
    <w:rsid w:val="00273463"/>
    <w:rsid w:val="002B3D35"/>
    <w:rsid w:val="002F701F"/>
    <w:rsid w:val="00343933"/>
    <w:rsid w:val="00375633"/>
    <w:rsid w:val="0037723B"/>
    <w:rsid w:val="00382372"/>
    <w:rsid w:val="003E0FD5"/>
    <w:rsid w:val="003E471F"/>
    <w:rsid w:val="003F55B2"/>
    <w:rsid w:val="004072BE"/>
    <w:rsid w:val="004143B7"/>
    <w:rsid w:val="00433C70"/>
    <w:rsid w:val="004476A2"/>
    <w:rsid w:val="00470DD4"/>
    <w:rsid w:val="004F1B9F"/>
    <w:rsid w:val="0052271B"/>
    <w:rsid w:val="00523987"/>
    <w:rsid w:val="005C6AAF"/>
    <w:rsid w:val="00635E4F"/>
    <w:rsid w:val="006558F4"/>
    <w:rsid w:val="00656763"/>
    <w:rsid w:val="006676A5"/>
    <w:rsid w:val="006702E4"/>
    <w:rsid w:val="006806C8"/>
    <w:rsid w:val="006E7FDE"/>
    <w:rsid w:val="00706758"/>
    <w:rsid w:val="00742161"/>
    <w:rsid w:val="00765B60"/>
    <w:rsid w:val="00766B2C"/>
    <w:rsid w:val="00774A40"/>
    <w:rsid w:val="00781562"/>
    <w:rsid w:val="007926E5"/>
    <w:rsid w:val="007D3B82"/>
    <w:rsid w:val="007D6974"/>
    <w:rsid w:val="007D6E5B"/>
    <w:rsid w:val="007E4176"/>
    <w:rsid w:val="007F32FD"/>
    <w:rsid w:val="007F4DC6"/>
    <w:rsid w:val="00811CB1"/>
    <w:rsid w:val="008518A9"/>
    <w:rsid w:val="0086462A"/>
    <w:rsid w:val="00874E98"/>
    <w:rsid w:val="008910E8"/>
    <w:rsid w:val="008E4705"/>
    <w:rsid w:val="00922D8B"/>
    <w:rsid w:val="009253B7"/>
    <w:rsid w:val="00947149"/>
    <w:rsid w:val="00962CD8"/>
    <w:rsid w:val="0097680A"/>
    <w:rsid w:val="00994C22"/>
    <w:rsid w:val="00997E47"/>
    <w:rsid w:val="009A334F"/>
    <w:rsid w:val="009B7D97"/>
    <w:rsid w:val="009E7BD6"/>
    <w:rsid w:val="00A153AE"/>
    <w:rsid w:val="00A5510B"/>
    <w:rsid w:val="00A70912"/>
    <w:rsid w:val="00A86E5A"/>
    <w:rsid w:val="00AA0372"/>
    <w:rsid w:val="00AA0906"/>
    <w:rsid w:val="00AD34FB"/>
    <w:rsid w:val="00B05CC0"/>
    <w:rsid w:val="00B31752"/>
    <w:rsid w:val="00B64A27"/>
    <w:rsid w:val="00B72F44"/>
    <w:rsid w:val="00C043C1"/>
    <w:rsid w:val="00C16C6C"/>
    <w:rsid w:val="00C356C0"/>
    <w:rsid w:val="00C44812"/>
    <w:rsid w:val="00CC1C42"/>
    <w:rsid w:val="00CC6049"/>
    <w:rsid w:val="00D0550C"/>
    <w:rsid w:val="00D35E29"/>
    <w:rsid w:val="00DF01D9"/>
    <w:rsid w:val="00DF0E96"/>
    <w:rsid w:val="00DF33A5"/>
    <w:rsid w:val="00DF3DF9"/>
    <w:rsid w:val="00DFF7EF"/>
    <w:rsid w:val="00E358D5"/>
    <w:rsid w:val="00E4237A"/>
    <w:rsid w:val="00E556C9"/>
    <w:rsid w:val="00E810FA"/>
    <w:rsid w:val="00EA5803"/>
    <w:rsid w:val="00EC4BD2"/>
    <w:rsid w:val="00EC6D96"/>
    <w:rsid w:val="00EE49D5"/>
    <w:rsid w:val="00EF1751"/>
    <w:rsid w:val="00F01D2C"/>
    <w:rsid w:val="00F07C8E"/>
    <w:rsid w:val="00F12611"/>
    <w:rsid w:val="00F15466"/>
    <w:rsid w:val="00F50B1D"/>
    <w:rsid w:val="00F6275D"/>
    <w:rsid w:val="00F67C3E"/>
    <w:rsid w:val="00FA6647"/>
    <w:rsid w:val="00FB03B4"/>
    <w:rsid w:val="00FB0C9B"/>
    <w:rsid w:val="00FF515F"/>
    <w:rsid w:val="0335D114"/>
    <w:rsid w:val="051E5CE3"/>
    <w:rsid w:val="11E3B78E"/>
    <w:rsid w:val="1BFDF753"/>
    <w:rsid w:val="1CE565DA"/>
    <w:rsid w:val="1DF323F3"/>
    <w:rsid w:val="25F52948"/>
    <w:rsid w:val="29F9D984"/>
    <w:rsid w:val="2C3AF4CC"/>
    <w:rsid w:val="316A88F6"/>
    <w:rsid w:val="31A302DF"/>
    <w:rsid w:val="3CCD1E60"/>
    <w:rsid w:val="3F0C6FB1"/>
    <w:rsid w:val="43E687C3"/>
    <w:rsid w:val="462D4A8B"/>
    <w:rsid w:val="4927C576"/>
    <w:rsid w:val="5562E824"/>
    <w:rsid w:val="57373148"/>
    <w:rsid w:val="5C39B353"/>
    <w:rsid w:val="628843AC"/>
    <w:rsid w:val="63B6016D"/>
    <w:rsid w:val="67BE9A9F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7CFE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C447E-DD2E-4D68-83A1-AD67FDFF4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7E2DD-B66C-4F6A-A690-F300DBE7A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10</cp:revision>
  <cp:lastPrinted>2025-09-30T06:25:00Z</cp:lastPrinted>
  <dcterms:created xsi:type="dcterms:W3CDTF">2025-10-13T11:07:00Z</dcterms:created>
  <dcterms:modified xsi:type="dcterms:W3CDTF">2025-10-14T12:05:00Z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  <property fmtid="{D5CDD505-2E9C-101B-9397-08002B2CF9AE}" pid="12" name="MediaServiceImageTags">
    <vt:lpwstr/>
  </property>
</Properties>
</file>