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6B3D" w14:textId="77777777" w:rsidR="00DB247F" w:rsidRDefault="00261716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6A56F3B3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4D0137D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5D8866BE" w14:textId="77777777" w:rsidR="00DB247F" w:rsidRDefault="00DB247F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4DA7A0A" w14:textId="7FF74851" w:rsidR="00DB247F" w:rsidRDefault="00261716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Název:                      </w:t>
      </w:r>
      <w:r w:rsidR="00C06000" w:rsidRPr="00C06000">
        <w:rPr>
          <w:rFonts w:ascii="Times New Roman" w:eastAsia="Times New Roman" w:hAnsi="Times New Roman" w:cs="Times New Roman"/>
          <w:b/>
          <w:sz w:val="22"/>
          <w:szCs w:val="22"/>
        </w:rPr>
        <w:t>TRISIA, a.s.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Adresa: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>nám. Svobody 526, Lyžbice, 739 61 Třinec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IČ: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>64610152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Kontakt: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C06000">
        <w:rPr>
          <w:rFonts w:ascii="Times New Roman" w:eastAsia="Times New Roman" w:hAnsi="Times New Roman" w:cs="Times New Roman"/>
          <w:sz w:val="22"/>
          <w:szCs w:val="22"/>
        </w:rPr>
        <w:t xml:space="preserve">zastoupena Bc. Vojtěchem Dohnalem, ředitelem, </w:t>
      </w:r>
      <w:r w:rsidR="00F31105">
        <w:rPr>
          <w:rFonts w:ascii="Times New Roman" w:eastAsia="Times New Roman" w:hAnsi="Times New Roman" w:cs="Times New Roman"/>
          <w:sz w:val="22"/>
          <w:szCs w:val="22"/>
        </w:rPr>
        <w:t>xxxxxxxxxxxxxxxxxxxxxxx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Pr="00C06000"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</w:t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 xml:space="preserve"> vedena pod značkou</w:t>
      </w:r>
      <w:r w:rsidRPr="00C0600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06000" w:rsidRPr="00C06000">
        <w:rPr>
          <w:rFonts w:ascii="Times New Roman" w:eastAsia="Times New Roman" w:hAnsi="Times New Roman" w:cs="Times New Roman"/>
          <w:sz w:val="22"/>
          <w:szCs w:val="22"/>
        </w:rPr>
        <w:t>B 1254 u Krajského soudu v Ostravě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5C88A481" w14:textId="77777777" w:rsidR="00DB247F" w:rsidRDefault="00DB247F">
      <w:pPr>
        <w:widowControl w:val="0"/>
        <w:tabs>
          <w:tab w:val="left" w:pos="1842"/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11BBEA9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06E0C0C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38D0FA1C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4417C9AB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5FA07DD6" w14:textId="77777777" w:rsidR="009A08F9" w:rsidRDefault="009A08F9" w:rsidP="009A08F9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Organizace je vedena v živnostenském rejstříku statutárního města Ostrava – Živnostenský úřad 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pod č. j. K01055.</w:t>
      </w:r>
    </w:p>
    <w:p w14:paraId="2B0856FB" w14:textId="77777777" w:rsidR="00DB247F" w:rsidRDefault="009A08F9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Korespondenční adresa: Varenská Office Center, Varenská 2723/51, 702 00 Ostrava</w:t>
      </w:r>
      <w:r>
        <w:rPr>
          <w:color w:val="FF0000"/>
        </w:rPr>
        <w:br/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 w:rsidR="00261716"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 w:rsidR="00261716"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79FDA5A9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12C9335E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C25E6">
        <w:rPr>
          <w:rFonts w:ascii="Times New Roman" w:eastAsia="Times New Roman" w:hAnsi="Times New Roman" w:cs="Times New Roman"/>
          <w:b/>
          <w:sz w:val="22"/>
          <w:szCs w:val="22"/>
        </w:rPr>
        <w:t>Kč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  <w:t>Majitel účtu (jméno): Janáčkova filharmonie Ostrava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  <w:t>Číslo účtu: 3139761/0100</w:t>
      </w:r>
      <w:r w:rsidRPr="000C25E6">
        <w:rPr>
          <w:rFonts w:ascii="Times New Roman" w:eastAsia="Times New Roman" w:hAnsi="Times New Roman" w:cs="Times New Roman"/>
          <w:sz w:val="22"/>
          <w:szCs w:val="22"/>
        </w:rPr>
        <w:br/>
        <w:t>Název banky: Komerční banka, a.s.</w:t>
      </w:r>
    </w:p>
    <w:p w14:paraId="1F8475D8" w14:textId="77777777" w:rsidR="00DB247F" w:rsidRDefault="00DB247F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37A9AFF1" w14:textId="77777777" w:rsidR="00DB247F" w:rsidRDefault="00261716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</w:p>
    <w:p w14:paraId="03CF8D8A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tato Smlouva o provedení uměleckého výkonu dále také jako „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Smlouva</w:t>
      </w:r>
      <w:r>
        <w:rPr>
          <w:rFonts w:ascii="Times New Roman" w:eastAsia="Times New Roman" w:hAnsi="Times New Roman" w:cs="Times New Roman"/>
          <w:b w:val="0"/>
          <w:i/>
          <w:sz w:val="22"/>
          <w:szCs w:val="22"/>
        </w:rPr>
        <w:t>“)</w:t>
      </w:r>
    </w:p>
    <w:p w14:paraId="4C75AA91" w14:textId="21CD2F3E" w:rsidR="002D49FF" w:rsidRDefault="002D49FF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584A3811" w14:textId="77777777" w:rsidR="00DB247F" w:rsidRDefault="00261716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3" w:name="_3znysh7" w:colFirst="0" w:colLast="0"/>
      <w:bookmarkStart w:id="4" w:name="_2et92p0" w:colFirst="0" w:colLast="0"/>
      <w:bookmarkEnd w:id="3"/>
      <w:bookmarkEnd w:id="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255DBD6" w14:textId="77777777" w:rsidR="00DB247F" w:rsidRDefault="00DB247F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2DF7DA8" w14:textId="77777777" w:rsidR="00DB247F" w:rsidRDefault="00261716">
      <w:pPr>
        <w:widowControl w:val="0"/>
        <w:numPr>
          <w:ilvl w:val="0"/>
          <w:numId w:val="6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angažovat Účinkujícího na následující Produkci: </w:t>
      </w:r>
    </w:p>
    <w:p w14:paraId="72E4527F" w14:textId="57559A5C" w:rsidR="00DB247F" w:rsidRDefault="00261716">
      <w:pPr>
        <w:widowControl w:val="0"/>
        <w:numPr>
          <w:ilvl w:val="1"/>
          <w:numId w:val="6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D63295">
        <w:rPr>
          <w:rFonts w:ascii="Times New Roman" w:eastAsia="Times New Roman" w:hAnsi="Times New Roman" w:cs="Times New Roman"/>
          <w:sz w:val="22"/>
          <w:szCs w:val="22"/>
        </w:rPr>
        <w:t>3</w:t>
      </w:r>
      <w:r w:rsidR="002D49FF">
        <w:rPr>
          <w:rFonts w:ascii="Times New Roman" w:eastAsia="Times New Roman" w:hAnsi="Times New Roman" w:cs="Times New Roman"/>
          <w:sz w:val="22"/>
          <w:szCs w:val="22"/>
        </w:rPr>
        <w:t>. 1. 2026 v 18:00</w:t>
      </w:r>
    </w:p>
    <w:p w14:paraId="3C3DC261" w14:textId="683DF5FB" w:rsidR="00DB247F" w:rsidRDefault="00261716" w:rsidP="002D49FF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0C25E6">
        <w:rPr>
          <w:rFonts w:ascii="Times New Roman" w:eastAsia="Times New Roman" w:hAnsi="Times New Roman" w:cs="Times New Roman"/>
          <w:sz w:val="22"/>
          <w:szCs w:val="22"/>
        </w:rPr>
        <w:t>Trisia</w:t>
      </w:r>
      <w:proofErr w:type="spellEnd"/>
      <w:r w:rsidR="000C25E6">
        <w:rPr>
          <w:rFonts w:ascii="Times New Roman" w:eastAsia="Times New Roman" w:hAnsi="Times New Roman" w:cs="Times New Roman"/>
          <w:sz w:val="22"/>
          <w:szCs w:val="22"/>
        </w:rPr>
        <w:t xml:space="preserve">, nám. Svobody 526, Třinec, 739 61 </w:t>
      </w:r>
    </w:p>
    <w:p w14:paraId="3C7E3658" w14:textId="77777777" w:rsidR="002D49FF" w:rsidRDefault="00261716" w:rsidP="002D49FF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Program: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2D49FF">
        <w:rPr>
          <w:rFonts w:ascii="Times New Roman" w:eastAsia="Times New Roman" w:hAnsi="Times New Roman" w:cs="Times New Roman"/>
          <w:sz w:val="22"/>
          <w:szCs w:val="22"/>
        </w:rPr>
        <w:t>viz příloha č. 1</w:t>
      </w:r>
      <w:r w:rsidR="000C25E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3BB19AB" w14:textId="533F3FC4" w:rsidR="002D49FF" w:rsidRPr="002D49FF" w:rsidRDefault="00261716" w:rsidP="002D49FF">
      <w:pPr>
        <w:widowControl w:val="0"/>
        <w:numPr>
          <w:ilvl w:val="1"/>
          <w:numId w:val="6"/>
        </w:numPr>
        <w:spacing w:line="276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D49FF">
        <w:rPr>
          <w:rFonts w:ascii="Times New Roman" w:eastAsia="Times New Roman" w:hAnsi="Times New Roman" w:cs="Times New Roman"/>
          <w:sz w:val="22"/>
          <w:szCs w:val="22"/>
        </w:rPr>
        <w:t xml:space="preserve">Účinkující: </w:t>
      </w:r>
      <w:r w:rsidRPr="002D49FF">
        <w:rPr>
          <w:rFonts w:ascii="Times New Roman" w:eastAsia="Times New Roman" w:hAnsi="Times New Roman" w:cs="Times New Roman"/>
          <w:sz w:val="22"/>
          <w:szCs w:val="22"/>
        </w:rPr>
        <w:tab/>
        <w:t>orchestr Janáčkovy filharmonie Ostrava (zajištěný Účinkujícím)</w:t>
      </w:r>
      <w:r w:rsidRPr="002D49FF">
        <w:rPr>
          <w:rFonts w:ascii="Times New Roman" w:eastAsia="Times New Roman" w:hAnsi="Times New Roman" w:cs="Times New Roman"/>
          <w:sz w:val="22"/>
          <w:szCs w:val="22"/>
        </w:rPr>
        <w:br/>
      </w:r>
      <w:r w:rsidRPr="002D49FF">
        <w:rPr>
          <w:rFonts w:ascii="Times New Roman" w:eastAsia="Times New Roman" w:hAnsi="Times New Roman" w:cs="Times New Roman"/>
          <w:sz w:val="22"/>
          <w:szCs w:val="22"/>
        </w:rPr>
        <w:tab/>
      </w:r>
      <w:r w:rsidRPr="002D49FF">
        <w:rPr>
          <w:rFonts w:ascii="Times New Roman" w:eastAsia="Times New Roman" w:hAnsi="Times New Roman" w:cs="Times New Roman"/>
          <w:sz w:val="22"/>
          <w:szCs w:val="22"/>
        </w:rPr>
        <w:tab/>
      </w:r>
      <w:r w:rsidRPr="002D49FF">
        <w:rPr>
          <w:rFonts w:ascii="Times New Roman" w:eastAsia="Times New Roman" w:hAnsi="Times New Roman" w:cs="Times New Roman"/>
          <w:sz w:val="22"/>
          <w:szCs w:val="22"/>
        </w:rPr>
        <w:tab/>
      </w:r>
      <w:proofErr w:type="spellStart"/>
      <w:r w:rsidR="002D49FF" w:rsidRPr="002D49FF">
        <w:rPr>
          <w:rFonts w:ascii="Times New Roman" w:eastAsia="Times New Roman" w:hAnsi="Times New Roman" w:cs="Times New Roman"/>
          <w:sz w:val="22"/>
          <w:szCs w:val="22"/>
        </w:rPr>
        <w:t>Hossein</w:t>
      </w:r>
      <w:proofErr w:type="spellEnd"/>
      <w:r w:rsidR="002D49FF" w:rsidRPr="002D49F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D49FF" w:rsidRPr="002D49FF">
        <w:rPr>
          <w:rFonts w:ascii="Times New Roman" w:eastAsia="Times New Roman" w:hAnsi="Times New Roman" w:cs="Times New Roman"/>
          <w:sz w:val="22"/>
          <w:szCs w:val="22"/>
        </w:rPr>
        <w:t>Pishkar</w:t>
      </w:r>
      <w:proofErr w:type="spellEnd"/>
      <w:r w:rsidR="002D49FF" w:rsidRPr="002D49FF">
        <w:rPr>
          <w:rFonts w:ascii="Times New Roman" w:eastAsia="Times New Roman" w:hAnsi="Times New Roman" w:cs="Times New Roman"/>
          <w:sz w:val="22"/>
          <w:szCs w:val="22"/>
        </w:rPr>
        <w:t xml:space="preserve"> jako dirigent (zajištěný Účinkujícím)</w:t>
      </w:r>
    </w:p>
    <w:p w14:paraId="5F7967E4" w14:textId="07EFFA45" w:rsidR="00DB247F" w:rsidRPr="002D49FF" w:rsidRDefault="002D49FF" w:rsidP="002D49FF">
      <w:pPr>
        <w:pStyle w:val="Odstavecseseznamem"/>
        <w:widowControl w:val="0"/>
        <w:spacing w:line="276" w:lineRule="auto"/>
        <w:ind w:left="28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Vilém Vlček jako sólistka (zajištěný </w:t>
      </w:r>
      <w:r w:rsidRPr="008E77C6">
        <w:rPr>
          <w:rFonts w:ascii="Times New Roman" w:eastAsia="Times New Roman" w:hAnsi="Times New Roman" w:cs="Times New Roman"/>
          <w:sz w:val="22"/>
          <w:szCs w:val="22"/>
        </w:rPr>
        <w:t>Účinkujícím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Pr="008E77C6">
        <w:rPr>
          <w:rFonts w:ascii="Times New Roman" w:eastAsia="Times New Roman" w:hAnsi="Times New Roman" w:cs="Times New Roman"/>
          <w:sz w:val="22"/>
          <w:szCs w:val="22"/>
        </w:rPr>
        <w:br/>
      </w:r>
      <w:r w:rsidRPr="008E77C6">
        <w:rPr>
          <w:rFonts w:ascii="Times New Roman" w:eastAsia="Times New Roman" w:hAnsi="Times New Roman" w:cs="Times New Roman"/>
          <w:sz w:val="22"/>
          <w:szCs w:val="22"/>
        </w:rPr>
        <w:tab/>
      </w:r>
      <w:r w:rsidRPr="008E77C6">
        <w:rPr>
          <w:rFonts w:ascii="Times New Roman" w:eastAsia="Times New Roman" w:hAnsi="Times New Roman" w:cs="Times New Roman"/>
          <w:sz w:val="22"/>
          <w:szCs w:val="22"/>
        </w:rPr>
        <w:tab/>
      </w:r>
      <w:r w:rsidRPr="008E77C6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F937789" w14:textId="77777777" w:rsidR="00DB247F" w:rsidRDefault="00261716" w:rsidP="002D49FF">
      <w:pPr>
        <w:widowControl w:val="0"/>
        <w:numPr>
          <w:ilvl w:val="0"/>
          <w:numId w:val="9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k účasti na výše uvedené Produkci, být plně připraven k uvedenému výkonu, a to na adekvátní umělecké úrovni. </w:t>
      </w:r>
    </w:p>
    <w:p w14:paraId="675D973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C7EE7A9" w14:textId="77777777" w:rsidR="00DB247F" w:rsidRDefault="00261716" w:rsidP="002D49FF">
      <w:pPr>
        <w:widowControl w:val="0"/>
        <w:numPr>
          <w:ilvl w:val="0"/>
          <w:numId w:val="9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zajistit adekvátní podmínky k výkonu, a to zejména: </w:t>
      </w:r>
    </w:p>
    <w:p w14:paraId="7B89E73A" w14:textId="77777777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místo konání (včetně propagace v případě veřejné události), </w:t>
      </w:r>
    </w:p>
    <w:p w14:paraId="74789C0C" w14:textId="2FEB7AEA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dostatečně vytopené (min. </w:t>
      </w:r>
      <w:r w:rsidR="001A3EC6"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°C) a osvětlené pódium nebo obdobný koncertní prostor o minimálních rozměrech 14×10 m se třemi vyvýšenými stupni (dle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stageplanu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, který je součástí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), včetně uvedeného počtu koncertních židlí a notových stojanů,</w:t>
      </w:r>
    </w:p>
    <w:p w14:paraId="52075B7D" w14:textId="77777777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zázemí ve vytopených uzamykatelných (nebo hlídaných) šatnách oddělených pro muže (minimální kapacita 40 osob), ženy (minimální kapacita 40 osob) a samostatné šatny vždy zvlášť pro koncertního mistra, dirigenta a sólistu(y); v šatnách musí být pro každého člena orchestru alespoň jedna židle, dostatek stolů na odložení osobních věcí pro všechny; oddělené toalety; </w:t>
      </w:r>
    </w:p>
    <w:p w14:paraId="7F4DB03C" w14:textId="77777777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 zázemí bude nejpozději hodinu před koncertem připraveno drobné občerstvení (káva, čaj, voda, ovoce, sušenky), a studené nápoje v dostatečné míře,</w:t>
      </w:r>
      <w:r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 </w:t>
      </w:r>
    </w:p>
    <w:p w14:paraId="626EE83A" w14:textId="77777777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kompetentní personál: osvětlovače, jevištního mistra, 2 pomocníky na nakládku (zpravidla 3 hodiny před začátkem zkoušky) a vykládku (neprodleně po skončení Produkce) nástrojů,</w:t>
      </w:r>
    </w:p>
    <w:p w14:paraId="53CFF1C7" w14:textId="77777777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parkovací místo pro kamion a dva autobusy,</w:t>
      </w:r>
    </w:p>
    <w:p w14:paraId="74E095C4" w14:textId="77777777" w:rsidR="00DB247F" w:rsidRDefault="00261716" w:rsidP="002D49FF">
      <w:pPr>
        <w:widowControl w:val="0"/>
        <w:numPr>
          <w:ilvl w:val="1"/>
          <w:numId w:val="9"/>
        </w:numPr>
        <w:spacing w:line="288" w:lineRule="auto"/>
        <w:ind w:left="1133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C25E6">
        <w:rPr>
          <w:rFonts w:ascii="Times New Roman" w:eastAsia="Times New Roman" w:hAnsi="Times New Roman" w:cs="Times New Roman"/>
          <w:sz w:val="22"/>
          <w:szCs w:val="22"/>
        </w:rPr>
        <w:t>10 ks čestných vstupenek.</w:t>
      </w:r>
    </w:p>
    <w:p w14:paraId="4958C4EC" w14:textId="77777777" w:rsidR="002D49FF" w:rsidRPr="000C25E6" w:rsidRDefault="002D49FF" w:rsidP="002D49FF">
      <w:pPr>
        <w:widowControl w:val="0"/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6DE75C3" w14:textId="77777777" w:rsidR="00DB247F" w:rsidRDefault="00261716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Podrobné technické požadavky jsou součástí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rideru</w:t>
      </w:r>
      <w:proofErr w:type="spellEnd"/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, který Účinkující dodá Pořadateli s dostatečným předstihem v dohodnutém termínu. </w:t>
      </w:r>
    </w:p>
    <w:p w14:paraId="7F58B9E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9E049EE" w14:textId="77777777" w:rsidR="00DB247F" w:rsidRDefault="00261716" w:rsidP="002D49FF">
      <w:pPr>
        <w:widowControl w:val="0"/>
        <w:numPr>
          <w:ilvl w:val="0"/>
          <w:numId w:val="9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Notový materiál zajišťuje Účinkující. Nahlášení a úhrada autorských práv je povinností Pořadatele.</w:t>
      </w:r>
    </w:p>
    <w:p w14:paraId="7C80EAB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8B9D568" w14:textId="77777777" w:rsidR="00DB247F" w:rsidRDefault="00261716" w:rsidP="002D49FF">
      <w:pPr>
        <w:widowControl w:val="0"/>
        <w:numPr>
          <w:ilvl w:val="0"/>
          <w:numId w:val="9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Pokud Pořadatel vydává tiskové zprávy, edituje články, pozvánky či jakékoli texty v rámci PR aktivit spojených s vystoupením, je povinen vše v kompletním rozsahu a s dostatečným předstihem předložit Účinkujícímu ke schválení. Ten si vyhrazuje právo na změny v textech v zájmu šíření dobrého jména a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zajištění správnosti informací. Pořadatel je povinen vždy a všude používat a komunikovat správný a úplný název Janáčkova filharmonie Ostrava a logo Janáčkovy filharmonie.</w:t>
      </w:r>
    </w:p>
    <w:p w14:paraId="0C3CF018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4E085C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47840B0" w14:textId="77777777" w:rsidR="00DB247F" w:rsidRDefault="00261716">
      <w:pPr>
        <w:widowControl w:val="0"/>
        <w:spacing w:line="288" w:lineRule="auto"/>
        <w:ind w:left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54567847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AAA9AB" w14:textId="77777777" w:rsidR="002D49FF" w:rsidRDefault="00261716">
      <w:pPr>
        <w:widowControl w:val="0"/>
        <w:numPr>
          <w:ilvl w:val="0"/>
          <w:numId w:val="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Dopravu na místo konání (a zpět) zajišťuje Účinkující sám. </w:t>
      </w:r>
    </w:p>
    <w:p w14:paraId="7A669ED2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711834C" w14:textId="77777777" w:rsidR="002D49FF" w:rsidRDefault="002D49F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4DE7D0B4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5" w:name="_tyjcwt" w:colFirst="0" w:colLast="0"/>
      <w:bookmarkEnd w:id="5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Licence</w:t>
      </w:r>
    </w:p>
    <w:p w14:paraId="513E7151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38E07CA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Produkce nemůže být nahrávána. V případě, že by Produkce měla být nahrávána, bude o tomto uzavřena doplňující smlouva o poskytnutí licence. </w:t>
      </w:r>
    </w:p>
    <w:p w14:paraId="5ACDC8A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9729E0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i třetí stranou po řádném a včasném oznámení.  </w:t>
      </w:r>
    </w:p>
    <w:p w14:paraId="792E383C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304908" w14:textId="77777777" w:rsidR="00DB247F" w:rsidRDefault="00261716">
      <w:pPr>
        <w:widowControl w:val="0"/>
        <w:numPr>
          <w:ilvl w:val="0"/>
          <w:numId w:val="5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je oprávněn užívat pouze fotografie Účinkujícího, které byly za tímto účelem zaslány (na základě požadavku Pořadatele). Pořadatel je oprávněn pořizovat fotografie z Produkce pouze na základě předchozího svolení Účinkujícím, a v takovém případě se zavazuje pořízené fotografie Účinkujícímu poskytnout neprodleně po jejich vyhotovení pro různé účely. Pořadatel souhlasí s pořizováním fotografií Účinkujícím během Produkce a zároveň souhlasí s jejich využitím v rámci propagace akce.</w:t>
      </w:r>
    </w:p>
    <w:p w14:paraId="406EC63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B6439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F4C6A2D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3dy6vkm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0192045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BC1ADF" w14:textId="269453EA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sjednaný honorář ve </w:t>
      </w:r>
      <w:r w:rsidRPr="007C3AD8">
        <w:rPr>
          <w:rFonts w:ascii="Times New Roman" w:eastAsia="Times New Roman" w:hAnsi="Times New Roman" w:cs="Times New Roman"/>
          <w:sz w:val="22"/>
          <w:szCs w:val="22"/>
        </w:rPr>
        <w:t xml:space="preserve">výši </w:t>
      </w:r>
      <w:r w:rsidR="001A3EC6" w:rsidRPr="001A3EC6">
        <w:rPr>
          <w:rFonts w:ascii="Times New Roman" w:eastAsia="Times New Roman" w:hAnsi="Times New Roman" w:cs="Times New Roman"/>
          <w:b/>
          <w:bCs/>
          <w:sz w:val="22"/>
          <w:szCs w:val="22"/>
        </w:rPr>
        <w:t>200 000,-</w:t>
      </w:r>
      <w:r w:rsidRPr="001A3EC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Kč</w:t>
      </w:r>
      <w:r w:rsidRPr="001A3EC6">
        <w:rPr>
          <w:rFonts w:ascii="Times New Roman" w:eastAsia="Times New Roman" w:hAnsi="Times New Roman" w:cs="Times New Roman"/>
          <w:sz w:val="22"/>
          <w:szCs w:val="22"/>
        </w:rPr>
        <w:t xml:space="preserve"> (slovy:</w:t>
      </w:r>
      <w:r w:rsidR="001A3EC6" w:rsidRPr="001A3EC6">
        <w:rPr>
          <w:rFonts w:ascii="Times New Roman" w:eastAsia="Times New Roman" w:hAnsi="Times New Roman" w:cs="Times New Roman"/>
          <w:sz w:val="22"/>
          <w:szCs w:val="22"/>
        </w:rPr>
        <w:t xml:space="preserve"> dvě-stě-tisíc-korun</w:t>
      </w:r>
      <w:r w:rsidRPr="001A3EC6"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čistého, a to na základě vystavené faktury vykonavatelem po ukončení Produkce. Honorář pokrývá veškeré náklady spojené s výkonem v rámci Produkce. </w:t>
      </w:r>
    </w:p>
    <w:p w14:paraId="205FC47E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501CECC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zaručuje, že je v případě plnění této smlouvy osvobozen od platby DPH.</w:t>
      </w:r>
    </w:p>
    <w:p w14:paraId="0167245B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CEA6C08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Pořadatel se zavazuje vyvinout veškeré prostředky, aby zamezil stržení daně z honoráře. </w:t>
      </w:r>
    </w:p>
    <w:p w14:paraId="783F58DA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40A8CB" w14:textId="77777777" w:rsidR="00DB247F" w:rsidRDefault="00261716">
      <w:pPr>
        <w:widowControl w:val="0"/>
        <w:numPr>
          <w:ilvl w:val="0"/>
          <w:numId w:val="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1898487E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21CDF6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CE71516" w14:textId="77777777" w:rsidR="00DB247F" w:rsidRDefault="00DB247F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1t3h5sf" w:colFirst="0" w:colLast="0"/>
      <w:bookmarkEnd w:id="7"/>
    </w:p>
    <w:p w14:paraId="6820A1BD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8" w:name="_4d34og8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46E9CB11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12202B3D" w14:textId="77777777" w:rsidR="00DB247F" w:rsidRDefault="00261716">
      <w:pPr>
        <w:numPr>
          <w:ilvl w:val="0"/>
          <w:numId w:val="7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Pakliže Účinkující nesplní závazky vyplývající z této Smlouvy z důvodů jiných, než je selhání Pořadatele,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 </w:t>
      </w:r>
    </w:p>
    <w:p w14:paraId="77277163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3F35E5F1" w14:textId="77777777" w:rsidR="00DB247F" w:rsidRDefault="00261716">
      <w:pPr>
        <w:numPr>
          <w:ilvl w:val="0"/>
          <w:numId w:val="8"/>
        </w:num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 z důvodů jiných, než které jsou mimo jeho kontrolu (politická regulace, válka, přírodní katastrofa nebo obdobný zásah vyšší moci), a jejich nesplnění povede ke znemožnění provedení Produkce, je Pořadatel povinen uhradit Účinkujícímu celou odměnu jak je uvedeno výše. Případné další výdaje nejsou Pořadatelem hrazeny.</w:t>
      </w:r>
    </w:p>
    <w:p w14:paraId="11C31583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041CF698" w14:textId="77777777" w:rsidR="00DB247F" w:rsidRDefault="00DB247F">
      <w:pPr>
        <w:spacing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</w:p>
    <w:p w14:paraId="662CDAF1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61D83274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E14835A" w14:textId="77777777" w:rsidR="00DB247F" w:rsidRDefault="00261716">
      <w:pPr>
        <w:widowControl w:val="0"/>
        <w:numPr>
          <w:ilvl w:val="0"/>
          <w:numId w:val="3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33FFED29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3A1316" w14:textId="77777777" w:rsidR="00DB247F" w:rsidRDefault="00DB247F">
      <w:p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AFB20FC" w14:textId="77777777" w:rsidR="00DB247F" w:rsidRDefault="00261716">
      <w:pPr>
        <w:pStyle w:val="Nadpis2"/>
        <w:widowControl w:val="0"/>
        <w:spacing w:before="0" w:after="0" w:line="288" w:lineRule="auto"/>
        <w:ind w:left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17dp8vu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F2D5642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95325B4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45DA2A74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9B8998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Tato smlouva se řídí právním řádem České republiky. Příslušné pro řešení jakýchkoli sporů, které nebudou vyřešeny Smluvními stranami smírně, jsou soudy České republiky, a to soudy místně příslušné na straně Účinkujícího.</w:t>
      </w:r>
    </w:p>
    <w:p w14:paraId="32FA63D0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AD3E300" w14:textId="77777777" w:rsidR="00DB247F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3DB858EF" w14:textId="77777777" w:rsidR="00DB247F" w:rsidRDefault="00DB247F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388BCF" w14:textId="77777777" w:rsidR="00DB247F" w:rsidRPr="005E049A" w:rsidRDefault="00261716">
      <w:pPr>
        <w:widowControl w:val="0"/>
        <w:numPr>
          <w:ilvl w:val="0"/>
          <w:numId w:val="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obsahem souhlasí, a tato je sepsána podle jejich pravé a skutečné vůle, srozumitelně a určitě, nikoli v tísni za nápadně nevýhodných podmínek. Tato Smlouva je účinná dnem podpisu poslední ze Smluvních stran. </w:t>
      </w:r>
      <w:r w:rsidRPr="005E049A">
        <w:rPr>
          <w:rFonts w:ascii="Times New Roman" w:eastAsia="Times New Roman" w:hAnsi="Times New Roman" w:cs="Times New Roman"/>
          <w:sz w:val="22"/>
          <w:szCs w:val="22"/>
        </w:rPr>
        <w:t xml:space="preserve">Pokud tato Smlouva podléhá zákonu o registru smluv č. 340/2015 Sb., stává se účinnou dnem zveřejnění v Registru smluv. </w:t>
      </w:r>
    </w:p>
    <w:p w14:paraId="68586CDF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559DB3" w14:textId="77777777" w:rsidR="00DB247F" w:rsidRDefault="00DB247F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DB247F" w14:paraId="34F5ADE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68FAB14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0A2E9F1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DB247F" w14:paraId="499B22E4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01E1BD0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E1DD5AD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2032751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F9664E2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A92D10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0578DE8D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C1ADC5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3438EF" w14:textId="77777777" w:rsidR="00DB247F" w:rsidRDefault="00DB247F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B247F" w14:paraId="7380337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8FE83C5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11DE0C" w14:textId="77777777" w:rsidR="00DB247F" w:rsidRDefault="00261716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DB247F" w14:paraId="43E878DE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4490D7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9754BC5" w14:textId="77777777" w:rsidR="00DB247F" w:rsidRDefault="00261716">
            <w:pPr>
              <w:widowControl w:val="0"/>
              <w:spacing w:line="288" w:lineRule="auto"/>
              <w:ind w:left="70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DB247F" w14:paraId="60D89E0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871AE3F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36794F" w14:textId="77777777" w:rsidR="00DB247F" w:rsidRDefault="00DB247F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7133FDBC" w14:textId="77777777" w:rsidR="00DB247F" w:rsidRDefault="00DB247F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29A0B28" w14:textId="29251A53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0F6F9AA7" w14:textId="055E23E0" w:rsidR="00DB247F" w:rsidRP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PŘÍLOHA Č. 1</w:t>
      </w:r>
    </w:p>
    <w:p w14:paraId="2A95C5BC" w14:textId="77777777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4543A58" w14:textId="77777777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Wolfgang Amadeus Mozart: </w:t>
      </w:r>
      <w:proofErr w:type="spellStart"/>
      <w:r w:rsidRPr="00BB29FD">
        <w:rPr>
          <w:rFonts w:ascii="Times New Roman" w:eastAsia="Times New Roman" w:hAnsi="Times New Roman" w:cs="Times New Roman"/>
          <w:sz w:val="22"/>
          <w:szCs w:val="22"/>
        </w:rPr>
        <w:t>Figarova</w:t>
      </w:r>
      <w:proofErr w:type="spellEnd"/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 svatba, předehra </w:t>
      </w:r>
    </w:p>
    <w:p w14:paraId="1C2F881E" w14:textId="77777777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Petr Iljič Čajkovskij: Rokokové variace </w:t>
      </w:r>
    </w:p>
    <w:p w14:paraId="24BACC21" w14:textId="77777777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Johann Strauss: Netopýr, předehra </w:t>
      </w:r>
    </w:p>
    <w:p w14:paraId="080902A5" w14:textId="1EE2BDD9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Johann Strauss: Anenská polka Op.117 </w:t>
      </w:r>
    </w:p>
    <w:p w14:paraId="33387040" w14:textId="5C95C0A4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Johann Strauss: </w:t>
      </w:r>
      <w:proofErr w:type="spellStart"/>
      <w:r w:rsidRPr="00BB29FD">
        <w:rPr>
          <w:rFonts w:ascii="Times New Roman" w:eastAsia="Times New Roman" w:hAnsi="Times New Roman" w:cs="Times New Roman"/>
          <w:sz w:val="22"/>
          <w:szCs w:val="22"/>
        </w:rPr>
        <w:t>Delirien</w:t>
      </w:r>
      <w:proofErr w:type="spellEnd"/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BB29FD">
        <w:rPr>
          <w:rFonts w:ascii="Times New Roman" w:eastAsia="Times New Roman" w:hAnsi="Times New Roman" w:cs="Times New Roman"/>
          <w:sz w:val="22"/>
          <w:szCs w:val="22"/>
        </w:rPr>
        <w:t>Walzer</w:t>
      </w:r>
      <w:proofErr w:type="spellEnd"/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 op. 212</w:t>
      </w:r>
    </w:p>
    <w:p w14:paraId="08AEE6C9" w14:textId="09001379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Johann Strauss: Ohne </w:t>
      </w:r>
      <w:proofErr w:type="spellStart"/>
      <w:r w:rsidRPr="00BB29FD">
        <w:rPr>
          <w:rFonts w:ascii="Times New Roman" w:eastAsia="Times New Roman" w:hAnsi="Times New Roman" w:cs="Times New Roman"/>
          <w:sz w:val="22"/>
          <w:szCs w:val="22"/>
        </w:rPr>
        <w:t>Sorgen</w:t>
      </w:r>
      <w:proofErr w:type="spellEnd"/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! - Polka </w:t>
      </w:r>
      <w:proofErr w:type="spellStart"/>
      <w:r w:rsidRPr="00BB29FD">
        <w:rPr>
          <w:rFonts w:ascii="Times New Roman" w:eastAsia="Times New Roman" w:hAnsi="Times New Roman" w:cs="Times New Roman"/>
          <w:sz w:val="22"/>
          <w:szCs w:val="22"/>
        </w:rPr>
        <w:t>Schnell</w:t>
      </w:r>
      <w:proofErr w:type="spellEnd"/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 op 271</w:t>
      </w:r>
    </w:p>
    <w:p w14:paraId="71D2D549" w14:textId="570A28B7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Johann Strauss: Zvuky sfér – </w:t>
      </w:r>
      <w:proofErr w:type="spellStart"/>
      <w:r w:rsidRPr="00BB29FD">
        <w:rPr>
          <w:rFonts w:ascii="Times New Roman" w:eastAsia="Times New Roman" w:hAnsi="Times New Roman" w:cs="Times New Roman"/>
          <w:sz w:val="22"/>
          <w:szCs w:val="22"/>
        </w:rPr>
        <w:t>Sphärenklänge</w:t>
      </w:r>
      <w:proofErr w:type="spellEnd"/>
      <w:r w:rsidRPr="00BB29FD">
        <w:rPr>
          <w:rFonts w:ascii="Times New Roman" w:eastAsia="Times New Roman" w:hAnsi="Times New Roman" w:cs="Times New Roman"/>
          <w:sz w:val="22"/>
          <w:szCs w:val="22"/>
        </w:rPr>
        <w:t xml:space="preserve"> op. 235 </w:t>
      </w:r>
    </w:p>
    <w:p w14:paraId="7E722C66" w14:textId="044A84F5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>Johann Strauss ml.: Na krásném modrém Dunaji, valčík op. 314</w:t>
      </w:r>
    </w:p>
    <w:p w14:paraId="5AB439FE" w14:textId="79372DCC" w:rsidR="00BB29FD" w:rsidRDefault="00BB29FD" w:rsidP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29FD">
        <w:rPr>
          <w:rFonts w:ascii="Times New Roman" w:eastAsia="Times New Roman" w:hAnsi="Times New Roman" w:cs="Times New Roman"/>
          <w:sz w:val="22"/>
          <w:szCs w:val="22"/>
        </w:rPr>
        <w:t>Johann Strauss st.: Radeckého pochod, op. 288</w:t>
      </w:r>
    </w:p>
    <w:p w14:paraId="09DDCE4F" w14:textId="336BD1E6" w:rsidR="00BB29FD" w:rsidRDefault="00BB29F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BB29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2" w:right="1132" w:bottom="2949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448FE" w14:textId="77777777" w:rsidR="003C3064" w:rsidRDefault="003C3064">
      <w:r>
        <w:separator/>
      </w:r>
    </w:p>
  </w:endnote>
  <w:endnote w:type="continuationSeparator" w:id="0">
    <w:p w14:paraId="430FAAE5" w14:textId="77777777" w:rsidR="003C3064" w:rsidRDefault="003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AFB0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F6E9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08FFD418" wp14:editId="597854B0">
          <wp:extent cx="6044475" cy="130492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F8AF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3CD9D" w14:textId="77777777" w:rsidR="003C3064" w:rsidRDefault="003C3064">
      <w:r>
        <w:separator/>
      </w:r>
    </w:p>
  </w:footnote>
  <w:footnote w:type="continuationSeparator" w:id="0">
    <w:p w14:paraId="36BE0206" w14:textId="77777777" w:rsidR="003C3064" w:rsidRDefault="003C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0281" w14:textId="77777777" w:rsidR="00DB247F" w:rsidRDefault="00261716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1D6BC45D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893B" w14:textId="77777777" w:rsidR="00DB247F" w:rsidRDefault="00261716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0D4D2B4C" wp14:editId="6482CD03">
          <wp:extent cx="2866163" cy="85793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A1AF" w14:textId="77777777" w:rsidR="00DB247F" w:rsidRDefault="00DB247F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30A1"/>
    <w:multiLevelType w:val="multilevel"/>
    <w:tmpl w:val="9724D4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5A5C8F"/>
    <w:multiLevelType w:val="multilevel"/>
    <w:tmpl w:val="299EDC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387C75"/>
    <w:multiLevelType w:val="multilevel"/>
    <w:tmpl w:val="D424E7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AA5A21"/>
    <w:multiLevelType w:val="multilevel"/>
    <w:tmpl w:val="C60E9C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F563E14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2250CC"/>
    <w:multiLevelType w:val="multilevel"/>
    <w:tmpl w:val="F1A6FA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3AE7FC3"/>
    <w:multiLevelType w:val="multilevel"/>
    <w:tmpl w:val="76DAE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74021D4"/>
    <w:multiLevelType w:val="multilevel"/>
    <w:tmpl w:val="F86A9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87D1BE3"/>
    <w:multiLevelType w:val="multilevel"/>
    <w:tmpl w:val="1DFA69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41917565">
    <w:abstractNumId w:val="2"/>
  </w:num>
  <w:num w:numId="2" w16cid:durableId="1485390336">
    <w:abstractNumId w:val="3"/>
  </w:num>
  <w:num w:numId="3" w16cid:durableId="1798374830">
    <w:abstractNumId w:val="7"/>
  </w:num>
  <w:num w:numId="4" w16cid:durableId="1561867250">
    <w:abstractNumId w:val="8"/>
  </w:num>
  <w:num w:numId="5" w16cid:durableId="1328442255">
    <w:abstractNumId w:val="0"/>
  </w:num>
  <w:num w:numId="6" w16cid:durableId="1843155405">
    <w:abstractNumId w:val="6"/>
  </w:num>
  <w:num w:numId="7" w16cid:durableId="1008092921">
    <w:abstractNumId w:val="5"/>
  </w:num>
  <w:num w:numId="8" w16cid:durableId="2041122847">
    <w:abstractNumId w:val="1"/>
  </w:num>
  <w:num w:numId="9" w16cid:durableId="1135293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7F"/>
    <w:rsid w:val="0004138E"/>
    <w:rsid w:val="000C25E6"/>
    <w:rsid w:val="001A3EC6"/>
    <w:rsid w:val="00223BBB"/>
    <w:rsid w:val="00261716"/>
    <w:rsid w:val="002D49FF"/>
    <w:rsid w:val="003745CD"/>
    <w:rsid w:val="003C3064"/>
    <w:rsid w:val="003E3A66"/>
    <w:rsid w:val="004F4577"/>
    <w:rsid w:val="0056219C"/>
    <w:rsid w:val="005E049A"/>
    <w:rsid w:val="007C3AD8"/>
    <w:rsid w:val="007D6423"/>
    <w:rsid w:val="00873D6A"/>
    <w:rsid w:val="009A08F9"/>
    <w:rsid w:val="00B44470"/>
    <w:rsid w:val="00BB29FD"/>
    <w:rsid w:val="00C06000"/>
    <w:rsid w:val="00C57233"/>
    <w:rsid w:val="00D13FF5"/>
    <w:rsid w:val="00D63295"/>
    <w:rsid w:val="00DB247F"/>
    <w:rsid w:val="00EF08FA"/>
    <w:rsid w:val="00F3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3F93"/>
  <w15:docId w15:val="{0CA5278E-F23C-48AB-A1D6-3384937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0600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600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D4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Vyležíková</dc:creator>
  <cp:lastModifiedBy>Markéta Vyležíková</cp:lastModifiedBy>
  <cp:revision>2</cp:revision>
  <dcterms:created xsi:type="dcterms:W3CDTF">2025-10-21T12:26:00Z</dcterms:created>
  <dcterms:modified xsi:type="dcterms:W3CDTF">2025-10-21T12:26:00Z</dcterms:modified>
</cp:coreProperties>
</file>