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1C63" w14:textId="68B4916F" w:rsidR="0082727C" w:rsidRPr="0014454D" w:rsidRDefault="0082727C" w:rsidP="00EC565D">
      <w:pPr>
        <w:pStyle w:val="Nadpis2"/>
        <w:jc w:val="center"/>
        <w:rPr>
          <w:rFonts w:asciiTheme="minorHAnsi" w:hAnsiTheme="minorHAnsi" w:cstheme="minorHAnsi"/>
        </w:rPr>
      </w:pPr>
      <w:bookmarkStart w:id="0" w:name="OLE_LINK1"/>
      <w:bookmarkStart w:id="1" w:name="OLE_LINK2"/>
      <w:r w:rsidRPr="0014454D">
        <w:rPr>
          <w:rFonts w:asciiTheme="minorHAnsi" w:hAnsiTheme="minorHAnsi" w:cstheme="minorHAnsi"/>
        </w:rPr>
        <w:t>Smlouva o poskytnutí pronájmu prostor</w:t>
      </w:r>
      <w:r w:rsidR="0015542D">
        <w:rPr>
          <w:rFonts w:asciiTheme="minorHAnsi" w:hAnsiTheme="minorHAnsi" w:cstheme="minorHAnsi"/>
        </w:rPr>
        <w:t xml:space="preserve"> č. </w:t>
      </w:r>
      <w:r w:rsidR="0015542D" w:rsidRPr="0015542D">
        <w:rPr>
          <w:rFonts w:asciiTheme="minorHAnsi" w:hAnsiTheme="minorHAnsi" w:cstheme="minorHAnsi"/>
        </w:rPr>
        <w:t>SM2500312</w:t>
      </w:r>
    </w:p>
    <w:p w14:paraId="5E90E060" w14:textId="77777777" w:rsidR="0082727C" w:rsidRPr="0014454D" w:rsidRDefault="0082727C" w:rsidP="0082727C">
      <w:pPr>
        <w:tabs>
          <w:tab w:val="left" w:pos="2835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76FCAE9E" w14:textId="5950E4E8" w:rsidR="0082727C" w:rsidRPr="00CD5282" w:rsidRDefault="002C5EE5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>Pronajímatel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56C3EB3E" w14:textId="530C900A" w:rsidR="0082727C" w:rsidRPr="00CD5282" w:rsidRDefault="0015542D" w:rsidP="008D0323">
      <w:pPr>
        <w:tabs>
          <w:tab w:val="left" w:pos="482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</w:pPr>
      <w:r w:rsidRPr="0015542D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>Aricoma Systems a.s.</w:t>
      </w:r>
      <w:r w:rsidR="00491E56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A</w:t>
      </w:r>
      <w:r w:rsidR="002C5EE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KORD </w:t>
      </w:r>
      <w:r w:rsidR="0082727C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&amp; P</w:t>
      </w:r>
      <w:r w:rsidR="002C5EE5">
        <w:rPr>
          <w:rFonts w:asciiTheme="minorHAnsi" w:hAnsiTheme="minorHAnsi" w:cstheme="minorHAnsi"/>
          <w:b/>
          <w:snapToGrid w:val="0"/>
          <w:sz w:val="22"/>
          <w:szCs w:val="22"/>
        </w:rPr>
        <w:t>OKLAD</w:t>
      </w:r>
      <w:r w:rsidR="0082727C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, s r.o.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35248F80" w14:textId="11214BED" w:rsidR="0082727C" w:rsidRPr="00CD5282" w:rsidRDefault="0015542D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15542D">
        <w:rPr>
          <w:rFonts w:asciiTheme="minorHAnsi" w:hAnsiTheme="minorHAnsi" w:cstheme="minorHAnsi"/>
          <w:color w:val="000000"/>
          <w:sz w:val="22"/>
          <w:szCs w:val="22"/>
          <w:lang w:val="sk-SK"/>
        </w:rPr>
        <w:t>Hornopolní 34</w:t>
      </w:r>
      <w:r w:rsidR="00491E56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Zastoupený: </w:t>
      </w:r>
      <w:r w:rsidR="00CA4241">
        <w:rPr>
          <w:rFonts w:asciiTheme="minorHAnsi" w:hAnsiTheme="minorHAnsi" w:cstheme="minorHAnsi"/>
          <w:snapToGrid w:val="0"/>
          <w:sz w:val="22"/>
          <w:szCs w:val="22"/>
        </w:rPr>
        <w:t>Ing. Matěj Ostárek, obchodní ředitel</w:t>
      </w:r>
    </w:p>
    <w:p w14:paraId="56A20381" w14:textId="07601EEE" w:rsidR="0082727C" w:rsidRPr="00CD5282" w:rsidRDefault="0015542D" w:rsidP="008D0323">
      <w:pPr>
        <w:tabs>
          <w:tab w:val="left" w:pos="482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15542D">
        <w:rPr>
          <w:rFonts w:asciiTheme="minorHAnsi" w:hAnsiTheme="minorHAnsi" w:cstheme="minorHAnsi"/>
          <w:color w:val="000000"/>
          <w:sz w:val="22"/>
          <w:szCs w:val="22"/>
          <w:lang w:val="sk-SK"/>
        </w:rPr>
        <w:t>Ostrava, 702 00</w:t>
      </w:r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Náměstí SNP 1, Ostrava-Zábřeh, 700 30</w:t>
      </w:r>
    </w:p>
    <w:p w14:paraId="206D5C2F" w14:textId="648B666E" w:rsidR="0082727C" w:rsidRPr="00CD5282" w:rsidRDefault="0082727C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IČ</w:t>
      </w:r>
      <w:r w:rsidR="002C5EE5">
        <w:rPr>
          <w:rFonts w:asciiTheme="minorHAnsi" w:hAnsiTheme="minorHAnsi" w:cstheme="minorHAnsi"/>
          <w:sz w:val="22"/>
          <w:szCs w:val="22"/>
        </w:rPr>
        <w:t>O</w:t>
      </w:r>
      <w:r w:rsidRPr="00CD5282">
        <w:rPr>
          <w:rFonts w:asciiTheme="minorHAnsi" w:hAnsiTheme="minorHAnsi" w:cstheme="minorHAnsi"/>
          <w:sz w:val="22"/>
          <w:szCs w:val="22"/>
        </w:rPr>
        <w:t>:</w:t>
      </w:r>
      <w:r w:rsidR="0015542D" w:rsidRPr="0015542D">
        <w:t xml:space="preserve"> </w:t>
      </w:r>
      <w:r w:rsidR="0015542D" w:rsidRPr="0015542D">
        <w:rPr>
          <w:rFonts w:asciiTheme="minorHAnsi" w:hAnsiTheme="minorHAnsi" w:cstheme="minorHAnsi"/>
          <w:sz w:val="22"/>
          <w:szCs w:val="22"/>
        </w:rPr>
        <w:t>4308697</w:t>
      </w:r>
      <w:r w:rsidR="0015542D">
        <w:rPr>
          <w:rFonts w:asciiTheme="minorHAnsi" w:hAnsiTheme="minorHAnsi" w:cstheme="minorHAnsi"/>
          <w:sz w:val="22"/>
          <w:szCs w:val="22"/>
        </w:rPr>
        <w:t xml:space="preserve">, </w:t>
      </w:r>
      <w:r w:rsidR="002C5EE5">
        <w:rPr>
          <w:rFonts w:asciiTheme="minorHAnsi" w:hAnsiTheme="minorHAnsi" w:cstheme="minorHAnsi"/>
          <w:color w:val="000000"/>
          <w:sz w:val="22"/>
          <w:szCs w:val="22"/>
          <w:lang w:val="sk-SK"/>
        </w:rPr>
        <w:t>DIČ:</w:t>
      </w:r>
      <w:r w:rsidR="0015542D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 </w:t>
      </w:r>
      <w:r w:rsidR="0015542D" w:rsidRPr="0015542D">
        <w:rPr>
          <w:rFonts w:asciiTheme="minorHAnsi" w:hAnsiTheme="minorHAnsi" w:cstheme="minorHAnsi"/>
          <w:color w:val="000000"/>
          <w:sz w:val="22"/>
          <w:szCs w:val="22"/>
          <w:lang w:val="sk-SK"/>
        </w:rPr>
        <w:t>CZ04308697</w:t>
      </w:r>
      <w:r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IČ</w:t>
      </w:r>
      <w:r w:rsidR="002C5EE5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: 47973145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DIČ:  CZ47973145</w:t>
      </w:r>
    </w:p>
    <w:p w14:paraId="1E763544" w14:textId="52E08CC3" w:rsidR="0082727C" w:rsidRPr="00CD5282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Tel: </w:t>
      </w:r>
      <w:r w:rsidR="00153A7D">
        <w:rPr>
          <w:rFonts w:asciiTheme="minorHAnsi" w:hAnsiTheme="minorHAnsi" w:cstheme="minorHAnsi"/>
          <w:color w:val="000000"/>
          <w:sz w:val="22"/>
          <w:szCs w:val="22"/>
          <w:lang w:val="sk-SK"/>
        </w:rPr>
        <w:t>xxxxxxxxx</w:t>
      </w:r>
      <w:r w:rsidR="0015542D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, </w:t>
      </w:r>
      <w:r w:rsidR="0015542D" w:rsidRPr="0015542D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dagmar.snehotova@aricoma.com 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Čs. spořitelna Ostrava, 1645833389/0800</w:t>
      </w:r>
    </w:p>
    <w:p w14:paraId="37E64267" w14:textId="2AF24F11" w:rsidR="0082727C" w:rsidRPr="0015542D" w:rsidRDefault="0082727C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Vyřizuje: </w:t>
      </w:r>
      <w:r w:rsidR="0015542D">
        <w:rPr>
          <w:rFonts w:asciiTheme="minorHAnsi" w:hAnsiTheme="minorHAnsi" w:cstheme="minorHAnsi"/>
          <w:snapToGrid w:val="0"/>
          <w:sz w:val="22"/>
          <w:szCs w:val="22"/>
        </w:rPr>
        <w:t xml:space="preserve">Ing. </w:t>
      </w:r>
      <w:r w:rsidR="0015542D" w:rsidRPr="0015542D">
        <w:rPr>
          <w:rFonts w:asciiTheme="minorHAnsi" w:hAnsiTheme="minorHAnsi" w:cstheme="minorHAnsi"/>
          <w:color w:val="000000"/>
          <w:sz w:val="22"/>
          <w:szCs w:val="22"/>
          <w:lang w:val="sk-SK"/>
        </w:rPr>
        <w:t>Dagmar Haltofová</w:t>
      </w:r>
      <w:r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465A96" w:rsidRPr="0015542D">
        <w:rPr>
          <w:rFonts w:asciiTheme="minorHAnsi" w:hAnsiTheme="minorHAnsi" w:cstheme="minorHAnsi"/>
          <w:sz w:val="22"/>
          <w:szCs w:val="22"/>
        </w:rPr>
        <w:t>Krajský soud v</w:t>
      </w:r>
      <w:r w:rsidRPr="0015542D">
        <w:rPr>
          <w:rFonts w:asciiTheme="minorHAnsi" w:hAnsiTheme="minorHAnsi" w:cstheme="minorHAnsi"/>
          <w:sz w:val="22"/>
          <w:szCs w:val="22"/>
        </w:rPr>
        <w:t xml:space="preserve"> Ostravě, odd. C, vl. 5281</w:t>
      </w:r>
    </w:p>
    <w:p w14:paraId="178E34F3" w14:textId="308D7DAF" w:rsidR="0082727C" w:rsidRPr="0015542D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15542D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15542D">
        <w:rPr>
          <w:rFonts w:asciiTheme="minorHAnsi" w:hAnsiTheme="minorHAnsi" w:cstheme="minorHAnsi"/>
          <w:snapToGrid w:val="0"/>
          <w:sz w:val="22"/>
          <w:szCs w:val="22"/>
        </w:rPr>
        <w:t>Tel: 596 762 560</w:t>
      </w:r>
      <w:r w:rsidRPr="0015542D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Mob: </w:t>
      </w:r>
      <w:r w:rsidR="00153A7D">
        <w:rPr>
          <w:rFonts w:asciiTheme="minorHAnsi" w:hAnsiTheme="minorHAnsi" w:cstheme="minorHAnsi"/>
          <w:snapToGrid w:val="0"/>
          <w:sz w:val="22"/>
          <w:szCs w:val="22"/>
        </w:rPr>
        <w:t>xxxxxxxxx</w:t>
      </w:r>
    </w:p>
    <w:p w14:paraId="4592055A" w14:textId="0A32C8E0" w:rsidR="0082727C" w:rsidRPr="0015542D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15542D">
        <w:rPr>
          <w:rFonts w:asciiTheme="minorHAnsi" w:hAnsiTheme="minorHAnsi" w:cstheme="minorHAnsi"/>
          <w:snapToGrid w:val="0"/>
          <w:sz w:val="22"/>
          <w:szCs w:val="22"/>
        </w:rPr>
        <w:tab/>
        <w:t>Vyřizuje: Renáta Balonová, DiS.</w:t>
      </w:r>
    </w:p>
    <w:p w14:paraId="0DE41495" w14:textId="77777777" w:rsidR="0082727C" w:rsidRPr="00CD5282" w:rsidRDefault="0082727C" w:rsidP="0082727C">
      <w:pPr>
        <w:tabs>
          <w:tab w:val="left" w:pos="465"/>
          <w:tab w:val="left" w:pos="2268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1F6452A" w14:textId="15E7EE5B" w:rsidR="0082727C" w:rsidRPr="0015542D" w:rsidRDefault="00465A96" w:rsidP="0082727C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I. </w:t>
      </w:r>
      <w:r w:rsidR="00D304CB">
        <w:rPr>
          <w:rFonts w:asciiTheme="minorHAnsi" w:hAnsiTheme="minorHAnsi" w:cstheme="minorHAnsi"/>
          <w:b w:val="0"/>
          <w:i w:val="0"/>
          <w:sz w:val="22"/>
          <w:szCs w:val="22"/>
        </w:rPr>
        <w:t>Detail akce</w:t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</w:p>
    <w:p w14:paraId="4EB830C8" w14:textId="75BA14AA" w:rsidR="00A16012" w:rsidRPr="0015542D" w:rsidRDefault="00A16012" w:rsidP="0082727C">
      <w:pPr>
        <w:rPr>
          <w:rFonts w:asciiTheme="minorHAnsi" w:hAnsiTheme="minorHAnsi" w:cstheme="minorHAnsi"/>
          <w:sz w:val="22"/>
          <w:szCs w:val="22"/>
        </w:rPr>
      </w:pPr>
      <w:r w:rsidRPr="0015542D">
        <w:rPr>
          <w:rFonts w:asciiTheme="minorHAnsi" w:hAnsiTheme="minorHAnsi" w:cstheme="minorHAnsi"/>
          <w:sz w:val="22"/>
          <w:szCs w:val="22"/>
        </w:rPr>
        <w:t>Objekt, kde se koná akce: Budova č.p. 2012</w:t>
      </w:r>
      <w:r w:rsidR="00854D64" w:rsidRPr="0015542D">
        <w:rPr>
          <w:rFonts w:asciiTheme="minorHAnsi" w:hAnsiTheme="minorHAnsi" w:cstheme="minorHAnsi"/>
          <w:sz w:val="22"/>
          <w:szCs w:val="22"/>
        </w:rPr>
        <w:t xml:space="preserve"> na adrese náměstí SNP 1, Ostrava - Zábřeh, PSČ: 700 30</w:t>
      </w:r>
    </w:p>
    <w:p w14:paraId="48449F5E" w14:textId="35690513" w:rsidR="00D304CB" w:rsidRDefault="00D304CB" w:rsidP="008272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akce:</w:t>
      </w:r>
      <w:r w:rsidR="0015542D">
        <w:rPr>
          <w:rFonts w:asciiTheme="minorHAnsi" w:hAnsiTheme="minorHAnsi" w:cstheme="minorHAnsi"/>
          <w:sz w:val="22"/>
          <w:szCs w:val="22"/>
        </w:rPr>
        <w:t xml:space="preserve"> </w:t>
      </w:r>
      <w:r w:rsidR="0015542D">
        <w:rPr>
          <w:rFonts w:asciiTheme="minorHAnsi" w:hAnsiTheme="minorHAnsi" w:cstheme="minorHAnsi"/>
          <w:sz w:val="22"/>
          <w:szCs w:val="22"/>
        </w:rPr>
        <w:tab/>
      </w:r>
      <w:r w:rsidR="0015542D">
        <w:rPr>
          <w:rFonts w:asciiTheme="minorHAnsi" w:hAnsiTheme="minorHAnsi" w:cstheme="minorHAnsi"/>
          <w:sz w:val="22"/>
          <w:szCs w:val="22"/>
        </w:rPr>
        <w:tab/>
      </w:r>
      <w:r w:rsidR="0015542D">
        <w:rPr>
          <w:rFonts w:asciiTheme="minorHAnsi" w:hAnsiTheme="minorHAnsi" w:cstheme="minorHAnsi"/>
          <w:sz w:val="22"/>
          <w:szCs w:val="22"/>
        </w:rPr>
        <w:tab/>
        <w:t>Večírek pro zákazníky</w:t>
      </w:r>
    </w:p>
    <w:p w14:paraId="5FC8161A" w14:textId="59AA18AF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Časový rozvrh akce: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="0015542D">
        <w:rPr>
          <w:rFonts w:asciiTheme="minorHAnsi" w:hAnsiTheme="minorHAnsi" w:cstheme="minorHAnsi"/>
          <w:sz w:val="22"/>
          <w:szCs w:val="22"/>
        </w:rPr>
        <w:tab/>
        <w:t>16:00-23:00 hod</w:t>
      </w:r>
    </w:p>
    <w:p w14:paraId="1A04C5FB" w14:textId="7F653495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Dne: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="0015542D">
        <w:rPr>
          <w:rFonts w:asciiTheme="minorHAnsi" w:hAnsiTheme="minorHAnsi" w:cstheme="minorHAnsi"/>
          <w:sz w:val="22"/>
          <w:szCs w:val="22"/>
        </w:rPr>
        <w:tab/>
        <w:t>27. listopadu 2025</w:t>
      </w:r>
    </w:p>
    <w:p w14:paraId="442BF331" w14:textId="718A343F" w:rsidR="0082727C" w:rsidRPr="00CD5282" w:rsidRDefault="0082727C" w:rsidP="0082727C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Místnost: 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="0015542D">
        <w:rPr>
          <w:rFonts w:asciiTheme="minorHAnsi" w:hAnsiTheme="minorHAnsi" w:cstheme="minorHAnsi"/>
          <w:sz w:val="22"/>
          <w:szCs w:val="22"/>
        </w:rPr>
        <w:tab/>
        <w:t>Velký sál Akord</w:t>
      </w:r>
    </w:p>
    <w:p w14:paraId="651D83CD" w14:textId="5FC7040B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Zpřístupnění místnosti: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</w:t>
      </w:r>
      <w:r w:rsidR="0015542D">
        <w:rPr>
          <w:rFonts w:asciiTheme="minorHAnsi" w:hAnsiTheme="minorHAnsi" w:cstheme="minorHAnsi"/>
          <w:sz w:val="22"/>
          <w:szCs w:val="22"/>
        </w:rPr>
        <w:tab/>
      </w:r>
      <w:r w:rsidR="0015542D">
        <w:rPr>
          <w:rFonts w:asciiTheme="minorHAnsi" w:hAnsiTheme="minorHAnsi" w:cstheme="minorHAnsi"/>
          <w:sz w:val="22"/>
          <w:szCs w:val="22"/>
        </w:rPr>
        <w:tab/>
        <w:t>14:00-01:00</w:t>
      </w:r>
    </w:p>
    <w:p w14:paraId="385649FB" w14:textId="77777777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160FB59" w14:textId="019E5C3A" w:rsidR="0082727C" w:rsidRPr="00CD5282" w:rsidRDefault="00465A96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II. </w:t>
      </w:r>
      <w:r w:rsidR="0082727C" w:rsidRPr="00CD5282">
        <w:rPr>
          <w:rFonts w:asciiTheme="minorHAnsi" w:hAnsiTheme="minorHAnsi" w:cstheme="minorHAnsi"/>
          <w:sz w:val="22"/>
          <w:szCs w:val="22"/>
          <w:u w:val="single"/>
        </w:rPr>
        <w:t>Uspořádání prostor a organizační zajištění:</w:t>
      </w:r>
    </w:p>
    <w:p w14:paraId="3CBAC2EF" w14:textId="77777777" w:rsidR="00470C71" w:rsidRPr="00CD5282" w:rsidRDefault="00470C71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0976504" w14:textId="46F9CD52" w:rsidR="0082727C" w:rsidRPr="00320A83" w:rsidRDefault="0082727C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470C71" w:rsidRPr="00320A83">
        <w:rPr>
          <w:rFonts w:asciiTheme="minorHAnsi" w:hAnsiTheme="minorHAnsi" w:cstheme="minorHAnsi"/>
          <w:snapToGrid w:val="0"/>
          <w:sz w:val="22"/>
          <w:szCs w:val="22"/>
        </w:rPr>
        <w:t>prostorů</w:t>
      </w:r>
      <w:r w:rsidRPr="00320A83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15542D">
        <w:rPr>
          <w:rFonts w:asciiTheme="minorHAnsi" w:hAnsiTheme="minorHAnsi" w:cstheme="minorHAnsi"/>
          <w:snapToGrid w:val="0"/>
          <w:sz w:val="22"/>
          <w:szCs w:val="22"/>
        </w:rPr>
        <w:t xml:space="preserve"> Velký sál, Společenský salonek, šatna</w:t>
      </w:r>
    </w:p>
    <w:p w14:paraId="1034E15E" w14:textId="1BD338EE" w:rsidR="00320A83" w:rsidRPr="00320A83" w:rsidRDefault="00470C71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>Technické a personální</w:t>
      </w:r>
      <w:r w:rsidR="00CD25A4"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 zabezpečení</w:t>
      </w:r>
      <w:r w:rsidR="0015542D">
        <w:rPr>
          <w:rFonts w:asciiTheme="minorHAnsi" w:hAnsiTheme="minorHAnsi" w:cstheme="minorHAnsi"/>
          <w:snapToGrid w:val="0"/>
          <w:sz w:val="22"/>
          <w:szCs w:val="22"/>
        </w:rPr>
        <w:t xml:space="preserve"> akce dle dohody</w:t>
      </w:r>
    </w:p>
    <w:p w14:paraId="19F82D0E" w14:textId="27DA6230" w:rsidR="00470C71" w:rsidRPr="00320A83" w:rsidRDefault="00470C71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dle zadání </w:t>
      </w:r>
      <w:r w:rsidR="00CD25A4" w:rsidRPr="00320A83">
        <w:rPr>
          <w:rFonts w:asciiTheme="minorHAnsi" w:hAnsiTheme="minorHAnsi" w:cstheme="minorHAnsi"/>
          <w:snapToGrid w:val="0"/>
          <w:sz w:val="22"/>
          <w:szCs w:val="22"/>
        </w:rPr>
        <w:t>nájemce: dle objednávky</w:t>
      </w:r>
      <w:r w:rsidR="00DC73D7">
        <w:rPr>
          <w:rFonts w:asciiTheme="minorHAnsi" w:hAnsiTheme="minorHAnsi" w:cstheme="minorHAnsi"/>
          <w:snapToGrid w:val="0"/>
          <w:sz w:val="22"/>
          <w:szCs w:val="22"/>
        </w:rPr>
        <w:t xml:space="preserve"> nebo skutečné spotřeby</w:t>
      </w:r>
      <w:r w:rsidR="00CA21EF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DC73D7">
        <w:rPr>
          <w:rFonts w:asciiTheme="minorHAnsi" w:hAnsiTheme="minorHAnsi" w:cstheme="minorHAnsi"/>
          <w:snapToGrid w:val="0"/>
          <w:sz w:val="22"/>
          <w:szCs w:val="22"/>
        </w:rPr>
        <w:t xml:space="preserve"> pokud spotřeba převýší objednávku</w:t>
      </w:r>
    </w:p>
    <w:p w14:paraId="03B5546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5E73C384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1A207F77" w14:textId="7199D5B7" w:rsidR="0082727C" w:rsidRPr="00CA21EF" w:rsidRDefault="0082727C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>Pronájem</w:t>
      </w:r>
      <w:r w:rsidR="0015542D">
        <w:rPr>
          <w:rFonts w:asciiTheme="minorHAnsi" w:hAnsiTheme="minorHAnsi" w:cstheme="minorHAnsi"/>
          <w:snapToGrid w:val="0"/>
          <w:sz w:val="22"/>
          <w:szCs w:val="22"/>
        </w:rPr>
        <w:t xml:space="preserve"> prostor za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úhradu </w:t>
      </w:r>
      <w:r w:rsidR="0015542D">
        <w:rPr>
          <w:rFonts w:asciiTheme="minorHAnsi" w:hAnsiTheme="minorHAnsi" w:cstheme="minorHAnsi"/>
          <w:snapToGrid w:val="0"/>
          <w:sz w:val="22"/>
          <w:szCs w:val="22"/>
        </w:rPr>
        <w:t>37 640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CD25A4" w:rsidRPr="00CA21EF">
        <w:rPr>
          <w:rFonts w:asciiTheme="minorHAnsi" w:hAnsiTheme="minorHAnsi" w:cstheme="minorHAnsi"/>
          <w:snapToGrid w:val="0"/>
          <w:sz w:val="22"/>
          <w:szCs w:val="22"/>
        </w:rPr>
        <w:t>plus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>daň z přidané hodnoty v zákonné výši (dále je</w:t>
      </w:r>
      <w:r w:rsidR="00A30143" w:rsidRPr="00CA21EF">
        <w:rPr>
          <w:rFonts w:asciiTheme="minorHAnsi" w:hAnsiTheme="minorHAnsi" w:cstheme="minorHAnsi"/>
          <w:snapToGrid w:val="0"/>
          <w:sz w:val="22"/>
          <w:szCs w:val="22"/>
        </w:rPr>
        <w:t>n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„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>DPH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>“)</w:t>
      </w:r>
      <w:r w:rsidR="00465A96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6BC6A9E8" w14:textId="11D94C5E" w:rsidR="00EC77EA" w:rsidRPr="00CA21EF" w:rsidRDefault="00EC77EA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>Technické a personální za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>bezpečení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70C71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viz požadavky 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>dle nabídky</w:t>
      </w:r>
      <w:r w:rsidR="00470C71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5542D">
        <w:rPr>
          <w:rFonts w:asciiTheme="minorHAnsi" w:hAnsiTheme="minorHAnsi" w:cstheme="minorHAnsi"/>
          <w:snapToGrid w:val="0"/>
          <w:sz w:val="22"/>
          <w:szCs w:val="22"/>
        </w:rPr>
        <w:t xml:space="preserve">65 050 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Kč </w:t>
      </w:r>
      <w:r w:rsidR="00CD25A4" w:rsidRPr="00CA21EF">
        <w:rPr>
          <w:rFonts w:asciiTheme="minorHAnsi" w:hAnsiTheme="minorHAnsi" w:cstheme="minorHAnsi"/>
          <w:snapToGrid w:val="0"/>
          <w:sz w:val="22"/>
          <w:szCs w:val="22"/>
        </w:rPr>
        <w:t>plus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DPH</w:t>
      </w:r>
      <w:r w:rsidR="00CD5282" w:rsidRPr="00CA21EF">
        <w:rPr>
          <w:rFonts w:asciiTheme="minorHAnsi" w:hAnsiTheme="minorHAnsi" w:cstheme="minorHAnsi"/>
          <w:snapToGrid w:val="0"/>
          <w:sz w:val="22"/>
          <w:szCs w:val="22"/>
        </w:rPr>
        <w:t>. Cena je předběžná, účtovat se bude dle skutečně čerpaných služeb</w:t>
      </w:r>
      <w:r w:rsidR="00CD25A4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v nabídce</w:t>
      </w:r>
      <w:r w:rsidR="00CD5282" w:rsidRPr="00CA21EF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CC5062" w:rsidRPr="00CA21EF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  <w:r w:rsidR="00CC5062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Pokud je termín akce, kdy mají být poskytnuty tyto služby, vzdálen více než </w:t>
      </w:r>
      <w:r w:rsidR="00CA4241" w:rsidRPr="00CA21EF">
        <w:rPr>
          <w:rFonts w:asciiTheme="minorHAnsi" w:hAnsiTheme="minorHAnsi" w:cstheme="minorHAnsi"/>
          <w:snapToGrid w:val="0"/>
          <w:sz w:val="22"/>
          <w:szCs w:val="22"/>
        </w:rPr>
        <w:t>tři</w:t>
      </w:r>
      <w:r w:rsidR="00CC5062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měsíc</w:t>
      </w:r>
      <w:r w:rsidR="00CA4241" w:rsidRPr="00CA21EF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CC5062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od uzavření této smlouvy, mohou být ceny těchto služeb upraveny dle aktuálního ceníku pronajímatele. Na nové ceny těchto služeb pronajímatel upozorní nájemce před jejich čerpáním.    </w:t>
      </w:r>
    </w:p>
    <w:p w14:paraId="2E644967" w14:textId="3165E3E7" w:rsidR="00CD5282" w:rsidRPr="00CA21EF" w:rsidRDefault="00CD5282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dle 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samostatné objednávky a 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>skutečné spotřeby</w:t>
      </w:r>
      <w:r w:rsidR="00CA21EF" w:rsidRPr="00CA21EF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3F711388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700711C2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5A413902" w14:textId="727FA493" w:rsidR="0082727C" w:rsidRPr="003134A1" w:rsidRDefault="00CC5062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Nájemce</w:t>
      </w:r>
      <w:r w:rsidR="0082727C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se zavazuje k úhradě celkové ceny po ukončení akce na základě faktury vystavené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pronajímatelem</w:t>
      </w:r>
      <w:r w:rsidR="0082727C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v termínu splatnosti</w:t>
      </w:r>
      <w:r w:rsidR="00EC77EA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do 14ti dnů od obdržení faktury.</w:t>
      </w:r>
      <w:r w:rsidR="002051D0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Nájemce se zavazuje zaplatit pronajímateli zálohu ve výši </w:t>
      </w:r>
      <w:r w:rsidR="0015542D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40 000 </w:t>
      </w:r>
      <w:r w:rsidR="002051D0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Kč, a to nejpozději do </w:t>
      </w:r>
      <w:r w:rsidR="0015542D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6. listopadu 2025</w:t>
      </w:r>
      <w:r w:rsidR="002051D0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.</w:t>
      </w:r>
    </w:p>
    <w:p w14:paraId="5FA3B6E6" w14:textId="1D92A923" w:rsidR="00CC5062" w:rsidRPr="00CD5282" w:rsidRDefault="00CC5062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Nájemce se </w:t>
      </w:r>
      <w:r w:rsidR="002051D0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dále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zavazuje poskytnout pronajímateli vratnou kauci ve výši </w:t>
      </w:r>
      <w:r w:rsidR="0015542D" w:rsidRPr="0015542D">
        <w:rPr>
          <w:rFonts w:asciiTheme="minorHAnsi" w:hAnsiTheme="minorHAnsi" w:cstheme="minorHAnsi"/>
          <w:i/>
          <w:iCs/>
          <w:snapToGrid w:val="0"/>
          <w:color w:val="000000" w:themeColor="text1"/>
          <w:sz w:val="22"/>
          <w:szCs w:val="22"/>
        </w:rPr>
        <w:t>0</w:t>
      </w:r>
      <w:r w:rsidRPr="0015542D">
        <w:rPr>
          <w:rFonts w:asciiTheme="minorHAnsi" w:hAnsiTheme="minorHAnsi" w:cstheme="minorHAnsi"/>
          <w:i/>
          <w:iCs/>
          <w:snapToGrid w:val="0"/>
          <w:color w:val="000000" w:themeColor="text1"/>
          <w:sz w:val="22"/>
          <w:szCs w:val="22"/>
        </w:rPr>
        <w:t xml:space="preserve"> Kč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, a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to nejpozději do </w:t>
      </w:r>
      <w:r w:rsidR="0015542D" w:rsidRPr="0015542D">
        <w:rPr>
          <w:rFonts w:asciiTheme="minorHAnsi" w:hAnsiTheme="minorHAnsi" w:cstheme="minorHAnsi"/>
          <w:i/>
          <w:iCs/>
          <w:snapToGrid w:val="0"/>
          <w:sz w:val="22"/>
          <w:szCs w:val="22"/>
        </w:rPr>
        <w:t>není stanoveno</w:t>
      </w:r>
      <w:r>
        <w:rPr>
          <w:rFonts w:asciiTheme="minorHAnsi" w:hAnsiTheme="minorHAnsi" w:cstheme="minorHAnsi"/>
          <w:snapToGrid w:val="0"/>
          <w:sz w:val="22"/>
          <w:szCs w:val="22"/>
        </w:rPr>
        <w:t>. Strany se dohodly, že kauce není nikterak úročena. Kauce slouží k zajištění případného nároku pronajímatele na náhradu škody či újmy způsobené na pronajatých prostorech nebo jiném majetku pronajímatele nebo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 na úhradu jiných pohledávek pronajímatele vzniklých na základě této smlouvy nebo v souvislosti s ní.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</w:p>
    <w:p w14:paraId="1334F38C" w14:textId="12D81C48" w:rsidR="0082727C" w:rsidRPr="00CD5282" w:rsidRDefault="0082727C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Při ne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0,</w:t>
      </w:r>
      <w:r w:rsidR="0015542D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den prodlení. </w:t>
      </w:r>
    </w:p>
    <w:p w14:paraId="716FF1F6" w14:textId="23C3E48F" w:rsidR="0082727C" w:rsidRDefault="0082727C" w:rsidP="0082727C">
      <w:pPr>
        <w:rPr>
          <w:rFonts w:asciiTheme="minorHAnsi" w:hAnsiTheme="minorHAnsi" w:cstheme="minorHAnsi"/>
          <w:sz w:val="22"/>
          <w:szCs w:val="22"/>
        </w:rPr>
      </w:pPr>
    </w:p>
    <w:p w14:paraId="71196BD8" w14:textId="77777777" w:rsidR="00CA21EF" w:rsidRDefault="00CA21EF" w:rsidP="0082727C">
      <w:pPr>
        <w:rPr>
          <w:rFonts w:asciiTheme="minorHAnsi" w:hAnsiTheme="minorHAnsi" w:cstheme="minorHAnsi"/>
          <w:sz w:val="22"/>
          <w:szCs w:val="22"/>
        </w:rPr>
      </w:pPr>
    </w:p>
    <w:p w14:paraId="6EA25BBB" w14:textId="2C7A764E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5A60E64" w14:textId="5B01D44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 Ceny sjednané v</w:t>
      </w:r>
      <w:r w:rsidR="003563FC">
        <w:rPr>
          <w:rFonts w:asciiTheme="minorHAnsi" w:hAnsiTheme="minorHAnsi" w:cstheme="minorHAnsi"/>
          <w:sz w:val="22"/>
          <w:szCs w:val="22"/>
        </w:rPr>
        <w:t xml:space="preserve"> článku III. odstavci 2. a 3. </w:t>
      </w:r>
      <w:r w:rsidRPr="00CD5282">
        <w:rPr>
          <w:rFonts w:asciiTheme="minorHAnsi" w:hAnsiTheme="minorHAnsi" w:cstheme="minorHAnsi"/>
          <w:sz w:val="22"/>
          <w:szCs w:val="22"/>
        </w:rPr>
        <w:t>této smlouv</w:t>
      </w:r>
      <w:r w:rsidR="003563FC"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jsou předběžné. </w:t>
      </w:r>
      <w:r w:rsidR="003563FC">
        <w:rPr>
          <w:rFonts w:asciiTheme="minorHAnsi" w:hAnsiTheme="minorHAnsi" w:cstheme="minorHAnsi"/>
          <w:sz w:val="22"/>
          <w:szCs w:val="22"/>
        </w:rPr>
        <w:t xml:space="preserve"> Ceny těchto služeb budou upraveny v závislosti na aktuálních cenách v době jejich poskytnutí a podle množství čerpaných služeb.</w:t>
      </w:r>
    </w:p>
    <w:p w14:paraId="2E82FD1A" w14:textId="400ACF6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 případě zrušení akce ze strany </w:t>
      </w:r>
      <w:r w:rsidR="00704C08">
        <w:rPr>
          <w:rFonts w:asciiTheme="minorHAnsi" w:hAnsiTheme="minorHAnsi" w:cstheme="minorHAnsi"/>
          <w:sz w:val="22"/>
          <w:szCs w:val="22"/>
        </w:rPr>
        <w:t>nájemce, které musí být učiněno písemně</w:t>
      </w:r>
      <w:r w:rsidRPr="00CD5282">
        <w:rPr>
          <w:rFonts w:asciiTheme="minorHAnsi" w:hAnsiTheme="minorHAnsi" w:cstheme="minorHAnsi"/>
          <w:sz w:val="22"/>
          <w:szCs w:val="22"/>
        </w:rPr>
        <w:t xml:space="preserve">, bude </w:t>
      </w:r>
      <w:r w:rsidR="00704C08">
        <w:rPr>
          <w:rFonts w:asciiTheme="minorHAnsi" w:hAnsiTheme="minorHAnsi" w:cstheme="minorHAnsi"/>
          <w:sz w:val="22"/>
          <w:szCs w:val="22"/>
        </w:rPr>
        <w:t xml:space="preserve">pronajímatelem </w:t>
      </w:r>
      <w:r w:rsidRPr="00CD5282">
        <w:rPr>
          <w:rFonts w:asciiTheme="minorHAnsi" w:hAnsiTheme="minorHAnsi" w:cstheme="minorHAnsi"/>
          <w:sz w:val="22"/>
          <w:szCs w:val="22"/>
        </w:rPr>
        <w:t xml:space="preserve">účtován </w:t>
      </w:r>
      <w:r w:rsidR="00704C08">
        <w:rPr>
          <w:rFonts w:asciiTheme="minorHAnsi" w:hAnsiTheme="minorHAnsi" w:cstheme="minorHAnsi"/>
          <w:sz w:val="22"/>
          <w:szCs w:val="22"/>
        </w:rPr>
        <w:t xml:space="preserve">nájemci </w:t>
      </w:r>
      <w:r w:rsidRPr="00CD5282">
        <w:rPr>
          <w:rFonts w:asciiTheme="minorHAnsi" w:hAnsiTheme="minorHAnsi" w:cstheme="minorHAnsi"/>
          <w:sz w:val="22"/>
          <w:szCs w:val="22"/>
        </w:rPr>
        <w:t>stornovací poplatek:</w:t>
      </w:r>
    </w:p>
    <w:p w14:paraId="2FA0D32A" w14:textId="6D71A8ED" w:rsidR="00C67D36" w:rsidRPr="00C53A7F" w:rsidRDefault="00C67D36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580277">
        <w:rPr>
          <w:rFonts w:asciiTheme="minorHAnsi" w:hAnsiTheme="minorHAnsi" w:cstheme="minorHAnsi"/>
          <w:sz w:val="22"/>
          <w:szCs w:val="22"/>
        </w:rPr>
        <w:t>31 -</w:t>
      </w:r>
      <w:r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="008B2A82">
        <w:rPr>
          <w:rFonts w:asciiTheme="minorHAnsi" w:hAnsiTheme="minorHAnsi" w:cstheme="minorHAnsi"/>
          <w:sz w:val="22"/>
          <w:szCs w:val="22"/>
        </w:rPr>
        <w:t>70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15</w:t>
      </w:r>
      <w:r w:rsidR="00C53A7F"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5F08E125" w14:textId="4981EABF" w:rsidR="00C53A7F" w:rsidRDefault="00C53A7F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>Zrušení</w:t>
      </w:r>
      <w:r w:rsidR="00704C08">
        <w:rPr>
          <w:rFonts w:asciiTheme="minorHAnsi" w:hAnsiTheme="minorHAnsi" w:cstheme="minorHAnsi"/>
          <w:sz w:val="22"/>
          <w:szCs w:val="22"/>
        </w:rPr>
        <w:t xml:space="preserve"> akce </w:t>
      </w:r>
      <w:r w:rsidR="00580277">
        <w:rPr>
          <w:rFonts w:asciiTheme="minorHAnsi" w:hAnsiTheme="minorHAnsi" w:cstheme="minorHAnsi"/>
          <w:sz w:val="22"/>
          <w:szCs w:val="22"/>
        </w:rPr>
        <w:t>15 -</w:t>
      </w:r>
      <w:r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="008B2A82">
        <w:rPr>
          <w:rFonts w:asciiTheme="minorHAnsi" w:hAnsiTheme="minorHAnsi" w:cstheme="minorHAnsi"/>
          <w:sz w:val="22"/>
          <w:szCs w:val="22"/>
        </w:rPr>
        <w:t>30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>článku</w:t>
      </w:r>
      <w:r>
        <w:rPr>
          <w:rFonts w:asciiTheme="minorHAnsi" w:hAnsiTheme="minorHAnsi" w:cstheme="minorHAnsi"/>
          <w:sz w:val="22"/>
          <w:szCs w:val="22"/>
        </w:rPr>
        <w:t xml:space="preserve"> 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7D0E1D6D" w14:textId="1A5E23EF" w:rsidR="00C53A7F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580277">
        <w:rPr>
          <w:rFonts w:asciiTheme="minorHAnsi" w:hAnsiTheme="minorHAnsi" w:cstheme="minorHAnsi"/>
          <w:sz w:val="22"/>
          <w:szCs w:val="22"/>
        </w:rPr>
        <w:t>4 - 14</w:t>
      </w:r>
      <w:r w:rsidR="00C53A7F">
        <w:rPr>
          <w:rFonts w:asciiTheme="minorHAnsi" w:hAnsiTheme="minorHAnsi" w:cstheme="minorHAnsi"/>
          <w:sz w:val="22"/>
          <w:szCs w:val="22"/>
        </w:rPr>
        <w:t xml:space="preserve"> dní</w:t>
      </w:r>
      <w:r w:rsidRPr="00C53A7F">
        <w:rPr>
          <w:rFonts w:asciiTheme="minorHAnsi" w:hAnsiTheme="minorHAnsi" w:cstheme="minorHAnsi"/>
          <w:sz w:val="22"/>
          <w:szCs w:val="22"/>
        </w:rPr>
        <w:t xml:space="preserve">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 xml:space="preserve">50 % </w:t>
      </w:r>
      <w:r w:rsidR="00C53A7F">
        <w:rPr>
          <w:rFonts w:asciiTheme="minorHAnsi" w:hAnsiTheme="minorHAnsi" w:cstheme="minorHAnsi"/>
          <w:sz w:val="22"/>
          <w:szCs w:val="22"/>
        </w:rPr>
        <w:t xml:space="preserve">z </w:t>
      </w:r>
      <w:r w:rsidRPr="00C53A7F">
        <w:rPr>
          <w:rFonts w:asciiTheme="minorHAnsi" w:hAnsiTheme="minorHAnsi" w:cstheme="minorHAnsi"/>
          <w:sz w:val="22"/>
          <w:szCs w:val="22"/>
        </w:rPr>
        <w:t xml:space="preserve">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</w:t>
      </w:r>
      <w:r w:rsidR="00682BAF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682BAF">
        <w:rPr>
          <w:rFonts w:asciiTheme="minorHAnsi" w:hAnsiTheme="minorHAnsi" w:cstheme="minorHAnsi"/>
          <w:sz w:val="22"/>
          <w:szCs w:val="22"/>
        </w:rPr>
        <w:t>2.</w:t>
      </w:r>
      <w:r w:rsidR="00C53A7F" w:rsidRPr="00C53A7F">
        <w:rPr>
          <w:rFonts w:asciiTheme="minorHAnsi" w:hAnsiTheme="minorHAnsi" w:cstheme="minorHAnsi"/>
          <w:sz w:val="22"/>
          <w:szCs w:val="22"/>
        </w:rPr>
        <w:tab/>
      </w:r>
    </w:p>
    <w:p w14:paraId="683A34EC" w14:textId="7A9255AE" w:rsidR="0082727C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580277">
        <w:rPr>
          <w:rFonts w:asciiTheme="minorHAnsi" w:hAnsiTheme="minorHAnsi" w:cstheme="minorHAnsi"/>
          <w:sz w:val="22"/>
          <w:szCs w:val="22"/>
        </w:rPr>
        <w:t>0 - 3 dny před</w:t>
      </w:r>
      <w:r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="00C53A7F">
        <w:rPr>
          <w:rFonts w:asciiTheme="minorHAnsi" w:hAnsiTheme="minorHAnsi" w:cstheme="minorHAnsi"/>
          <w:sz w:val="22"/>
          <w:szCs w:val="22"/>
        </w:rPr>
        <w:t>termín</w:t>
      </w:r>
      <w:r w:rsidR="00580277">
        <w:rPr>
          <w:rFonts w:asciiTheme="minorHAnsi" w:hAnsiTheme="minorHAnsi" w:cstheme="minorHAnsi"/>
          <w:sz w:val="22"/>
          <w:szCs w:val="22"/>
        </w:rPr>
        <w:t>em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>100%</w:t>
      </w:r>
      <w:r w:rsidR="00C53A7F">
        <w:rPr>
          <w:rFonts w:asciiTheme="minorHAnsi" w:hAnsiTheme="minorHAnsi" w:cstheme="minorHAnsi"/>
          <w:sz w:val="22"/>
          <w:szCs w:val="22"/>
        </w:rPr>
        <w:t xml:space="preserve"> ceny </w:t>
      </w:r>
      <w:r w:rsidR="00DD1720">
        <w:rPr>
          <w:rFonts w:asciiTheme="minorHAnsi" w:hAnsiTheme="minorHAnsi" w:cstheme="minorHAnsi"/>
          <w:sz w:val="22"/>
          <w:szCs w:val="22"/>
        </w:rPr>
        <w:t xml:space="preserve">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odstavce </w:t>
      </w:r>
      <w:r w:rsidR="00C53A7F">
        <w:rPr>
          <w:rFonts w:asciiTheme="minorHAnsi" w:hAnsiTheme="minorHAnsi" w:cstheme="minorHAnsi"/>
          <w:sz w:val="22"/>
          <w:szCs w:val="22"/>
        </w:rPr>
        <w:t xml:space="preserve">1., 2. </w:t>
      </w:r>
      <w:r w:rsidR="00704C08">
        <w:rPr>
          <w:rFonts w:asciiTheme="minorHAnsi" w:hAnsiTheme="minorHAnsi" w:cstheme="minorHAnsi"/>
          <w:sz w:val="22"/>
          <w:szCs w:val="22"/>
        </w:rPr>
        <w:t>a</w:t>
      </w:r>
      <w:r w:rsidR="00C53A7F">
        <w:rPr>
          <w:rFonts w:asciiTheme="minorHAnsi" w:hAnsiTheme="minorHAnsi" w:cstheme="minorHAnsi"/>
          <w:sz w:val="22"/>
          <w:szCs w:val="22"/>
        </w:rPr>
        <w:t xml:space="preserve"> 3.</w:t>
      </w:r>
    </w:p>
    <w:p w14:paraId="3A43B8E0" w14:textId="69670149" w:rsidR="00C67C69" w:rsidRDefault="007B1A46" w:rsidP="00CA21EF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z w:val="22"/>
          <w:szCs w:val="22"/>
        </w:rPr>
        <w:t xml:space="preserve"> se zavazuje příslušný stornovací poplatek zaplatit na základě faktury vystavené </w:t>
      </w:r>
      <w:r>
        <w:rPr>
          <w:rFonts w:asciiTheme="minorHAnsi" w:hAnsiTheme="minorHAnsi" w:cstheme="minorHAnsi"/>
          <w:sz w:val="22"/>
          <w:szCs w:val="22"/>
        </w:rPr>
        <w:t>pronajímatelem</w:t>
      </w:r>
      <w:r w:rsidR="0082727C" w:rsidRPr="00CD5282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CA0BE7" w14:textId="4033E0F7" w:rsidR="00704C08" w:rsidRPr="000D40D3" w:rsidRDefault="00704C08" w:rsidP="00CA21E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40D3">
        <w:rPr>
          <w:rFonts w:asciiTheme="minorHAnsi" w:hAnsiTheme="minorHAnsi" w:cstheme="minorHAnsi"/>
          <w:sz w:val="22"/>
          <w:szCs w:val="22"/>
        </w:rPr>
        <w:t>Pokud nájemce objednané služby nevyužije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(tedy aniž by se akce uskutečnila a aniž by ji nájemce písemně zrušil), je nájemce povinen zaplatit pronajímateli jako vzniklou újmu částku ve výši 100% ceny dle článku III. odstavce 1., 2. a 3.   </w:t>
      </w:r>
    </w:p>
    <w:p w14:paraId="5AC7A78F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548651EC" w14:textId="3D49E830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zároveň pořadatelem akce a je si vědom povinností vyplývajících z autorského zákona, z obecně závazných vyhlášek o místních poplatcích. </w:t>
      </w:r>
      <w:r>
        <w:rPr>
          <w:rFonts w:asciiTheme="minorHAnsi" w:hAnsiTheme="minorHAnsi" w:cstheme="minorHAnsi"/>
          <w:sz w:val="22"/>
          <w:szCs w:val="22"/>
        </w:rPr>
        <w:t>Nájemce je povinen provést ohlášení své akce Ochrannému svazu autorskému</w:t>
      </w:r>
      <w:r w:rsidR="003E7420">
        <w:rPr>
          <w:rFonts w:asciiTheme="minorHAnsi" w:hAnsiTheme="minorHAnsi" w:cstheme="minorHAnsi"/>
          <w:sz w:val="22"/>
          <w:szCs w:val="22"/>
        </w:rPr>
        <w:t>, INTEGRAMU</w:t>
      </w:r>
      <w:r>
        <w:rPr>
          <w:rFonts w:asciiTheme="minorHAnsi" w:hAnsiTheme="minorHAnsi" w:cstheme="minorHAnsi"/>
          <w:sz w:val="22"/>
          <w:szCs w:val="22"/>
        </w:rPr>
        <w:t xml:space="preserve"> či jiným subjektům, vůči nimž takovou povinnost má</w:t>
      </w:r>
      <w:r w:rsidR="003E7420">
        <w:rPr>
          <w:rFonts w:asciiTheme="minorHAnsi" w:hAnsiTheme="minorHAnsi" w:cstheme="minorHAnsi"/>
          <w:sz w:val="22"/>
          <w:szCs w:val="22"/>
        </w:rPr>
        <w:t xml:space="preserve"> a těmto uhradit příslušné poplatky</w:t>
      </w:r>
      <w:r>
        <w:rPr>
          <w:rFonts w:asciiTheme="minorHAnsi" w:hAnsiTheme="minorHAnsi" w:cstheme="minorHAnsi"/>
          <w:sz w:val="22"/>
          <w:szCs w:val="22"/>
        </w:rPr>
        <w:t>. 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povinen dodržovat zákony a </w:t>
      </w:r>
      <w:r>
        <w:rPr>
          <w:rFonts w:asciiTheme="minorHAnsi" w:hAnsiTheme="minorHAnsi" w:cstheme="minorHAnsi"/>
          <w:sz w:val="22"/>
          <w:szCs w:val="22"/>
        </w:rPr>
        <w:t xml:space="preserve">ostatní obecně závazné právní předpisy </w:t>
      </w:r>
      <w:r w:rsidR="00EC77EA" w:rsidRPr="00770BFC">
        <w:rPr>
          <w:rFonts w:asciiTheme="minorHAnsi" w:hAnsiTheme="minorHAnsi" w:cstheme="minorHAnsi"/>
          <w:sz w:val="22"/>
          <w:szCs w:val="22"/>
        </w:rPr>
        <w:t>.</w:t>
      </w:r>
    </w:p>
    <w:p w14:paraId="1C7D7146" w14:textId="1EC8E592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nese také plnou zodpovědnost za </w:t>
      </w:r>
      <w:r>
        <w:rPr>
          <w:rFonts w:asciiTheme="minorHAnsi" w:hAnsiTheme="minorHAnsi" w:cstheme="minorHAnsi"/>
          <w:sz w:val="22"/>
          <w:szCs w:val="22"/>
        </w:rPr>
        <w:t>pronajaté prostory či jiný majetek pronajímatele, který mu byl předán či ke kterému bude mít přístup ,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a podpisem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smlouvy se zavazuje </w:t>
      </w: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="00EC77EA" w:rsidRPr="00770BFC">
        <w:rPr>
          <w:rFonts w:asciiTheme="minorHAnsi" w:hAnsiTheme="minorHAnsi" w:cstheme="minorHAnsi"/>
          <w:sz w:val="22"/>
          <w:szCs w:val="22"/>
        </w:rPr>
        <w:t>případné škody</w:t>
      </w:r>
      <w:r>
        <w:rPr>
          <w:rFonts w:asciiTheme="minorHAnsi" w:hAnsiTheme="minorHAnsi" w:cstheme="minorHAnsi"/>
          <w:sz w:val="22"/>
          <w:szCs w:val="22"/>
        </w:rPr>
        <w:t xml:space="preserve"> či újmy</w:t>
      </w:r>
      <w:r w:rsidR="00A16012">
        <w:rPr>
          <w:rFonts w:asciiTheme="minorHAnsi" w:hAnsiTheme="minorHAnsi" w:cstheme="minorHAnsi"/>
          <w:sz w:val="22"/>
          <w:szCs w:val="22"/>
        </w:rPr>
        <w:t xml:space="preserve"> na pronajatých prostorech či jiném majetku pronajímatele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neprodleně </w:t>
      </w:r>
      <w:r w:rsidR="00A16012">
        <w:rPr>
          <w:rFonts w:asciiTheme="minorHAnsi" w:hAnsiTheme="minorHAnsi" w:cstheme="minorHAnsi"/>
          <w:sz w:val="22"/>
          <w:szCs w:val="22"/>
        </w:rPr>
        <w:t xml:space="preserve">zaplatit. Pronajímatel se může dohodnout s nájemcem také na tom, že nájemce zajistí odstranění škod. </w:t>
      </w:r>
    </w:p>
    <w:p w14:paraId="2D08A611" w14:textId="7D876CF4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08975FB" w14:textId="6AE69F11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 xml:space="preserve">Pokud není ve smlouvě uvedeno jinak, je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povinen řídit se </w:t>
      </w:r>
      <w:r w:rsidR="00854D64">
        <w:rPr>
          <w:rFonts w:asciiTheme="minorHAnsi" w:hAnsiTheme="minorHAnsi" w:cstheme="minorHAnsi"/>
          <w:sz w:val="22"/>
          <w:szCs w:val="22"/>
        </w:rPr>
        <w:t xml:space="preserve">Všeobecnými obchodními podmínkami - </w:t>
      </w:r>
      <w:r w:rsidRPr="00770BFC">
        <w:rPr>
          <w:rFonts w:asciiTheme="minorHAnsi" w:hAnsiTheme="minorHAnsi" w:cstheme="minorHAnsi"/>
          <w:sz w:val="22"/>
          <w:szCs w:val="22"/>
        </w:rPr>
        <w:t>nájemním řádem společnosti AKORD &amp; POKLAD, s.r.o.</w:t>
      </w:r>
      <w:r w:rsidR="00854D64"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a protipožárních předpis</w:t>
      </w:r>
      <w:r w:rsidR="00A16012"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447FEBCF" w14:textId="474DA97C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 w:rsidR="00854D64"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8644EE" w14:textId="69CC08DE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Podpisem smlouvy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 w:rsidR="00854D64"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akce. . </w:t>
      </w:r>
    </w:p>
    <w:p w14:paraId="0C0F4B69" w14:textId="03AEAECC" w:rsidR="00EC77EA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C77EA"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="00EC77EA" w:rsidRPr="00CD5282">
        <w:rPr>
          <w:rFonts w:asciiTheme="minorHAnsi" w:hAnsiTheme="minorHAnsi" w:cstheme="minorHAnsi"/>
          <w:sz w:val="22"/>
          <w:szCs w:val="22"/>
        </w:rPr>
        <w:t>.</w:t>
      </w:r>
    </w:p>
    <w:p w14:paraId="2C689FC8" w14:textId="455764DE" w:rsidR="00854D64" w:rsidRPr="00854D64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t xml:space="preserve"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</w:t>
      </w:r>
      <w:r w:rsidRPr="000D40D3">
        <w:rPr>
          <w:sz w:val="22"/>
          <w:szCs w:val="22"/>
        </w:rPr>
        <w:lastRenderedPageBreak/>
        <w:t>snížením hodnoty předmětu plnění. Účastníci se dohodli, že pro jejich vztah založený touto smlouvou vylučují použití ust. § 1793 a násl. občanského zákoníku.</w:t>
      </w:r>
    </w:p>
    <w:p w14:paraId="41CCB2D1" w14:textId="0FBC8BD5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</w:t>
      </w:r>
      <w:r w:rsidR="00854D64"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64F4D430" w14:textId="5F748C84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Nedílnou součástí </w:t>
      </w:r>
      <w:r w:rsidR="0072220F">
        <w:rPr>
          <w:rFonts w:asciiTheme="minorHAnsi" w:hAnsiTheme="minorHAnsi" w:cstheme="minorHAnsi"/>
          <w:sz w:val="22"/>
          <w:szCs w:val="22"/>
        </w:rPr>
        <w:t xml:space="preserve">této </w:t>
      </w:r>
      <w:r w:rsidRPr="00CD5282">
        <w:rPr>
          <w:rFonts w:asciiTheme="minorHAnsi" w:hAnsiTheme="minorHAnsi" w:cstheme="minorHAnsi"/>
          <w:sz w:val="22"/>
          <w:szCs w:val="22"/>
        </w:rPr>
        <w:t>smlouvy jsou :</w:t>
      </w:r>
    </w:p>
    <w:p w14:paraId="21576810" w14:textId="153F9DF0" w:rsidR="00EC77EA" w:rsidRPr="00CD5282" w:rsidRDefault="00EC77EA" w:rsidP="00EC77E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Všeobecné </w:t>
      </w:r>
      <w:r w:rsidR="0072220F">
        <w:rPr>
          <w:rFonts w:asciiTheme="minorHAnsi" w:hAnsiTheme="minorHAnsi" w:cstheme="minorHAnsi"/>
          <w:sz w:val="22"/>
          <w:szCs w:val="22"/>
        </w:rPr>
        <w:t xml:space="preserve">obchodní </w:t>
      </w:r>
      <w:r w:rsidRPr="00CD5282">
        <w:rPr>
          <w:rFonts w:asciiTheme="minorHAnsi" w:hAnsiTheme="minorHAnsi" w:cstheme="minorHAnsi"/>
          <w:sz w:val="22"/>
          <w:szCs w:val="22"/>
        </w:rPr>
        <w:t>podmínky</w:t>
      </w:r>
      <w:r w:rsidR="0072220F">
        <w:rPr>
          <w:rFonts w:asciiTheme="minorHAnsi" w:hAnsiTheme="minorHAnsi" w:cstheme="minorHAnsi"/>
          <w:sz w:val="22"/>
          <w:szCs w:val="22"/>
        </w:rPr>
        <w:t xml:space="preserve"> - </w:t>
      </w:r>
      <w:r w:rsidRPr="00CD5282">
        <w:rPr>
          <w:rFonts w:asciiTheme="minorHAnsi" w:hAnsiTheme="minorHAnsi" w:cstheme="minorHAnsi"/>
          <w:sz w:val="22"/>
          <w:szCs w:val="22"/>
        </w:rPr>
        <w:t xml:space="preserve">nájemní řád </w:t>
      </w:r>
      <w:r w:rsidR="004C10B2">
        <w:rPr>
          <w:rFonts w:asciiTheme="minorHAnsi" w:hAnsiTheme="minorHAnsi" w:cstheme="minorHAnsi"/>
          <w:sz w:val="22"/>
          <w:szCs w:val="22"/>
        </w:rPr>
        <w:t>A</w:t>
      </w:r>
      <w:r w:rsidR="0072220F">
        <w:rPr>
          <w:rFonts w:asciiTheme="minorHAnsi" w:hAnsiTheme="minorHAnsi" w:cstheme="minorHAnsi"/>
          <w:sz w:val="22"/>
          <w:szCs w:val="22"/>
        </w:rPr>
        <w:t xml:space="preserve">KORD </w:t>
      </w:r>
      <w:r w:rsidR="004C10B2">
        <w:rPr>
          <w:rFonts w:asciiTheme="minorHAnsi" w:hAnsiTheme="minorHAnsi" w:cstheme="minorHAnsi"/>
          <w:sz w:val="22"/>
          <w:szCs w:val="22"/>
        </w:rPr>
        <w:t>&amp;P</w:t>
      </w:r>
      <w:r w:rsidR="0072220F">
        <w:rPr>
          <w:rFonts w:asciiTheme="minorHAnsi" w:hAnsiTheme="minorHAnsi" w:cstheme="minorHAnsi"/>
          <w:sz w:val="22"/>
          <w:szCs w:val="22"/>
        </w:rPr>
        <w:t>OKLAD, s.r.o.</w:t>
      </w:r>
    </w:p>
    <w:p w14:paraId="02A844DC" w14:textId="77777777" w:rsidR="0072220F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D8704F6" w14:textId="178086C5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V Ostravě dne </w:t>
      </w:r>
      <w:r w:rsidR="00F26F25">
        <w:rPr>
          <w:rFonts w:asciiTheme="minorHAnsi" w:hAnsiTheme="minorHAnsi" w:cstheme="minorHAnsi"/>
          <w:snapToGrid w:val="0"/>
          <w:sz w:val="22"/>
          <w:szCs w:val="22"/>
        </w:rPr>
        <w:t>21.10.2025</w:t>
      </w:r>
    </w:p>
    <w:p w14:paraId="3FD64E6C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1B8B653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DB6E2F8" w14:textId="73D2AF03" w:rsidR="0082727C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490F19C" w14:textId="77777777" w:rsidR="0072220F" w:rsidRPr="00CD5282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C2E24D3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11479F9A" w14:textId="53B9B78D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nájemce: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pronajímatele</w:t>
      </w:r>
      <w:bookmarkEnd w:id="0"/>
      <w:bookmarkEnd w:id="1"/>
      <w:r w:rsidR="0072220F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03C28E9F" w14:textId="77777777" w:rsidR="0015542D" w:rsidRDefault="0015542D"/>
    <w:sectPr w:rsidR="0015542D" w:rsidSect="00BF44E6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1C77" w14:textId="77777777" w:rsidR="000A5E79" w:rsidRDefault="000A5E79" w:rsidP="0082727C">
      <w:r>
        <w:separator/>
      </w:r>
    </w:p>
  </w:endnote>
  <w:endnote w:type="continuationSeparator" w:id="0">
    <w:p w14:paraId="6FDD6405" w14:textId="77777777" w:rsidR="000A5E79" w:rsidRDefault="000A5E79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41BD" w14:textId="77777777" w:rsidR="000A5E79" w:rsidRDefault="000A5E79" w:rsidP="0082727C">
      <w:r>
        <w:separator/>
      </w:r>
    </w:p>
  </w:footnote>
  <w:footnote w:type="continuationSeparator" w:id="0">
    <w:p w14:paraId="68C6E2EA" w14:textId="77777777" w:rsidR="000A5E79" w:rsidRDefault="000A5E79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154261">
    <w:abstractNumId w:val="4"/>
  </w:num>
  <w:num w:numId="2" w16cid:durableId="173031471">
    <w:abstractNumId w:val="7"/>
  </w:num>
  <w:num w:numId="3" w16cid:durableId="104353667">
    <w:abstractNumId w:val="0"/>
  </w:num>
  <w:num w:numId="4" w16cid:durableId="1918318243">
    <w:abstractNumId w:val="2"/>
  </w:num>
  <w:num w:numId="5" w16cid:durableId="246574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9450705">
    <w:abstractNumId w:val="1"/>
  </w:num>
  <w:num w:numId="7" w16cid:durableId="975797940">
    <w:abstractNumId w:val="11"/>
  </w:num>
  <w:num w:numId="8" w16cid:durableId="757793215">
    <w:abstractNumId w:val="8"/>
  </w:num>
  <w:num w:numId="9" w16cid:durableId="1514999369">
    <w:abstractNumId w:val="9"/>
  </w:num>
  <w:num w:numId="10" w16cid:durableId="438305992">
    <w:abstractNumId w:val="6"/>
  </w:num>
  <w:num w:numId="11" w16cid:durableId="270283884">
    <w:abstractNumId w:val="3"/>
  </w:num>
  <w:num w:numId="12" w16cid:durableId="272982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5452"/>
    <w:rsid w:val="0003088B"/>
    <w:rsid w:val="000A5E79"/>
    <w:rsid w:val="000B22D6"/>
    <w:rsid w:val="000D0A6A"/>
    <w:rsid w:val="000D40D3"/>
    <w:rsid w:val="001053D0"/>
    <w:rsid w:val="00115CD6"/>
    <w:rsid w:val="00125489"/>
    <w:rsid w:val="00133404"/>
    <w:rsid w:val="00143A18"/>
    <w:rsid w:val="00153A7D"/>
    <w:rsid w:val="00154970"/>
    <w:rsid w:val="0015542D"/>
    <w:rsid w:val="0019516D"/>
    <w:rsid w:val="001A6C41"/>
    <w:rsid w:val="001D5485"/>
    <w:rsid w:val="001E3ACE"/>
    <w:rsid w:val="0020487B"/>
    <w:rsid w:val="002051D0"/>
    <w:rsid w:val="00240F88"/>
    <w:rsid w:val="002A2AEF"/>
    <w:rsid w:val="002A33E9"/>
    <w:rsid w:val="002C5EE5"/>
    <w:rsid w:val="002E5FFC"/>
    <w:rsid w:val="002F5376"/>
    <w:rsid w:val="003134A1"/>
    <w:rsid w:val="0031451E"/>
    <w:rsid w:val="00320A83"/>
    <w:rsid w:val="003563FC"/>
    <w:rsid w:val="00375257"/>
    <w:rsid w:val="003E05A8"/>
    <w:rsid w:val="003E7420"/>
    <w:rsid w:val="00465A96"/>
    <w:rsid w:val="00470C71"/>
    <w:rsid w:val="00491E56"/>
    <w:rsid w:val="00495954"/>
    <w:rsid w:val="004A0622"/>
    <w:rsid w:val="004C10B2"/>
    <w:rsid w:val="004E46F2"/>
    <w:rsid w:val="00534076"/>
    <w:rsid w:val="00580277"/>
    <w:rsid w:val="005C3D33"/>
    <w:rsid w:val="00671D02"/>
    <w:rsid w:val="00682BAF"/>
    <w:rsid w:val="00704C08"/>
    <w:rsid w:val="0072220F"/>
    <w:rsid w:val="00736F72"/>
    <w:rsid w:val="00770BFC"/>
    <w:rsid w:val="00797388"/>
    <w:rsid w:val="007B1A46"/>
    <w:rsid w:val="007C2098"/>
    <w:rsid w:val="0082727C"/>
    <w:rsid w:val="00846B3F"/>
    <w:rsid w:val="00854D64"/>
    <w:rsid w:val="00875ED4"/>
    <w:rsid w:val="008B2A82"/>
    <w:rsid w:val="008D0323"/>
    <w:rsid w:val="008F73B3"/>
    <w:rsid w:val="00A16012"/>
    <w:rsid w:val="00A2194B"/>
    <w:rsid w:val="00A22C89"/>
    <w:rsid w:val="00A30143"/>
    <w:rsid w:val="00B277E2"/>
    <w:rsid w:val="00BC12F6"/>
    <w:rsid w:val="00BF3767"/>
    <w:rsid w:val="00C03F84"/>
    <w:rsid w:val="00C33C11"/>
    <w:rsid w:val="00C53A7F"/>
    <w:rsid w:val="00C62015"/>
    <w:rsid w:val="00C67C69"/>
    <w:rsid w:val="00C67D36"/>
    <w:rsid w:val="00C71D25"/>
    <w:rsid w:val="00C758B7"/>
    <w:rsid w:val="00CA21EF"/>
    <w:rsid w:val="00CA4241"/>
    <w:rsid w:val="00CC5062"/>
    <w:rsid w:val="00CD25A4"/>
    <w:rsid w:val="00CD5282"/>
    <w:rsid w:val="00D304CB"/>
    <w:rsid w:val="00D709AD"/>
    <w:rsid w:val="00DA5F61"/>
    <w:rsid w:val="00DC6CD7"/>
    <w:rsid w:val="00DC73D7"/>
    <w:rsid w:val="00DD1720"/>
    <w:rsid w:val="00EC565D"/>
    <w:rsid w:val="00EC77EA"/>
    <w:rsid w:val="00ED48E1"/>
    <w:rsid w:val="00F26F25"/>
    <w:rsid w:val="00F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F0CEC17D-E392-4562-B6B0-C0268A7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3</cp:revision>
  <cp:lastPrinted>2022-12-06T07:11:00Z</cp:lastPrinted>
  <dcterms:created xsi:type="dcterms:W3CDTF">2025-10-21T11:04:00Z</dcterms:created>
  <dcterms:modified xsi:type="dcterms:W3CDTF">2025-10-21T11:05:00Z</dcterms:modified>
</cp:coreProperties>
</file>