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27B0" w14:textId="77777777" w:rsidR="00772575" w:rsidRPr="004C7F05" w:rsidRDefault="00772575" w:rsidP="00772575">
      <w:pPr>
        <w:spacing w:after="0" w:line="24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</w:p>
    <w:p w14:paraId="4E887C27" w14:textId="77777777" w:rsidR="00772575" w:rsidRPr="004C7F05" w:rsidRDefault="00772575" w:rsidP="00772575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650FCF9D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Veřejnoprávní smlouva o poskytnutí dotace</w:t>
      </w:r>
    </w:p>
    <w:p w14:paraId="2A9CA602" w14:textId="4A707698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č. S-00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42</w:t>
      </w:r>
      <w:r w:rsidRPr="004C7F0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/202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5</w:t>
      </w:r>
    </w:p>
    <w:p w14:paraId="56996AC0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>uzavřená ve smyslu ustanovení § 159 a násl. zákona č. 500/2004 Sb., správní řád, ve znění pozdějších předpisů,</w:t>
      </w:r>
    </w:p>
    <w:p w14:paraId="56A1214A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podle § 89, odst. 2, písm. b) zákona č. 131/2000 </w:t>
      </w:r>
      <w:proofErr w:type="spellStart"/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>Sb.,o</w:t>
      </w:r>
      <w:proofErr w:type="spellEnd"/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7E86F00B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19B3BFDF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mezi:</w:t>
      </w:r>
    </w:p>
    <w:p w14:paraId="1FD49AD1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A43FE5F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Poskytovatelem dotace: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>Městská část Praha – Štěrboholy</w:t>
      </w:r>
    </w:p>
    <w:p w14:paraId="5D825010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se sídlem Ústřední 527/14,  102 00  Praha 10</w:t>
      </w:r>
    </w:p>
    <w:p w14:paraId="6B464F93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 xml:space="preserve">zastoupená panem Janem </w:t>
      </w:r>
      <w:proofErr w:type="spellStart"/>
      <w:r w:rsidRPr="004C7F05">
        <w:rPr>
          <w:rFonts w:ascii="Calibri" w:eastAsia="Calibri" w:hAnsi="Calibri" w:cs="Calibri"/>
          <w:kern w:val="0"/>
          <w14:ligatures w14:val="none"/>
        </w:rPr>
        <w:t>Čikarou</w:t>
      </w:r>
      <w:proofErr w:type="spellEnd"/>
      <w:r w:rsidRPr="004C7F05">
        <w:rPr>
          <w:rFonts w:ascii="Calibri" w:eastAsia="Calibri" w:hAnsi="Calibri" w:cs="Calibri"/>
          <w:kern w:val="0"/>
          <w14:ligatures w14:val="none"/>
        </w:rPr>
        <w:t xml:space="preserve">, místostarostou </w:t>
      </w:r>
    </w:p>
    <w:p w14:paraId="0367AB79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IČ: 00231371</w:t>
      </w:r>
    </w:p>
    <w:p w14:paraId="3B29F82E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bankovní spojení: Česká spořitelna, a.s.</w:t>
      </w:r>
    </w:p>
    <w:p w14:paraId="5422D187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proofErr w:type="spellStart"/>
      <w:r w:rsidRPr="004C7F05">
        <w:rPr>
          <w:rFonts w:ascii="Calibri" w:eastAsia="Calibri" w:hAnsi="Calibri" w:cs="Calibri"/>
          <w:kern w:val="0"/>
          <w14:ligatures w14:val="none"/>
        </w:rPr>
        <w:t>č.ú</w:t>
      </w:r>
      <w:proofErr w:type="spellEnd"/>
      <w:r w:rsidRPr="004C7F05">
        <w:rPr>
          <w:rFonts w:ascii="Calibri" w:eastAsia="Calibri" w:hAnsi="Calibri" w:cs="Calibri"/>
          <w:kern w:val="0"/>
          <w14:ligatures w14:val="none"/>
        </w:rPr>
        <w:t>.: 2000718329/0800</w:t>
      </w:r>
    </w:p>
    <w:p w14:paraId="56CD198F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(dále jen „poskytovatel“)</w:t>
      </w:r>
    </w:p>
    <w:p w14:paraId="155A63E9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a</w:t>
      </w:r>
    </w:p>
    <w:p w14:paraId="47B796C5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91FD516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Příjemcem dotace: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>TJ Sokol Štěrboholy</w:t>
      </w:r>
    </w:p>
    <w:p w14:paraId="053E9ED0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>pobočný spolek</w:t>
      </w:r>
    </w:p>
    <w:p w14:paraId="4E5F41AA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se sídlem Granátnická 497/1, 102 00  Praha 10</w:t>
      </w:r>
    </w:p>
    <w:p w14:paraId="37670820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 xml:space="preserve">zastoupená panem Františkem </w:t>
      </w:r>
      <w:proofErr w:type="spellStart"/>
      <w:r w:rsidRPr="004C7F05">
        <w:rPr>
          <w:rFonts w:ascii="Calibri" w:eastAsia="Calibri" w:hAnsi="Calibri" w:cs="Calibri"/>
          <w:kern w:val="0"/>
          <w14:ligatures w14:val="none"/>
        </w:rPr>
        <w:t>Ševítem</w:t>
      </w:r>
      <w:proofErr w:type="spellEnd"/>
      <w:r w:rsidRPr="004C7F05">
        <w:rPr>
          <w:rFonts w:ascii="Calibri" w:eastAsia="Calibri" w:hAnsi="Calibri" w:cs="Calibri"/>
          <w:kern w:val="0"/>
          <w14:ligatures w14:val="none"/>
        </w:rPr>
        <w:t>, starostou</w:t>
      </w:r>
    </w:p>
    <w:p w14:paraId="06AF86A6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IČ: 75148340</w:t>
      </w:r>
    </w:p>
    <w:p w14:paraId="16CD4BAC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bankovní spojení: ČSOB, Era banka</w:t>
      </w:r>
    </w:p>
    <w:p w14:paraId="5CDCD641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 xml:space="preserve">     </w:t>
      </w:r>
      <w:proofErr w:type="spellStart"/>
      <w:r w:rsidRPr="004C7F05">
        <w:rPr>
          <w:rFonts w:ascii="Calibri" w:eastAsia="Calibri" w:hAnsi="Calibri" w:cs="Calibri"/>
          <w:kern w:val="0"/>
          <w14:ligatures w14:val="none"/>
        </w:rPr>
        <w:t>č.ú</w:t>
      </w:r>
      <w:proofErr w:type="spellEnd"/>
      <w:r w:rsidRPr="004C7F05">
        <w:rPr>
          <w:rFonts w:ascii="Calibri" w:eastAsia="Calibri" w:hAnsi="Calibri" w:cs="Calibri"/>
          <w:kern w:val="0"/>
          <w14:ligatures w14:val="none"/>
        </w:rPr>
        <w:t>.: 225331046/0300</w:t>
      </w:r>
    </w:p>
    <w:p w14:paraId="1F14747A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(dále jen „příjemce“)</w:t>
      </w:r>
    </w:p>
    <w:p w14:paraId="6EC51F45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B4D87B0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85B3AE4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EEEE90A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I.</w:t>
      </w:r>
    </w:p>
    <w:p w14:paraId="1E6EDE8E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Obecná ustanovení</w:t>
      </w:r>
    </w:p>
    <w:p w14:paraId="1E5CB0B9" w14:textId="59B1939D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Zastupitelstvo městské části Praha – Štěrboholy rozhodlo svým usnesením č. </w:t>
      </w:r>
      <w:r>
        <w:rPr>
          <w:rFonts w:ascii="Calibri" w:eastAsia="Calibri" w:hAnsi="Calibri" w:cs="Calibri"/>
          <w:kern w:val="0"/>
          <w14:ligatures w14:val="none"/>
        </w:rPr>
        <w:t>32/IV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ze dne </w:t>
      </w:r>
      <w:r>
        <w:rPr>
          <w:rFonts w:ascii="Calibri" w:eastAsia="Calibri" w:hAnsi="Calibri" w:cs="Calibri"/>
          <w:kern w:val="0"/>
          <w14:ligatures w14:val="none"/>
        </w:rPr>
        <w:t>15.10.2025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o poskytnutí dotace z rozpočtu městské části v roce 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ve výši a za podmínek dále uvedených v této smlouvě. </w:t>
      </w:r>
    </w:p>
    <w:p w14:paraId="64F47974" w14:textId="77777777" w:rsidR="00772575" w:rsidRDefault="00772575" w:rsidP="0077257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1E44597" w14:textId="77777777" w:rsidR="00772575" w:rsidRPr="004C7F05" w:rsidRDefault="00772575" w:rsidP="0077257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D4E5B4A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II.</w:t>
      </w:r>
    </w:p>
    <w:p w14:paraId="421110E1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Účel dotace</w:t>
      </w:r>
    </w:p>
    <w:p w14:paraId="23C17044" w14:textId="5B44BF38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Poskytovatel poskytne příjemci účelovou dotaci na </w:t>
      </w:r>
      <w:r>
        <w:rPr>
          <w:rFonts w:ascii="Calibri" w:eastAsia="Calibri" w:hAnsi="Calibri" w:cs="Calibri"/>
          <w:kern w:val="0"/>
          <w14:ligatures w14:val="none"/>
        </w:rPr>
        <w:t>podporu činnosti oddílů mládeže ve výši 229 500,00Kč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(slovy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dvěstědvacetdevěttisícpětset</w:t>
      </w:r>
      <w:proofErr w:type="spellEnd"/>
      <w:r w:rsidRPr="004C7F05">
        <w:rPr>
          <w:rFonts w:ascii="Calibri" w:eastAsia="Calibri" w:hAnsi="Calibri" w:cs="Calibri"/>
          <w:kern w:val="0"/>
          <w14:ligatures w14:val="none"/>
        </w:rPr>
        <w:t xml:space="preserve"> korun českých)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4EFCA317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D0980A5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0992B3D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III.</w:t>
      </w:r>
    </w:p>
    <w:p w14:paraId="0F1C68DA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Doba užití a způsob poskytnutí dotace</w:t>
      </w:r>
    </w:p>
    <w:p w14:paraId="4FEF34AF" w14:textId="5436C12C" w:rsidR="00772575" w:rsidRPr="004C7F05" w:rsidRDefault="00772575" w:rsidP="0077257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Poskytovatel se zavazuje poskytnout příjemci dotaci za účelem uvedeným v článku II., na účet příjemce uvedený v záhlaví této smlouvy jednorázově v celkové výši </w:t>
      </w:r>
      <w:r>
        <w:rPr>
          <w:rFonts w:ascii="Calibri" w:eastAsia="Calibri" w:hAnsi="Calibri" w:cs="Calibri"/>
          <w:kern w:val="0"/>
          <w14:ligatures w14:val="none"/>
        </w:rPr>
        <w:t>229 500,00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Kč (slovy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dvěstědvacetdevěttisícpětset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korun českých) do 10 dnů ode dne podpisu této smlouvy oběma smluvními stranami. </w:t>
      </w:r>
    </w:p>
    <w:p w14:paraId="26C4F97A" w14:textId="2C33DCF8" w:rsidR="00772575" w:rsidRPr="004C7F05" w:rsidRDefault="00772575" w:rsidP="0077257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lastRenderedPageBreak/>
        <w:t>Finanční prostředky lze použít na úhradu nákladů vzniklých v roce 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4C7F05">
        <w:rPr>
          <w:rFonts w:ascii="Calibri" w:eastAsia="Calibri" w:hAnsi="Calibri" w:cs="Calibri"/>
          <w:kern w:val="0"/>
          <w14:ligatures w14:val="none"/>
        </w:rPr>
        <w:t>. Finanční prostředky nelze převádět do následujícího kalendářního roku. Dotace podléhá finančnímu vypořádání s rozpočtem poskytovatele za rok 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4C7F05">
        <w:rPr>
          <w:rFonts w:ascii="Calibri" w:eastAsia="Calibri" w:hAnsi="Calibri" w:cs="Calibri"/>
          <w:kern w:val="0"/>
          <w14:ligatures w14:val="none"/>
        </w:rPr>
        <w:t>.</w:t>
      </w:r>
    </w:p>
    <w:p w14:paraId="6DA37BA8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3CBE108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F84B345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IV.</w:t>
      </w:r>
    </w:p>
    <w:p w14:paraId="10DE1CDC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Podmínky použití peněžních prostředků</w:t>
      </w:r>
    </w:p>
    <w:p w14:paraId="3405DFA4" w14:textId="77777777" w:rsidR="00772575" w:rsidRPr="004C7F05" w:rsidRDefault="00772575" w:rsidP="00772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Příjemce je povinen užít dotaci jen k účelu uvedenému v čl. II. této smlouvy a pouze za podmínek dále uvedených. </w:t>
      </w:r>
    </w:p>
    <w:p w14:paraId="60616780" w14:textId="77777777" w:rsidR="00772575" w:rsidRPr="004C7F05" w:rsidRDefault="00772575" w:rsidP="00772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13CC79F0" w14:textId="77777777" w:rsidR="00772575" w:rsidRPr="004C7F05" w:rsidRDefault="00772575" w:rsidP="00772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266E96E6" w14:textId="0699078D" w:rsidR="00772575" w:rsidRPr="004C7F05" w:rsidRDefault="00772575" w:rsidP="00772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15.12.202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4C7F05">
        <w:rPr>
          <w:rFonts w:ascii="Calibri" w:eastAsia="Calibri" w:hAnsi="Calibri" w:cs="Calibri"/>
          <w:kern w:val="0"/>
          <w14:ligatures w14:val="none"/>
        </w:rPr>
        <w:t>.</w:t>
      </w:r>
    </w:p>
    <w:p w14:paraId="7B9FBD8F" w14:textId="77777777" w:rsidR="00772575" w:rsidRPr="004C7F05" w:rsidRDefault="00772575" w:rsidP="00772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3A380625" w14:textId="77777777" w:rsidR="00772575" w:rsidRPr="004C7F05" w:rsidRDefault="00772575" w:rsidP="00772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Příjemce je povinen poskytnout součinnost při výkonu kontrolní činnosti poskytovatele v souladu se zákonem a zvláštním právním předpisem. </w:t>
      </w:r>
    </w:p>
    <w:p w14:paraId="12508233" w14:textId="77777777" w:rsidR="00772575" w:rsidRPr="004C7F05" w:rsidRDefault="00772575" w:rsidP="00772575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59FA051" w14:textId="77777777" w:rsidR="00772575" w:rsidRPr="004C7F05" w:rsidRDefault="00772575" w:rsidP="00772575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D60955" w14:textId="77777777" w:rsidR="00772575" w:rsidRPr="004C7F05" w:rsidRDefault="00772575" w:rsidP="00772575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V.</w:t>
      </w:r>
    </w:p>
    <w:p w14:paraId="7930EDC6" w14:textId="77777777" w:rsidR="00772575" w:rsidRPr="004C7F05" w:rsidRDefault="00772575" w:rsidP="00772575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Povinnosti příjemce při přeměně právnické osoby, při prohlášení úpadku či zrušení s likvidací</w:t>
      </w:r>
    </w:p>
    <w:p w14:paraId="651EB459" w14:textId="77777777" w:rsidR="00772575" w:rsidRPr="004C7F05" w:rsidRDefault="00772575" w:rsidP="0077257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65F99811" w14:textId="77777777" w:rsidR="00772575" w:rsidRPr="004C7F05" w:rsidRDefault="00772575" w:rsidP="0077257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Žádost dle bodu 1 tohoto článku projedná a rozhodne o ní zastupitelstvo městské části.</w:t>
      </w:r>
    </w:p>
    <w:p w14:paraId="334BA6EF" w14:textId="77777777" w:rsidR="00772575" w:rsidRPr="004C7F05" w:rsidRDefault="00772575" w:rsidP="0077257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784FE1BB" w14:textId="77777777" w:rsidR="00772575" w:rsidRPr="004C7F05" w:rsidRDefault="00772575" w:rsidP="0077257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2B93CB01" w14:textId="77777777" w:rsidR="00772575" w:rsidRPr="004C7F05" w:rsidRDefault="00772575" w:rsidP="00772575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FDFB9CE" w14:textId="77777777" w:rsidR="00772575" w:rsidRPr="004C7F05" w:rsidRDefault="00772575" w:rsidP="00772575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4E808E0" w14:textId="77777777" w:rsidR="00772575" w:rsidRPr="004C7F05" w:rsidRDefault="00772575" w:rsidP="00772575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VI.</w:t>
      </w:r>
    </w:p>
    <w:p w14:paraId="74A94892" w14:textId="77777777" w:rsidR="00772575" w:rsidRPr="004C7F05" w:rsidRDefault="00772575" w:rsidP="00772575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Ostatní ujednání</w:t>
      </w:r>
    </w:p>
    <w:p w14:paraId="1D520905" w14:textId="77777777" w:rsidR="00772575" w:rsidRPr="004C7F05" w:rsidRDefault="00772575" w:rsidP="0077257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Příjemce dotace souhlasí se zpracováním jeho údajů poskytovatelem dotace s ohledem na zákon č. 106/1990 Sb., o svobodném přístupu k informacím. Tento souhlas je příjemcem poskytován a </w:t>
      </w:r>
      <w:r w:rsidRPr="004C7F05">
        <w:rPr>
          <w:rFonts w:ascii="Calibri" w:eastAsia="Calibri" w:hAnsi="Calibri" w:cs="Calibri"/>
          <w:kern w:val="0"/>
          <w14:ligatures w14:val="none"/>
        </w:rPr>
        <w:lastRenderedPageBreak/>
        <w:t xml:space="preserve">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6F30C195" w14:textId="77777777" w:rsidR="00772575" w:rsidRPr="004C7F05" w:rsidRDefault="00772575" w:rsidP="0077257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3C7F56E2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C34E959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4E905F4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96169D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AEE6EFB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VII.</w:t>
      </w:r>
    </w:p>
    <w:p w14:paraId="28248D3E" w14:textId="77777777" w:rsidR="00772575" w:rsidRPr="004C7F05" w:rsidRDefault="00772575" w:rsidP="0077257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Závěrečná ustanovení</w:t>
      </w:r>
    </w:p>
    <w:p w14:paraId="1D4B5952" w14:textId="77777777" w:rsidR="00772575" w:rsidRPr="004C7F05" w:rsidRDefault="00772575" w:rsidP="0077257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Tato smlouva nabývá účinnosti dnem jejího podpisu oběma smluvními stranami.</w:t>
      </w:r>
    </w:p>
    <w:p w14:paraId="6EAE5170" w14:textId="77777777" w:rsidR="00772575" w:rsidRPr="004C7F05" w:rsidRDefault="00772575" w:rsidP="0077257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30772DCD" w14:textId="77777777" w:rsidR="00772575" w:rsidRPr="004C7F05" w:rsidRDefault="00772575" w:rsidP="0077257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Změny a doplňky této smlouvy lze provádět pouze písemnými oboustranně podepsanými dodatky.</w:t>
      </w:r>
    </w:p>
    <w:p w14:paraId="6724CB8A" w14:textId="77777777" w:rsidR="00772575" w:rsidRPr="004C7F05" w:rsidRDefault="00772575" w:rsidP="0077257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Smlouva je vyhotovena ve dvou stejnopisech, z nichž každá smluvní strana obdrží po jednom výtisku.</w:t>
      </w:r>
    </w:p>
    <w:p w14:paraId="09A16492" w14:textId="77777777" w:rsidR="00772575" w:rsidRPr="004C7F05" w:rsidRDefault="00772575" w:rsidP="0077257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Smluvní strany svými podpisy stvrzují, že smlouva byla sjednána na základě jejich pravé a svobodné vůle, nikoli v tísni a za nápadně nevýhodných podmínek.</w:t>
      </w:r>
    </w:p>
    <w:p w14:paraId="0F9BFD0C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E477E30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C0E68E" w14:textId="32D76E86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V Praze dne …</w:t>
      </w:r>
      <w:r w:rsidR="00066FFA">
        <w:rPr>
          <w:rFonts w:ascii="Calibri" w:eastAsia="Calibri" w:hAnsi="Calibri" w:cs="Calibri"/>
          <w:kern w:val="0"/>
          <w14:ligatures w14:val="none"/>
        </w:rPr>
        <w:t>21.10.2025..</w:t>
      </w:r>
      <w:r w:rsidRPr="004C7F05">
        <w:rPr>
          <w:rFonts w:ascii="Calibri" w:eastAsia="Calibri" w:hAnsi="Calibri" w:cs="Calibri"/>
          <w:kern w:val="0"/>
          <w14:ligatures w14:val="none"/>
        </w:rPr>
        <w:t>..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V Praze dne …</w:t>
      </w:r>
      <w:r w:rsidR="00066FFA">
        <w:rPr>
          <w:rFonts w:ascii="Calibri" w:eastAsia="Calibri" w:hAnsi="Calibri" w:cs="Calibri"/>
          <w:kern w:val="0"/>
          <w14:ligatures w14:val="none"/>
        </w:rPr>
        <w:t>21.10.2025…</w:t>
      </w:r>
    </w:p>
    <w:p w14:paraId="4E59BDD0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D3A170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za poskytovatele: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za příjemce:</w:t>
      </w:r>
    </w:p>
    <w:p w14:paraId="48E52D77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B0DF7AA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……………………………………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………………………………………</w:t>
      </w:r>
    </w:p>
    <w:p w14:paraId="01E2E88A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Jan Čikara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František Ševít</w:t>
      </w:r>
    </w:p>
    <w:p w14:paraId="78FF96F3" w14:textId="77777777" w:rsidR="00772575" w:rsidRPr="004C7F05" w:rsidRDefault="00772575" w:rsidP="0077257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místostarosta MČ Praha – Štěrboholy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starosta TJ Sokol Štěrboholy</w:t>
      </w:r>
    </w:p>
    <w:p w14:paraId="004ED78D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BAFFC95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979E175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3CB1B00" w14:textId="3A2A35E1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Zveřejněno na úřední desce  způsobem umožňujícím dálkový přístup: </w:t>
      </w:r>
      <w:hyperlink r:id="rId7" w:history="1">
        <w:r w:rsidRPr="004C7F05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www.sterboholy.cz</w:t>
        </w:r>
      </w:hyperlink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…</w:t>
      </w:r>
      <w:r w:rsidR="00066FFA">
        <w:rPr>
          <w:rFonts w:ascii="Calibri" w:eastAsia="Calibri" w:hAnsi="Calibri" w:cs="Calibri"/>
          <w:kern w:val="0"/>
          <w:sz w:val="20"/>
          <w:szCs w:val="20"/>
          <w14:ligatures w14:val="none"/>
        </w:rPr>
        <w:t>21.10.2025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11D78C25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15282350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FDF6C8F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9548223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A1170E7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4A250EE1" w14:textId="77777777" w:rsidR="00772575" w:rsidRPr="004C7F05" w:rsidRDefault="00772575" w:rsidP="0077257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0213D1E" w14:textId="77777777" w:rsidR="00A011FE" w:rsidRDefault="00A011FE"/>
    <w:sectPr w:rsidR="00A011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A9D0" w14:textId="77777777" w:rsidR="00772575" w:rsidRDefault="00772575" w:rsidP="00772575">
      <w:pPr>
        <w:spacing w:after="0" w:line="240" w:lineRule="auto"/>
      </w:pPr>
      <w:r>
        <w:separator/>
      </w:r>
    </w:p>
  </w:endnote>
  <w:endnote w:type="continuationSeparator" w:id="0">
    <w:p w14:paraId="321EB351" w14:textId="77777777" w:rsidR="00772575" w:rsidRDefault="00772575" w:rsidP="007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054979"/>
      <w:docPartObj>
        <w:docPartGallery w:val="Page Numbers (Bottom of Page)"/>
        <w:docPartUnique/>
      </w:docPartObj>
    </w:sdtPr>
    <w:sdtEndPr/>
    <w:sdtContent>
      <w:p w14:paraId="41999479" w14:textId="28CA46C3" w:rsidR="00772575" w:rsidRDefault="007725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3AD52" w14:textId="77777777" w:rsidR="00772575" w:rsidRDefault="00772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600B" w14:textId="77777777" w:rsidR="00772575" w:rsidRDefault="00772575" w:rsidP="00772575">
      <w:pPr>
        <w:spacing w:after="0" w:line="240" w:lineRule="auto"/>
      </w:pPr>
      <w:r>
        <w:separator/>
      </w:r>
    </w:p>
  </w:footnote>
  <w:footnote w:type="continuationSeparator" w:id="0">
    <w:p w14:paraId="0916A781" w14:textId="77777777" w:rsidR="00772575" w:rsidRDefault="00772575" w:rsidP="0077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41852">
    <w:abstractNumId w:val="0"/>
  </w:num>
  <w:num w:numId="2" w16cid:durableId="444619593">
    <w:abstractNumId w:val="1"/>
  </w:num>
  <w:num w:numId="3" w16cid:durableId="1503933717">
    <w:abstractNumId w:val="3"/>
  </w:num>
  <w:num w:numId="4" w16cid:durableId="409470260">
    <w:abstractNumId w:val="4"/>
  </w:num>
  <w:num w:numId="5" w16cid:durableId="11602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75"/>
    <w:rsid w:val="00066FFA"/>
    <w:rsid w:val="001A1A0F"/>
    <w:rsid w:val="001D70B3"/>
    <w:rsid w:val="00772575"/>
    <w:rsid w:val="00A011FE"/>
    <w:rsid w:val="00A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946"/>
  <w15:chartTrackingRefBased/>
  <w15:docId w15:val="{5480A227-BFC5-4298-9F5D-CD601FBA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575"/>
  </w:style>
  <w:style w:type="paragraph" w:styleId="Nadpis1">
    <w:name w:val="heading 1"/>
    <w:basedOn w:val="Normln"/>
    <w:next w:val="Normln"/>
    <w:link w:val="Nadpis1Char"/>
    <w:uiPriority w:val="9"/>
    <w:qFormat/>
    <w:rsid w:val="00772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2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5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5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5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5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5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5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25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5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25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5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57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575"/>
  </w:style>
  <w:style w:type="paragraph" w:styleId="Zpat">
    <w:name w:val="footer"/>
    <w:basedOn w:val="Normln"/>
    <w:link w:val="ZpatChar"/>
    <w:uiPriority w:val="99"/>
    <w:unhideWhenUsed/>
    <w:rsid w:val="007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cp:lastPrinted>2025-10-17T08:53:00Z</cp:lastPrinted>
  <dcterms:created xsi:type="dcterms:W3CDTF">2025-10-17T08:47:00Z</dcterms:created>
  <dcterms:modified xsi:type="dcterms:W3CDTF">2025-10-21T08:23:00Z</dcterms:modified>
</cp:coreProperties>
</file>