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54050" distL="129540" distR="132715" simplePos="0" relativeHeight="125829378" behindDoc="0" locked="0" layoutInCell="1" allowOverlap="1">
            <wp:simplePos x="0" y="0"/>
            <wp:positionH relativeFrom="page">
              <wp:posOffset>721360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1562735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0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172847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POH/44432/2025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600000000000001pt;margin-top:91.25pt;width:136.09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POH/44432/2025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4025265</wp:posOffset>
                </wp:positionH>
                <wp:positionV relativeFrom="paragraph">
                  <wp:posOffset>938530</wp:posOffset>
                </wp:positionV>
                <wp:extent cx="1386840" cy="86868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6840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TopKarMoto s.r.o.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Sídlištní 22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564 01 Dlouhoňovice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94999999999999pt;margin-top:73.900000000000006pt;width:109.2pt;height:68.400000000000006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TopKarMoto s.r.o.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Sídlištní 22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564 01 Dlouhoňovice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3654425</wp:posOffset>
                </wp:positionV>
                <wp:extent cx="1024255" cy="6489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205006/309/2025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01.12.2025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54 729,00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97962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70000000000002pt;margin-top:287.75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205006/309/2025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01.12.2025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54 729,00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97962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14.10.2025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čepů a ložisek řízení přední a zadní řídicí nápravy u stroje REFORM METRAC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677" w:left="1112" w:right="5569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