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FC9" w:rsidRDefault="00FE0FC9" w:rsidP="00FE0FC9">
      <w:pPr>
        <w:pStyle w:val="Default"/>
      </w:pPr>
    </w:p>
    <w:p w:rsidR="00FE0FC9" w:rsidRDefault="00FE0FC9" w:rsidP="00FE0FC9">
      <w:pPr>
        <w:pStyle w:val="Default"/>
        <w:jc w:val="center"/>
        <w:rPr>
          <w:sz w:val="40"/>
          <w:szCs w:val="40"/>
        </w:rPr>
      </w:pPr>
      <w:r>
        <w:rPr>
          <w:b/>
          <w:bCs/>
          <w:sz w:val="40"/>
          <w:szCs w:val="40"/>
        </w:rPr>
        <w:t>Dodatek č. 1 Smlouvy o dílo</w:t>
      </w:r>
    </w:p>
    <w:p w:rsidR="00FE0FC9" w:rsidRDefault="00FE0FC9" w:rsidP="00FE0FC9">
      <w:pPr>
        <w:pStyle w:val="Default"/>
        <w:jc w:val="center"/>
        <w:rPr>
          <w:sz w:val="23"/>
          <w:szCs w:val="23"/>
        </w:rPr>
      </w:pPr>
      <w:r>
        <w:rPr>
          <w:sz w:val="23"/>
          <w:szCs w:val="23"/>
        </w:rPr>
        <w:t>SMLOUVA O DÍLO č. 2025/00484</w:t>
      </w:r>
    </w:p>
    <w:p w:rsidR="00FE0FC9" w:rsidRDefault="00FE0FC9" w:rsidP="00FE0FC9">
      <w:pPr>
        <w:pStyle w:val="Default"/>
        <w:jc w:val="center"/>
        <w:rPr>
          <w:sz w:val="23"/>
          <w:szCs w:val="23"/>
        </w:rPr>
      </w:pPr>
    </w:p>
    <w:p w:rsidR="00FE0FC9" w:rsidRDefault="00FE0FC9" w:rsidP="00FE0FC9">
      <w:pPr>
        <w:pStyle w:val="Default"/>
        <w:jc w:val="center"/>
        <w:rPr>
          <w:sz w:val="23"/>
          <w:szCs w:val="23"/>
        </w:rPr>
      </w:pPr>
      <w:r>
        <w:rPr>
          <w:sz w:val="23"/>
          <w:szCs w:val="23"/>
        </w:rPr>
        <w:t xml:space="preserve">uzavřená podle </w:t>
      </w:r>
      <w:proofErr w:type="spellStart"/>
      <w:r>
        <w:rPr>
          <w:sz w:val="23"/>
          <w:szCs w:val="23"/>
        </w:rPr>
        <w:t>ust</w:t>
      </w:r>
      <w:proofErr w:type="spellEnd"/>
      <w:r>
        <w:rPr>
          <w:sz w:val="23"/>
          <w:szCs w:val="23"/>
        </w:rPr>
        <w:t xml:space="preserve">. § 2586 a násl. zákona č. 89/2012 Sb., občanský zákoník, ve znění pozdějších předpisů (dále </w:t>
      </w:r>
      <w:proofErr w:type="gramStart"/>
      <w:r>
        <w:rPr>
          <w:sz w:val="23"/>
          <w:szCs w:val="23"/>
        </w:rPr>
        <w:t>jen „,občanský</w:t>
      </w:r>
      <w:proofErr w:type="gramEnd"/>
      <w:r>
        <w:rPr>
          <w:sz w:val="23"/>
          <w:szCs w:val="23"/>
        </w:rPr>
        <w:t xml:space="preserve"> zákoník“),</w:t>
      </w:r>
    </w:p>
    <w:p w:rsidR="00FE0FC9" w:rsidRDefault="00FE0FC9" w:rsidP="00FE0FC9">
      <w:pPr>
        <w:pStyle w:val="Default"/>
        <w:rPr>
          <w:sz w:val="23"/>
          <w:szCs w:val="23"/>
        </w:rPr>
      </w:pPr>
    </w:p>
    <w:p w:rsidR="00FE0FC9" w:rsidRDefault="00FE0FC9" w:rsidP="00FE0FC9">
      <w:pPr>
        <w:pStyle w:val="Default"/>
        <w:rPr>
          <w:sz w:val="23"/>
          <w:szCs w:val="23"/>
        </w:rPr>
      </w:pPr>
    </w:p>
    <w:p w:rsidR="00FE0FC9" w:rsidRDefault="00FE0FC9" w:rsidP="00FE0FC9">
      <w:pPr>
        <w:pStyle w:val="Default"/>
        <w:rPr>
          <w:sz w:val="23"/>
          <w:szCs w:val="23"/>
        </w:rPr>
      </w:pPr>
      <w:r>
        <w:rPr>
          <w:sz w:val="23"/>
          <w:szCs w:val="23"/>
        </w:rPr>
        <w:t xml:space="preserve">mezi smluvními stranami: </w:t>
      </w:r>
    </w:p>
    <w:p w:rsidR="00FE0FC9" w:rsidRDefault="00FE0FC9" w:rsidP="00FE0FC9">
      <w:pPr>
        <w:pStyle w:val="Default"/>
        <w:rPr>
          <w:sz w:val="23"/>
          <w:szCs w:val="23"/>
        </w:rPr>
      </w:pPr>
      <w:r>
        <w:rPr>
          <w:b/>
          <w:bCs/>
          <w:sz w:val="23"/>
          <w:szCs w:val="23"/>
        </w:rPr>
        <w:t xml:space="preserve">Univerzita Jana Evangelisty Purkyně v Ústí nad Labem </w:t>
      </w:r>
    </w:p>
    <w:p w:rsidR="00FE0FC9" w:rsidRDefault="00FE0FC9" w:rsidP="00FE0FC9">
      <w:pPr>
        <w:pStyle w:val="Default"/>
        <w:rPr>
          <w:sz w:val="23"/>
          <w:szCs w:val="23"/>
        </w:rPr>
      </w:pPr>
      <w:r>
        <w:rPr>
          <w:b/>
          <w:bCs/>
          <w:sz w:val="23"/>
          <w:szCs w:val="23"/>
        </w:rPr>
        <w:t>Sídlo</w:t>
      </w:r>
      <w:r>
        <w:rPr>
          <w:sz w:val="23"/>
          <w:szCs w:val="23"/>
        </w:rPr>
        <w:t>:                            Pasteurova 1, 400 96 Ústí nad Labem</w:t>
      </w:r>
    </w:p>
    <w:p w:rsidR="00FE0FC9" w:rsidRDefault="00FE0FC9" w:rsidP="00FE0FC9">
      <w:pPr>
        <w:pStyle w:val="Default"/>
        <w:rPr>
          <w:sz w:val="23"/>
          <w:szCs w:val="23"/>
        </w:rPr>
      </w:pPr>
      <w:r>
        <w:rPr>
          <w:b/>
          <w:bCs/>
          <w:sz w:val="23"/>
          <w:szCs w:val="23"/>
        </w:rPr>
        <w:t>IČ</w:t>
      </w:r>
      <w:r>
        <w:rPr>
          <w:sz w:val="23"/>
          <w:szCs w:val="23"/>
        </w:rPr>
        <w:t xml:space="preserve">:                                 445 55 601 </w:t>
      </w:r>
    </w:p>
    <w:p w:rsidR="00FE0FC9" w:rsidRDefault="00FE0FC9" w:rsidP="00FE0FC9">
      <w:pPr>
        <w:pStyle w:val="Default"/>
        <w:rPr>
          <w:sz w:val="23"/>
          <w:szCs w:val="23"/>
        </w:rPr>
      </w:pPr>
      <w:r>
        <w:rPr>
          <w:b/>
          <w:bCs/>
          <w:sz w:val="23"/>
          <w:szCs w:val="23"/>
        </w:rPr>
        <w:t>DIČ</w:t>
      </w:r>
      <w:r>
        <w:rPr>
          <w:sz w:val="23"/>
          <w:szCs w:val="23"/>
        </w:rPr>
        <w:t xml:space="preserve">:                              CZ44555601 </w:t>
      </w:r>
    </w:p>
    <w:p w:rsidR="00FE0FC9" w:rsidRDefault="00FE0FC9" w:rsidP="00FE0FC9">
      <w:pPr>
        <w:pStyle w:val="Default"/>
        <w:rPr>
          <w:sz w:val="23"/>
          <w:szCs w:val="23"/>
        </w:rPr>
      </w:pPr>
      <w:r>
        <w:rPr>
          <w:b/>
          <w:bCs/>
          <w:sz w:val="23"/>
          <w:szCs w:val="23"/>
        </w:rPr>
        <w:t>Zastoupená</w:t>
      </w:r>
      <w:r>
        <w:rPr>
          <w:sz w:val="23"/>
          <w:szCs w:val="23"/>
        </w:rPr>
        <w:t xml:space="preserve">:               doc. RNDr. Jaroslav Koutský, Ph.D., rektor </w:t>
      </w:r>
    </w:p>
    <w:p w:rsidR="00FE0FC9" w:rsidRDefault="00FE0FC9" w:rsidP="00FE0FC9">
      <w:pPr>
        <w:pStyle w:val="Default"/>
        <w:rPr>
          <w:sz w:val="23"/>
          <w:szCs w:val="23"/>
        </w:rPr>
      </w:pPr>
      <w:r>
        <w:rPr>
          <w:b/>
          <w:bCs/>
          <w:sz w:val="23"/>
          <w:szCs w:val="23"/>
        </w:rPr>
        <w:t xml:space="preserve">Bankovní spojení:     </w:t>
      </w:r>
      <w:r>
        <w:rPr>
          <w:sz w:val="23"/>
          <w:szCs w:val="23"/>
        </w:rPr>
        <w:t xml:space="preserve">ČSOB, a.s., Ústí nad Labem </w:t>
      </w:r>
    </w:p>
    <w:p w:rsidR="00FE0FC9" w:rsidRDefault="00FE0FC9" w:rsidP="00FE0FC9">
      <w:pPr>
        <w:pStyle w:val="Default"/>
        <w:rPr>
          <w:sz w:val="23"/>
          <w:szCs w:val="23"/>
        </w:rPr>
      </w:pPr>
      <w:r>
        <w:rPr>
          <w:b/>
          <w:bCs/>
          <w:sz w:val="23"/>
          <w:szCs w:val="23"/>
        </w:rPr>
        <w:t xml:space="preserve">Číslo účtu:                   </w:t>
      </w:r>
      <w:proofErr w:type="spellStart"/>
      <w:r w:rsidR="00511B29">
        <w:rPr>
          <w:b/>
          <w:bCs/>
          <w:sz w:val="23"/>
          <w:szCs w:val="23"/>
        </w:rPr>
        <w:t>xxxx</w:t>
      </w:r>
      <w:proofErr w:type="spellEnd"/>
      <w:r>
        <w:rPr>
          <w:sz w:val="23"/>
          <w:szCs w:val="23"/>
        </w:rPr>
        <w:t xml:space="preserve"> </w:t>
      </w:r>
    </w:p>
    <w:p w:rsidR="00FE0FC9" w:rsidRDefault="00FE0FC9" w:rsidP="00FE0FC9">
      <w:pPr>
        <w:pStyle w:val="Default"/>
        <w:rPr>
          <w:sz w:val="23"/>
          <w:szCs w:val="23"/>
        </w:rPr>
      </w:pPr>
      <w:r>
        <w:rPr>
          <w:sz w:val="23"/>
          <w:szCs w:val="23"/>
        </w:rPr>
        <w:t xml:space="preserve">(dále jen „Objednatel") </w:t>
      </w:r>
    </w:p>
    <w:p w:rsidR="00FE0FC9" w:rsidRDefault="00FE0FC9" w:rsidP="00FE0FC9">
      <w:pPr>
        <w:pStyle w:val="Default"/>
        <w:rPr>
          <w:sz w:val="23"/>
          <w:szCs w:val="23"/>
        </w:rPr>
      </w:pPr>
    </w:p>
    <w:p w:rsidR="00FE0FC9" w:rsidRDefault="00FE0FC9" w:rsidP="00FE0FC9">
      <w:pPr>
        <w:pStyle w:val="Default"/>
        <w:rPr>
          <w:sz w:val="23"/>
          <w:szCs w:val="23"/>
        </w:rPr>
      </w:pPr>
      <w:r>
        <w:rPr>
          <w:sz w:val="23"/>
          <w:szCs w:val="23"/>
        </w:rPr>
        <w:t xml:space="preserve">а </w:t>
      </w:r>
    </w:p>
    <w:p w:rsidR="00FE0FC9" w:rsidRDefault="00FE0FC9" w:rsidP="00FE0FC9">
      <w:pPr>
        <w:pStyle w:val="Default"/>
        <w:rPr>
          <w:b/>
          <w:bCs/>
          <w:sz w:val="23"/>
          <w:szCs w:val="23"/>
        </w:rPr>
      </w:pPr>
    </w:p>
    <w:p w:rsidR="00FE0FC9" w:rsidRDefault="00FE0FC9" w:rsidP="00FE0FC9">
      <w:pPr>
        <w:pStyle w:val="Default"/>
        <w:rPr>
          <w:b/>
          <w:bCs/>
          <w:sz w:val="23"/>
          <w:szCs w:val="23"/>
        </w:rPr>
      </w:pPr>
    </w:p>
    <w:p w:rsidR="00FE0FC9" w:rsidRDefault="00FE0FC9" w:rsidP="00FE0FC9">
      <w:pPr>
        <w:pStyle w:val="Default"/>
        <w:rPr>
          <w:sz w:val="23"/>
          <w:szCs w:val="23"/>
        </w:rPr>
      </w:pPr>
      <w:proofErr w:type="spellStart"/>
      <w:r>
        <w:rPr>
          <w:b/>
          <w:bCs/>
          <w:sz w:val="23"/>
          <w:szCs w:val="23"/>
        </w:rPr>
        <w:t>MindBridge</w:t>
      </w:r>
      <w:proofErr w:type="spellEnd"/>
      <w:r>
        <w:rPr>
          <w:b/>
          <w:bCs/>
          <w:sz w:val="23"/>
          <w:szCs w:val="23"/>
        </w:rPr>
        <w:t xml:space="preserve"> </w:t>
      </w:r>
      <w:proofErr w:type="spellStart"/>
      <w:r>
        <w:rPr>
          <w:b/>
          <w:bCs/>
          <w:sz w:val="23"/>
          <w:szCs w:val="23"/>
        </w:rPr>
        <w:t>Consulting</w:t>
      </w:r>
      <w:proofErr w:type="spellEnd"/>
      <w:r>
        <w:rPr>
          <w:b/>
          <w:bCs/>
          <w:sz w:val="23"/>
          <w:szCs w:val="23"/>
        </w:rPr>
        <w:t xml:space="preserve"> a.s. </w:t>
      </w:r>
    </w:p>
    <w:p w:rsidR="00FE0FC9" w:rsidRDefault="00FE0FC9" w:rsidP="00FE0FC9">
      <w:pPr>
        <w:pStyle w:val="Default"/>
        <w:rPr>
          <w:sz w:val="23"/>
          <w:szCs w:val="23"/>
        </w:rPr>
      </w:pPr>
      <w:r>
        <w:rPr>
          <w:sz w:val="23"/>
          <w:szCs w:val="23"/>
        </w:rPr>
        <w:t xml:space="preserve">Zastoupený:                  Ing. Ladislav Klika, předseda představenstva </w:t>
      </w:r>
    </w:p>
    <w:p w:rsidR="00FE0FC9" w:rsidRDefault="00FE0FC9" w:rsidP="00FE0FC9">
      <w:pPr>
        <w:pStyle w:val="Default"/>
        <w:rPr>
          <w:sz w:val="23"/>
          <w:szCs w:val="23"/>
        </w:rPr>
      </w:pPr>
      <w:r>
        <w:rPr>
          <w:sz w:val="23"/>
          <w:szCs w:val="23"/>
        </w:rPr>
        <w:t xml:space="preserve">Zapsaný:                        v OR u Městského soudu v Praze, oddíl B, vložka 13294 </w:t>
      </w:r>
    </w:p>
    <w:p w:rsidR="00FE0FC9" w:rsidRDefault="00FE0FC9" w:rsidP="00FE0FC9">
      <w:pPr>
        <w:pStyle w:val="Default"/>
        <w:rPr>
          <w:sz w:val="23"/>
          <w:szCs w:val="23"/>
        </w:rPr>
      </w:pPr>
      <w:r>
        <w:rPr>
          <w:sz w:val="23"/>
          <w:szCs w:val="23"/>
        </w:rPr>
        <w:t xml:space="preserve">Sídlo:                              Geologická 2, 152 00 Praha 5 </w:t>
      </w:r>
    </w:p>
    <w:p w:rsidR="00FE0FC9" w:rsidRDefault="00FE0FC9" w:rsidP="00FE0FC9">
      <w:pPr>
        <w:pStyle w:val="Default"/>
        <w:rPr>
          <w:sz w:val="23"/>
          <w:szCs w:val="23"/>
        </w:rPr>
      </w:pPr>
      <w:r>
        <w:rPr>
          <w:sz w:val="23"/>
          <w:szCs w:val="23"/>
        </w:rPr>
        <w:t xml:space="preserve">IČO:                                28211308 </w:t>
      </w:r>
    </w:p>
    <w:p w:rsidR="00FE0FC9" w:rsidRDefault="00FE0FC9" w:rsidP="00FE0FC9">
      <w:pPr>
        <w:pStyle w:val="Default"/>
        <w:rPr>
          <w:sz w:val="23"/>
          <w:szCs w:val="23"/>
        </w:rPr>
      </w:pPr>
      <w:r>
        <w:rPr>
          <w:sz w:val="23"/>
          <w:szCs w:val="23"/>
        </w:rPr>
        <w:t xml:space="preserve">DIČ:                                CZ28211308 </w:t>
      </w:r>
      <w:bookmarkStart w:id="0" w:name="_GoBack"/>
      <w:bookmarkEnd w:id="0"/>
    </w:p>
    <w:p w:rsidR="00FE0FC9" w:rsidRDefault="00FE0FC9" w:rsidP="00FE0FC9">
      <w:pPr>
        <w:pStyle w:val="Default"/>
        <w:rPr>
          <w:sz w:val="23"/>
          <w:szCs w:val="23"/>
        </w:rPr>
      </w:pPr>
      <w:r>
        <w:rPr>
          <w:sz w:val="23"/>
          <w:szCs w:val="23"/>
        </w:rPr>
        <w:t xml:space="preserve">Bankovní spojení:        Komerční banka, a.s. </w:t>
      </w:r>
    </w:p>
    <w:p w:rsidR="00FE0FC9" w:rsidRDefault="00FE0FC9" w:rsidP="00FE0FC9">
      <w:pPr>
        <w:pStyle w:val="Default"/>
        <w:rPr>
          <w:sz w:val="23"/>
          <w:szCs w:val="23"/>
        </w:rPr>
      </w:pPr>
      <w:r>
        <w:rPr>
          <w:sz w:val="23"/>
          <w:szCs w:val="23"/>
        </w:rPr>
        <w:t xml:space="preserve">Číslo účtu:                     </w:t>
      </w:r>
      <w:proofErr w:type="spellStart"/>
      <w:r w:rsidR="00511B29">
        <w:rPr>
          <w:sz w:val="23"/>
          <w:szCs w:val="23"/>
        </w:rPr>
        <w:t>xxxxx</w:t>
      </w:r>
      <w:proofErr w:type="spellEnd"/>
      <w:r>
        <w:rPr>
          <w:sz w:val="23"/>
          <w:szCs w:val="23"/>
        </w:rPr>
        <w:t xml:space="preserve"> </w:t>
      </w:r>
    </w:p>
    <w:p w:rsidR="00FE0FC9" w:rsidRDefault="00FE0FC9" w:rsidP="00FE0FC9">
      <w:pPr>
        <w:pStyle w:val="Default"/>
        <w:rPr>
          <w:sz w:val="23"/>
          <w:szCs w:val="23"/>
        </w:rPr>
      </w:pPr>
      <w:r>
        <w:rPr>
          <w:sz w:val="23"/>
          <w:szCs w:val="23"/>
        </w:rPr>
        <w:t xml:space="preserve">Kontaktní osoba:         Ing. Ladislav Klika, předseda představenstva </w:t>
      </w:r>
    </w:p>
    <w:p w:rsidR="00FE0FC9" w:rsidRDefault="00FE0FC9" w:rsidP="00FE0FC9">
      <w:pPr>
        <w:pStyle w:val="Default"/>
        <w:rPr>
          <w:sz w:val="23"/>
          <w:szCs w:val="23"/>
        </w:rPr>
      </w:pPr>
      <w:r>
        <w:rPr>
          <w:sz w:val="23"/>
          <w:szCs w:val="23"/>
        </w:rPr>
        <w:t xml:space="preserve">                                        T: </w:t>
      </w:r>
      <w:proofErr w:type="spellStart"/>
      <w:r w:rsidR="00511B29">
        <w:rPr>
          <w:sz w:val="23"/>
          <w:szCs w:val="23"/>
        </w:rPr>
        <w:t>xxxxx</w:t>
      </w:r>
      <w:proofErr w:type="spellEnd"/>
      <w:r>
        <w:rPr>
          <w:sz w:val="23"/>
          <w:szCs w:val="23"/>
        </w:rPr>
        <w:t xml:space="preserve"> </w:t>
      </w:r>
    </w:p>
    <w:p w:rsidR="00FE0FC9" w:rsidRDefault="00FE0FC9" w:rsidP="00FE0FC9">
      <w:pPr>
        <w:pStyle w:val="Default"/>
        <w:rPr>
          <w:sz w:val="23"/>
          <w:szCs w:val="23"/>
        </w:rPr>
      </w:pPr>
      <w:r>
        <w:rPr>
          <w:sz w:val="23"/>
          <w:szCs w:val="23"/>
        </w:rPr>
        <w:t xml:space="preserve">                                        E: </w:t>
      </w:r>
      <w:proofErr w:type="spellStart"/>
      <w:r w:rsidR="00511B29">
        <w:rPr>
          <w:sz w:val="23"/>
          <w:szCs w:val="23"/>
        </w:rPr>
        <w:t>xxxxx</w:t>
      </w:r>
      <w:proofErr w:type="spellEnd"/>
      <w:r>
        <w:rPr>
          <w:sz w:val="23"/>
          <w:szCs w:val="23"/>
        </w:rPr>
        <w:t xml:space="preserve"> </w:t>
      </w:r>
    </w:p>
    <w:p w:rsidR="00FE0FC9" w:rsidRDefault="00FE0FC9" w:rsidP="00FE0FC9">
      <w:pPr>
        <w:pStyle w:val="Default"/>
        <w:rPr>
          <w:sz w:val="23"/>
          <w:szCs w:val="23"/>
        </w:rPr>
      </w:pPr>
      <w:r>
        <w:rPr>
          <w:sz w:val="23"/>
          <w:szCs w:val="23"/>
        </w:rPr>
        <w:t xml:space="preserve">(dále </w:t>
      </w:r>
      <w:proofErr w:type="gramStart"/>
      <w:r>
        <w:rPr>
          <w:sz w:val="23"/>
          <w:szCs w:val="23"/>
        </w:rPr>
        <w:t>jen ,,Zhotovitel</w:t>
      </w:r>
      <w:proofErr w:type="gramEnd"/>
      <w:r>
        <w:rPr>
          <w:sz w:val="23"/>
          <w:szCs w:val="23"/>
        </w:rPr>
        <w:t xml:space="preserve">") </w:t>
      </w:r>
    </w:p>
    <w:p w:rsidR="00FE0FC9" w:rsidRDefault="00FE0FC9" w:rsidP="00FE0FC9">
      <w:pPr>
        <w:pStyle w:val="Default"/>
        <w:rPr>
          <w:b/>
          <w:bCs/>
          <w:sz w:val="23"/>
          <w:szCs w:val="23"/>
        </w:rPr>
      </w:pPr>
    </w:p>
    <w:p w:rsidR="00FE0FC9" w:rsidRDefault="00FE0FC9" w:rsidP="00FE0FC9">
      <w:pPr>
        <w:pStyle w:val="Default"/>
        <w:rPr>
          <w:b/>
          <w:bCs/>
          <w:sz w:val="23"/>
          <w:szCs w:val="23"/>
        </w:rPr>
      </w:pPr>
    </w:p>
    <w:p w:rsidR="00FE0FC9" w:rsidRDefault="00FE0FC9" w:rsidP="00FE0FC9">
      <w:pPr>
        <w:pStyle w:val="Default"/>
        <w:rPr>
          <w:sz w:val="23"/>
          <w:szCs w:val="23"/>
        </w:rPr>
      </w:pPr>
      <w:r>
        <w:rPr>
          <w:b/>
          <w:bCs/>
          <w:sz w:val="23"/>
          <w:szCs w:val="23"/>
        </w:rPr>
        <w:t xml:space="preserve">uzavírají níže uvedeného dne, měsíce a roku tento Dodatek č. 1 ke Smlouvě o dílo ze dne 21. 07. 2025: </w:t>
      </w:r>
    </w:p>
    <w:p w:rsidR="00FE0FC9" w:rsidRDefault="00FE0FC9" w:rsidP="00FE0FC9">
      <w:pPr>
        <w:pStyle w:val="Default"/>
        <w:rPr>
          <w:b/>
          <w:bCs/>
          <w:sz w:val="23"/>
          <w:szCs w:val="23"/>
        </w:rPr>
      </w:pPr>
    </w:p>
    <w:p w:rsidR="00FE0FC9" w:rsidRDefault="00FE0FC9" w:rsidP="00FE0FC9">
      <w:pPr>
        <w:pStyle w:val="Default"/>
        <w:jc w:val="center"/>
        <w:rPr>
          <w:b/>
          <w:bCs/>
          <w:sz w:val="23"/>
          <w:szCs w:val="23"/>
        </w:rPr>
      </w:pPr>
    </w:p>
    <w:p w:rsidR="00FE0FC9" w:rsidRDefault="00FE0FC9" w:rsidP="00FE0FC9">
      <w:pPr>
        <w:pStyle w:val="Default"/>
        <w:jc w:val="center"/>
        <w:rPr>
          <w:sz w:val="23"/>
          <w:szCs w:val="23"/>
        </w:rPr>
      </w:pPr>
      <w:r>
        <w:rPr>
          <w:b/>
          <w:bCs/>
          <w:sz w:val="23"/>
          <w:szCs w:val="23"/>
        </w:rPr>
        <w:t>Článek I</w:t>
      </w:r>
    </w:p>
    <w:p w:rsidR="00FE0FC9" w:rsidRDefault="00FE0FC9" w:rsidP="00FE0FC9">
      <w:pPr>
        <w:pStyle w:val="Default"/>
        <w:rPr>
          <w:sz w:val="23"/>
          <w:szCs w:val="23"/>
        </w:rPr>
      </w:pPr>
    </w:p>
    <w:p w:rsidR="00FE0FC9" w:rsidRDefault="00FE0FC9" w:rsidP="00FE0FC9">
      <w:pPr>
        <w:pStyle w:val="Default"/>
        <w:rPr>
          <w:sz w:val="23"/>
          <w:szCs w:val="23"/>
        </w:rPr>
      </w:pPr>
      <w:r>
        <w:rPr>
          <w:sz w:val="23"/>
          <w:szCs w:val="23"/>
        </w:rPr>
        <w:t xml:space="preserve">Smluvní strany konstatují, že v průběhu Etapy I došlo k prodlení Objednatele s plněním povinností dle výše uvedené Smlouvy o dílo. Z tohoto důvodu se v souladu s čl. V odst. 2 Smlouvy o dílo a § 222 zákona č. 134/2016 Sb., o zadávání veřejných zakázek, ve znění pozdějších předpisů, </w:t>
      </w:r>
      <w:r>
        <w:rPr>
          <w:b/>
          <w:bCs/>
          <w:sz w:val="23"/>
          <w:szCs w:val="23"/>
        </w:rPr>
        <w:t xml:space="preserve">prodlužuje doba plnění Zhotovitele o dobu, po kterou byl Objednatel v prodlení </w:t>
      </w:r>
      <w:r>
        <w:rPr>
          <w:sz w:val="23"/>
          <w:szCs w:val="23"/>
        </w:rPr>
        <w:t xml:space="preserve">s plněním svých povinností. </w:t>
      </w:r>
    </w:p>
    <w:p w:rsidR="00FE0FC9" w:rsidRDefault="00FE0FC9" w:rsidP="00FE0FC9">
      <w:pPr>
        <w:pStyle w:val="Default"/>
        <w:rPr>
          <w:sz w:val="23"/>
          <w:szCs w:val="23"/>
        </w:rPr>
      </w:pPr>
    </w:p>
    <w:p w:rsidR="00FE0FC9" w:rsidRDefault="00FE0FC9" w:rsidP="00FE0FC9">
      <w:pPr>
        <w:pStyle w:val="Default"/>
        <w:pageBreakBefore/>
        <w:jc w:val="center"/>
        <w:rPr>
          <w:color w:val="auto"/>
          <w:sz w:val="23"/>
          <w:szCs w:val="23"/>
        </w:rPr>
      </w:pPr>
      <w:r>
        <w:rPr>
          <w:b/>
          <w:bCs/>
          <w:color w:val="auto"/>
          <w:sz w:val="23"/>
          <w:szCs w:val="23"/>
        </w:rPr>
        <w:lastRenderedPageBreak/>
        <w:t>Článek II</w:t>
      </w:r>
    </w:p>
    <w:p w:rsidR="00FE0FC9" w:rsidRDefault="00FE0FC9" w:rsidP="00FE0FC9">
      <w:pPr>
        <w:pStyle w:val="Default"/>
        <w:jc w:val="both"/>
        <w:rPr>
          <w:color w:val="auto"/>
          <w:sz w:val="23"/>
          <w:szCs w:val="23"/>
        </w:rPr>
      </w:pPr>
    </w:p>
    <w:p w:rsidR="00FE0FC9" w:rsidRDefault="00FE0FC9" w:rsidP="00FE0FC9">
      <w:pPr>
        <w:pStyle w:val="Default"/>
        <w:jc w:val="both"/>
        <w:rPr>
          <w:color w:val="auto"/>
          <w:sz w:val="23"/>
          <w:szCs w:val="23"/>
        </w:rPr>
      </w:pPr>
      <w:r>
        <w:rPr>
          <w:color w:val="auto"/>
          <w:sz w:val="23"/>
          <w:szCs w:val="23"/>
        </w:rPr>
        <w:t xml:space="preserve">Pro vyloučení možných pochybností smluvní strany konstatují, že automatické prodloužení termínu plnění Zhotovitele se projeví pouze v termínu provedení Etapy I a </w:t>
      </w:r>
      <w:r>
        <w:rPr>
          <w:b/>
          <w:bCs/>
          <w:color w:val="auto"/>
          <w:sz w:val="23"/>
          <w:szCs w:val="23"/>
        </w:rPr>
        <w:t>harmonogram uvedený v čl. V odst. 1 Smlouvy o dílo po prodlení Objednatele je tedy následující</w:t>
      </w:r>
      <w:r>
        <w:rPr>
          <w:color w:val="auto"/>
          <w:sz w:val="23"/>
          <w:szCs w:val="23"/>
        </w:rPr>
        <w:t xml:space="preserve">: </w:t>
      </w:r>
    </w:p>
    <w:p w:rsidR="00FE0FC9" w:rsidRDefault="00FE0FC9" w:rsidP="00FE0FC9">
      <w:pPr>
        <w:pStyle w:val="Default"/>
        <w:jc w:val="both"/>
        <w:rPr>
          <w:color w:val="auto"/>
          <w:sz w:val="23"/>
          <w:szCs w:val="23"/>
        </w:rPr>
      </w:pPr>
      <w:r>
        <w:rPr>
          <w:color w:val="auto"/>
          <w:sz w:val="23"/>
          <w:szCs w:val="23"/>
        </w:rPr>
        <w:t xml:space="preserve">Zhotovitel se zavazuje provést kompletní dílo v souladu s touto smlouvou a předat dílo Objednateli do 41 týdnů od účinnosti smlouvy, nejpozději však do 1. 12. 2026 (včetně vypořádaných připomínek Objednatele) v následujících dílčích částech. </w:t>
      </w:r>
    </w:p>
    <w:p w:rsidR="00FE0FC9" w:rsidRDefault="00FE0FC9" w:rsidP="00FE0FC9">
      <w:pPr>
        <w:pStyle w:val="Default"/>
        <w:jc w:val="both"/>
        <w:rPr>
          <w:color w:val="auto"/>
          <w:sz w:val="23"/>
          <w:szCs w:val="23"/>
        </w:rPr>
      </w:pPr>
    </w:p>
    <w:p w:rsidR="00FE0FC9" w:rsidRDefault="00FE0FC9" w:rsidP="00FE0FC9">
      <w:pPr>
        <w:pStyle w:val="Default"/>
        <w:spacing w:after="243"/>
        <w:jc w:val="both"/>
        <w:rPr>
          <w:color w:val="auto"/>
          <w:sz w:val="23"/>
          <w:szCs w:val="23"/>
        </w:rPr>
      </w:pPr>
      <w:r>
        <w:rPr>
          <w:color w:val="auto"/>
          <w:sz w:val="23"/>
          <w:szCs w:val="23"/>
        </w:rPr>
        <w:t xml:space="preserve">• Etapa I – participace obyvatel Ústeckého kraje odevzdán nejpozději do 30. 12. 2025 </w:t>
      </w:r>
    </w:p>
    <w:p w:rsidR="00FE0FC9" w:rsidRDefault="00FE0FC9" w:rsidP="00FE0FC9">
      <w:pPr>
        <w:pStyle w:val="Default"/>
        <w:spacing w:after="243"/>
        <w:rPr>
          <w:color w:val="auto"/>
          <w:sz w:val="23"/>
          <w:szCs w:val="23"/>
        </w:rPr>
      </w:pPr>
      <w:r>
        <w:rPr>
          <w:color w:val="auto"/>
          <w:sz w:val="23"/>
          <w:szCs w:val="23"/>
        </w:rPr>
        <w:t xml:space="preserve">• Etapa II – činnosti a postavení kulturních a paměťových institucí a subjektů Ústeckého kraje odevzdán do 41 týdnů od účinnosti smlouvy. </w:t>
      </w:r>
    </w:p>
    <w:p w:rsidR="00FE0FC9" w:rsidRDefault="00FE0FC9" w:rsidP="00FE0FC9">
      <w:pPr>
        <w:pStyle w:val="Default"/>
        <w:rPr>
          <w:color w:val="auto"/>
          <w:sz w:val="23"/>
          <w:szCs w:val="23"/>
        </w:rPr>
      </w:pPr>
      <w:r>
        <w:rPr>
          <w:color w:val="auto"/>
          <w:sz w:val="23"/>
          <w:szCs w:val="23"/>
        </w:rPr>
        <w:t xml:space="preserve">• Etapa III - potenciál a příležitosti tří vybraných </w:t>
      </w:r>
      <w:proofErr w:type="spellStart"/>
      <w:r>
        <w:rPr>
          <w:color w:val="auto"/>
          <w:sz w:val="23"/>
          <w:szCs w:val="23"/>
        </w:rPr>
        <w:t>subregionů</w:t>
      </w:r>
      <w:proofErr w:type="spellEnd"/>
      <w:r>
        <w:rPr>
          <w:color w:val="auto"/>
          <w:sz w:val="23"/>
          <w:szCs w:val="23"/>
        </w:rPr>
        <w:t xml:space="preserve"> Ústeckého kraje odevzdán do 41 týdnů od účinnosti smlouvy. </w:t>
      </w:r>
    </w:p>
    <w:p w:rsidR="00FE0FC9" w:rsidRDefault="00FE0FC9" w:rsidP="00FE0FC9">
      <w:pPr>
        <w:pStyle w:val="Default"/>
        <w:rPr>
          <w:color w:val="auto"/>
          <w:sz w:val="23"/>
          <w:szCs w:val="23"/>
        </w:rPr>
      </w:pPr>
    </w:p>
    <w:p w:rsidR="00FE0FC9" w:rsidRDefault="00FE0FC9" w:rsidP="00FE0FC9">
      <w:pPr>
        <w:pStyle w:val="Default"/>
        <w:rPr>
          <w:color w:val="auto"/>
          <w:sz w:val="23"/>
          <w:szCs w:val="23"/>
        </w:rPr>
      </w:pPr>
      <w:r>
        <w:rPr>
          <w:color w:val="auto"/>
          <w:sz w:val="23"/>
          <w:szCs w:val="23"/>
        </w:rPr>
        <w:t xml:space="preserve">Součástí jednotlivých částí díla jsou veřejné prezentace výstupů z Etapy I-III, které proběhnou takto: v rámci Etapy I </w:t>
      </w:r>
      <w:r>
        <w:rPr>
          <w:b/>
          <w:bCs/>
          <w:color w:val="auto"/>
          <w:sz w:val="23"/>
          <w:szCs w:val="23"/>
        </w:rPr>
        <w:t>do 19. 12. 2025</w:t>
      </w:r>
      <w:r>
        <w:rPr>
          <w:color w:val="auto"/>
          <w:sz w:val="23"/>
          <w:szCs w:val="23"/>
        </w:rPr>
        <w:t xml:space="preserve">, v rámci Etapy II – III vždy do 39 týdnů od účinnosti smlouvy. </w:t>
      </w:r>
    </w:p>
    <w:p w:rsidR="00FE0FC9" w:rsidRDefault="00FE0FC9" w:rsidP="00FE0FC9">
      <w:pPr>
        <w:pStyle w:val="Default"/>
        <w:rPr>
          <w:color w:val="auto"/>
          <w:sz w:val="23"/>
          <w:szCs w:val="23"/>
        </w:rPr>
      </w:pPr>
    </w:p>
    <w:p w:rsidR="00FE0FC9" w:rsidRDefault="00FE0FC9" w:rsidP="00FE0FC9">
      <w:pPr>
        <w:pStyle w:val="Default"/>
        <w:jc w:val="center"/>
        <w:rPr>
          <w:b/>
          <w:bCs/>
          <w:color w:val="auto"/>
          <w:sz w:val="23"/>
          <w:szCs w:val="23"/>
        </w:rPr>
      </w:pPr>
      <w:r>
        <w:rPr>
          <w:b/>
          <w:bCs/>
          <w:color w:val="auto"/>
          <w:sz w:val="23"/>
          <w:szCs w:val="23"/>
        </w:rPr>
        <w:t>Článek III</w:t>
      </w:r>
    </w:p>
    <w:p w:rsidR="00FE0FC9" w:rsidRDefault="00FE0FC9" w:rsidP="00FE0FC9">
      <w:pPr>
        <w:pStyle w:val="Default"/>
        <w:jc w:val="center"/>
        <w:rPr>
          <w:color w:val="auto"/>
          <w:sz w:val="23"/>
          <w:szCs w:val="23"/>
        </w:rPr>
      </w:pPr>
    </w:p>
    <w:p w:rsidR="00FE0FC9" w:rsidRDefault="00FE0FC9" w:rsidP="00FE0FC9">
      <w:pPr>
        <w:pStyle w:val="Default"/>
        <w:numPr>
          <w:ilvl w:val="0"/>
          <w:numId w:val="1"/>
        </w:numPr>
        <w:spacing w:after="44"/>
        <w:rPr>
          <w:color w:val="auto"/>
          <w:sz w:val="23"/>
          <w:szCs w:val="23"/>
        </w:rPr>
      </w:pPr>
      <w:r>
        <w:rPr>
          <w:color w:val="auto"/>
          <w:sz w:val="23"/>
          <w:szCs w:val="23"/>
        </w:rPr>
        <w:t xml:space="preserve">Tento dodatek je sepsán jako elektronický dokument opatřený uznávaným elektronickým podpisem každé smluvní strany, nebo pokud jedna ze smluvních stran nemá uznávaný elektronický podpis, ve čtyřech listinných vyhotoveních s vlastnoručními podpisy smluvních stran, z nichž každá ze stran obdrží po dvou vyhotoveních. </w:t>
      </w:r>
    </w:p>
    <w:p w:rsidR="00FE0FC9" w:rsidRPr="00FE0FC9" w:rsidRDefault="00FE0FC9" w:rsidP="00FE0FC9">
      <w:pPr>
        <w:pStyle w:val="Default"/>
        <w:numPr>
          <w:ilvl w:val="0"/>
          <w:numId w:val="1"/>
        </w:numPr>
        <w:spacing w:after="44"/>
        <w:rPr>
          <w:color w:val="auto"/>
          <w:sz w:val="23"/>
          <w:szCs w:val="23"/>
        </w:rPr>
      </w:pPr>
      <w:r w:rsidRPr="00FE0FC9">
        <w:rPr>
          <w:color w:val="auto"/>
          <w:sz w:val="23"/>
          <w:szCs w:val="23"/>
        </w:rPr>
        <w:t xml:space="preserve">Smluvní strany berou na vědomí, že Objednatel je ve smyslu § 2 odst. 1 písm. e) zákona č. 340/2015 Sb., o zvláštních podmínkách účinnosti některých smluv, uveřejňování těchto smluv a o registru smluv (zákon o registru smluv), ve znění pozdějších předpisů, osobou, na niž se vztahuje povinnost uveřejnění smluv ve smyslu tohoto </w:t>
      </w:r>
      <w:proofErr w:type="gramStart"/>
      <w:r w:rsidRPr="00FE0FC9">
        <w:rPr>
          <w:color w:val="auto"/>
          <w:sz w:val="23"/>
          <w:szCs w:val="23"/>
        </w:rPr>
        <w:t>zákona a proti</w:t>
      </w:r>
      <w:proofErr w:type="gramEnd"/>
      <w:r w:rsidRPr="00FE0FC9">
        <w:rPr>
          <w:color w:val="auto"/>
          <w:sz w:val="23"/>
          <w:szCs w:val="23"/>
        </w:rPr>
        <w:t xml:space="preserve"> uveřejnění tohoto dodatku nemají žádných námitek. Smluvní strany prohlašují, že se dohodly, že žádná z informací, které jsou obsaženy v tomto dodatku, není obchodním tajemstvím či citlivou informací, které by bylo třeba před zveřejněním dodatku znečitelnit. Uveřejnění prostřednictvím registru smluv zajistí Objednatel do 15 dnů od podpisu dodatku druhou ze smluvních stran. </w:t>
      </w:r>
    </w:p>
    <w:p w:rsidR="00FE0FC9" w:rsidRDefault="00FE0FC9" w:rsidP="00FE0FC9">
      <w:pPr>
        <w:pStyle w:val="Default"/>
        <w:rPr>
          <w:color w:val="auto"/>
          <w:sz w:val="22"/>
          <w:szCs w:val="22"/>
        </w:rPr>
      </w:pPr>
    </w:p>
    <w:p w:rsidR="00FE0FC9" w:rsidRDefault="00FE0FC9" w:rsidP="00FE0FC9">
      <w:pPr>
        <w:pStyle w:val="Default"/>
        <w:rPr>
          <w:color w:val="auto"/>
          <w:sz w:val="22"/>
          <w:szCs w:val="22"/>
        </w:rPr>
      </w:pPr>
    </w:p>
    <w:p w:rsidR="00FE0FC9" w:rsidRDefault="00FE0FC9" w:rsidP="00FE0FC9">
      <w:pPr>
        <w:pStyle w:val="Default"/>
        <w:rPr>
          <w:color w:val="auto"/>
        </w:rPr>
      </w:pPr>
    </w:p>
    <w:p w:rsidR="00FE0FC9" w:rsidRDefault="00FE0FC9" w:rsidP="00FE0FC9">
      <w:pPr>
        <w:rPr>
          <w:sz w:val="23"/>
          <w:szCs w:val="23"/>
        </w:rPr>
      </w:pPr>
      <w:r>
        <w:rPr>
          <w:sz w:val="23"/>
          <w:szCs w:val="23"/>
        </w:rPr>
        <w:t>V Praze dne                                                                                                            V Praze dne</w:t>
      </w:r>
    </w:p>
    <w:p w:rsidR="00FE0FC9" w:rsidRDefault="00FE0FC9" w:rsidP="00FE0FC9">
      <w:pPr>
        <w:rPr>
          <w:sz w:val="23"/>
          <w:szCs w:val="23"/>
        </w:rPr>
      </w:pPr>
    </w:p>
    <w:p w:rsidR="00FE0FC9" w:rsidRDefault="00FE0FC9" w:rsidP="00FE0FC9"/>
    <w:tbl>
      <w:tblPr>
        <w:tblW w:w="0" w:type="auto"/>
        <w:tblInd w:w="-108" w:type="dxa"/>
        <w:tblBorders>
          <w:top w:val="nil"/>
          <w:left w:val="nil"/>
          <w:bottom w:val="nil"/>
          <w:right w:val="nil"/>
        </w:tblBorders>
        <w:tblLayout w:type="fixed"/>
        <w:tblLook w:val="0000" w:firstRow="0" w:lastRow="0" w:firstColumn="0" w:lastColumn="0" w:noHBand="0" w:noVBand="0"/>
      </w:tblPr>
      <w:tblGrid>
        <w:gridCol w:w="4446"/>
        <w:gridCol w:w="4446"/>
      </w:tblGrid>
      <w:tr w:rsidR="00FE0FC9" w:rsidTr="00AC2E4C">
        <w:trPr>
          <w:trHeight w:val="120"/>
        </w:trPr>
        <w:tc>
          <w:tcPr>
            <w:tcW w:w="4446" w:type="dxa"/>
          </w:tcPr>
          <w:p w:rsidR="00FE0FC9" w:rsidRDefault="00FE0FC9" w:rsidP="00AC2E4C">
            <w:pPr>
              <w:pStyle w:val="Default"/>
              <w:rPr>
                <w:sz w:val="23"/>
                <w:szCs w:val="23"/>
              </w:rPr>
            </w:pPr>
            <w:r>
              <w:rPr>
                <w:sz w:val="23"/>
                <w:szCs w:val="23"/>
              </w:rPr>
              <w:t xml:space="preserve">--------------------------------------------------------- </w:t>
            </w:r>
          </w:p>
        </w:tc>
        <w:tc>
          <w:tcPr>
            <w:tcW w:w="4446" w:type="dxa"/>
          </w:tcPr>
          <w:p w:rsidR="00FE0FC9" w:rsidRDefault="00FE0FC9" w:rsidP="00AC2E4C">
            <w:pPr>
              <w:pStyle w:val="Default"/>
              <w:rPr>
                <w:sz w:val="23"/>
                <w:szCs w:val="23"/>
              </w:rPr>
            </w:pPr>
            <w:r>
              <w:rPr>
                <w:sz w:val="23"/>
                <w:szCs w:val="23"/>
              </w:rPr>
              <w:t xml:space="preserve">---------------------------------------------------------- </w:t>
            </w:r>
          </w:p>
        </w:tc>
      </w:tr>
      <w:tr w:rsidR="00FE0FC9" w:rsidTr="00AC2E4C">
        <w:trPr>
          <w:trHeight w:val="120"/>
        </w:trPr>
        <w:tc>
          <w:tcPr>
            <w:tcW w:w="4446" w:type="dxa"/>
          </w:tcPr>
          <w:p w:rsidR="00FE0FC9" w:rsidRDefault="00FE0FC9" w:rsidP="00AC2E4C">
            <w:pPr>
              <w:pStyle w:val="Default"/>
              <w:rPr>
                <w:sz w:val="23"/>
                <w:szCs w:val="23"/>
              </w:rPr>
            </w:pPr>
            <w:r>
              <w:rPr>
                <w:sz w:val="23"/>
                <w:szCs w:val="23"/>
              </w:rPr>
              <w:t xml:space="preserve">za Objednatele </w:t>
            </w:r>
          </w:p>
        </w:tc>
        <w:tc>
          <w:tcPr>
            <w:tcW w:w="4446" w:type="dxa"/>
          </w:tcPr>
          <w:p w:rsidR="00FE0FC9" w:rsidRDefault="00FE0FC9" w:rsidP="00AC2E4C">
            <w:pPr>
              <w:pStyle w:val="Default"/>
              <w:rPr>
                <w:sz w:val="23"/>
                <w:szCs w:val="23"/>
              </w:rPr>
            </w:pPr>
            <w:r>
              <w:rPr>
                <w:sz w:val="23"/>
                <w:szCs w:val="23"/>
              </w:rPr>
              <w:t xml:space="preserve">za Zhotovitele </w:t>
            </w:r>
          </w:p>
        </w:tc>
      </w:tr>
      <w:tr w:rsidR="00FE0FC9" w:rsidTr="00AC2E4C">
        <w:trPr>
          <w:trHeight w:val="412"/>
        </w:trPr>
        <w:tc>
          <w:tcPr>
            <w:tcW w:w="4446" w:type="dxa"/>
          </w:tcPr>
          <w:p w:rsidR="00FE0FC9" w:rsidRDefault="00FE0FC9" w:rsidP="00AC2E4C">
            <w:pPr>
              <w:pStyle w:val="Default"/>
              <w:rPr>
                <w:sz w:val="23"/>
                <w:szCs w:val="23"/>
              </w:rPr>
            </w:pPr>
            <w:r>
              <w:rPr>
                <w:sz w:val="23"/>
                <w:szCs w:val="23"/>
              </w:rPr>
              <w:t xml:space="preserve">doc. RNDr. Jaroslav Koutský, Ph.D. </w:t>
            </w:r>
          </w:p>
          <w:p w:rsidR="00FE0FC9" w:rsidRDefault="00FE0FC9" w:rsidP="00AC2E4C">
            <w:pPr>
              <w:pStyle w:val="Default"/>
              <w:rPr>
                <w:sz w:val="23"/>
                <w:szCs w:val="23"/>
              </w:rPr>
            </w:pPr>
            <w:r>
              <w:rPr>
                <w:sz w:val="23"/>
                <w:szCs w:val="23"/>
              </w:rPr>
              <w:t xml:space="preserve">rektor UJEP </w:t>
            </w:r>
          </w:p>
        </w:tc>
        <w:tc>
          <w:tcPr>
            <w:tcW w:w="4446" w:type="dxa"/>
          </w:tcPr>
          <w:p w:rsidR="00FE0FC9" w:rsidRDefault="00FE0FC9" w:rsidP="00AC2E4C">
            <w:pPr>
              <w:pStyle w:val="Default"/>
              <w:rPr>
                <w:sz w:val="23"/>
                <w:szCs w:val="23"/>
              </w:rPr>
            </w:pPr>
            <w:r>
              <w:rPr>
                <w:sz w:val="23"/>
                <w:szCs w:val="23"/>
              </w:rPr>
              <w:t xml:space="preserve">Ing. Ladislav Klika, </w:t>
            </w:r>
          </w:p>
          <w:p w:rsidR="00FE0FC9" w:rsidRDefault="00FE0FC9" w:rsidP="00AC2E4C">
            <w:pPr>
              <w:pStyle w:val="Default"/>
              <w:rPr>
                <w:sz w:val="23"/>
                <w:szCs w:val="23"/>
              </w:rPr>
            </w:pPr>
            <w:r>
              <w:rPr>
                <w:sz w:val="23"/>
                <w:szCs w:val="23"/>
              </w:rPr>
              <w:t xml:space="preserve">předseda představenstva </w:t>
            </w:r>
            <w:proofErr w:type="spellStart"/>
            <w:r>
              <w:rPr>
                <w:sz w:val="23"/>
                <w:szCs w:val="23"/>
              </w:rPr>
              <w:t>MindBridge</w:t>
            </w:r>
            <w:proofErr w:type="spellEnd"/>
            <w:r>
              <w:rPr>
                <w:sz w:val="23"/>
                <w:szCs w:val="23"/>
              </w:rPr>
              <w:t xml:space="preserve"> </w:t>
            </w:r>
            <w:proofErr w:type="spellStart"/>
            <w:r>
              <w:rPr>
                <w:sz w:val="23"/>
                <w:szCs w:val="23"/>
              </w:rPr>
              <w:t>Consulting</w:t>
            </w:r>
            <w:proofErr w:type="spellEnd"/>
            <w:r>
              <w:rPr>
                <w:sz w:val="23"/>
                <w:szCs w:val="23"/>
              </w:rPr>
              <w:t xml:space="preserve"> a. s. </w:t>
            </w:r>
          </w:p>
        </w:tc>
      </w:tr>
    </w:tbl>
    <w:p w:rsidR="00FE0FC9" w:rsidRDefault="00FE0FC9" w:rsidP="00FE0FC9">
      <w:pPr>
        <w:pStyle w:val="Default"/>
        <w:rPr>
          <w:sz w:val="23"/>
          <w:szCs w:val="23"/>
        </w:rPr>
      </w:pPr>
    </w:p>
    <w:sectPr w:rsidR="00FE0FC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236" w:rsidRDefault="00AA2236" w:rsidP="00FE0FC9">
      <w:pPr>
        <w:spacing w:after="0" w:line="240" w:lineRule="auto"/>
      </w:pPr>
      <w:r>
        <w:separator/>
      </w:r>
    </w:p>
  </w:endnote>
  <w:endnote w:type="continuationSeparator" w:id="0">
    <w:p w:rsidR="00AA2236" w:rsidRDefault="00AA2236" w:rsidP="00FE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236" w:rsidRDefault="00AA2236" w:rsidP="00FE0FC9">
      <w:pPr>
        <w:spacing w:after="0" w:line="240" w:lineRule="auto"/>
      </w:pPr>
      <w:r>
        <w:separator/>
      </w:r>
    </w:p>
  </w:footnote>
  <w:footnote w:type="continuationSeparator" w:id="0">
    <w:p w:rsidR="00AA2236" w:rsidRDefault="00AA2236" w:rsidP="00FE0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FC9" w:rsidRDefault="00FE0FC9">
    <w:pPr>
      <w:pStyle w:val="Zhlav"/>
    </w:pPr>
    <w:r w:rsidRPr="00FE0FC9">
      <w:rPr>
        <w:noProof/>
        <w:lang w:eastAsia="cs-CZ"/>
      </w:rPr>
      <w:drawing>
        <wp:inline distT="0" distB="0" distL="0" distR="0">
          <wp:extent cx="5741035" cy="64389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1035" cy="643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42791"/>
    <w:multiLevelType w:val="hybridMultilevel"/>
    <w:tmpl w:val="3C68EB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FC9"/>
    <w:rsid w:val="000C7FAF"/>
    <w:rsid w:val="00511B29"/>
    <w:rsid w:val="008E6579"/>
    <w:rsid w:val="00936236"/>
    <w:rsid w:val="00AA2236"/>
    <w:rsid w:val="00FE0F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A22E"/>
  <w15:chartTrackingRefBased/>
  <w15:docId w15:val="{D1B2DCAB-DB4A-4410-85D6-09AC0640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cs-CZ"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E6579"/>
  </w:style>
  <w:style w:type="paragraph" w:styleId="Nadpis1">
    <w:name w:val="heading 1"/>
    <w:basedOn w:val="Normln"/>
    <w:next w:val="Normln"/>
    <w:link w:val="Nadpis1Char"/>
    <w:uiPriority w:val="9"/>
    <w:qFormat/>
    <w:rsid w:val="008E6579"/>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Nadpis2">
    <w:name w:val="heading 2"/>
    <w:basedOn w:val="Normln"/>
    <w:next w:val="Normln"/>
    <w:link w:val="Nadpis2Char"/>
    <w:uiPriority w:val="9"/>
    <w:semiHidden/>
    <w:unhideWhenUsed/>
    <w:qFormat/>
    <w:rsid w:val="008E6579"/>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Nadpis3">
    <w:name w:val="heading 3"/>
    <w:basedOn w:val="Normln"/>
    <w:next w:val="Normln"/>
    <w:link w:val="Nadpis3Char"/>
    <w:uiPriority w:val="9"/>
    <w:semiHidden/>
    <w:unhideWhenUsed/>
    <w:qFormat/>
    <w:rsid w:val="008E657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dpis4">
    <w:name w:val="heading 4"/>
    <w:basedOn w:val="Normln"/>
    <w:next w:val="Normln"/>
    <w:link w:val="Nadpis4Char"/>
    <w:uiPriority w:val="9"/>
    <w:semiHidden/>
    <w:unhideWhenUsed/>
    <w:qFormat/>
    <w:rsid w:val="008E6579"/>
    <w:pPr>
      <w:keepNext/>
      <w:keepLines/>
      <w:spacing w:before="80" w:after="0"/>
      <w:outlineLvl w:val="3"/>
    </w:pPr>
    <w:rPr>
      <w:rFonts w:asciiTheme="majorHAnsi" w:eastAsiaTheme="majorEastAsia" w:hAnsiTheme="majorHAnsi" w:cstheme="majorBidi"/>
      <w:sz w:val="24"/>
      <w:szCs w:val="24"/>
    </w:rPr>
  </w:style>
  <w:style w:type="paragraph" w:styleId="Nadpis5">
    <w:name w:val="heading 5"/>
    <w:basedOn w:val="Normln"/>
    <w:next w:val="Normln"/>
    <w:link w:val="Nadpis5Char"/>
    <w:uiPriority w:val="9"/>
    <w:semiHidden/>
    <w:unhideWhenUsed/>
    <w:qFormat/>
    <w:rsid w:val="008E6579"/>
    <w:pPr>
      <w:keepNext/>
      <w:keepLines/>
      <w:spacing w:before="80" w:after="0"/>
      <w:outlineLvl w:val="4"/>
    </w:pPr>
    <w:rPr>
      <w:rFonts w:asciiTheme="majorHAnsi" w:eastAsiaTheme="majorEastAsia" w:hAnsiTheme="majorHAnsi" w:cstheme="majorBidi"/>
      <w:i/>
      <w:iCs/>
      <w:sz w:val="22"/>
      <w:szCs w:val="22"/>
    </w:rPr>
  </w:style>
  <w:style w:type="paragraph" w:styleId="Nadpis6">
    <w:name w:val="heading 6"/>
    <w:basedOn w:val="Normln"/>
    <w:next w:val="Normln"/>
    <w:link w:val="Nadpis6Char"/>
    <w:uiPriority w:val="9"/>
    <w:semiHidden/>
    <w:unhideWhenUsed/>
    <w:qFormat/>
    <w:rsid w:val="008E6579"/>
    <w:pPr>
      <w:keepNext/>
      <w:keepLines/>
      <w:spacing w:before="80" w:after="0"/>
      <w:outlineLvl w:val="5"/>
    </w:pPr>
    <w:rPr>
      <w:rFonts w:asciiTheme="majorHAnsi" w:eastAsiaTheme="majorEastAsia" w:hAnsiTheme="majorHAnsi" w:cstheme="majorBidi"/>
      <w:color w:val="595959" w:themeColor="text1" w:themeTint="A6"/>
    </w:rPr>
  </w:style>
  <w:style w:type="paragraph" w:styleId="Nadpis7">
    <w:name w:val="heading 7"/>
    <w:basedOn w:val="Normln"/>
    <w:next w:val="Normln"/>
    <w:link w:val="Nadpis7Char"/>
    <w:uiPriority w:val="9"/>
    <w:semiHidden/>
    <w:unhideWhenUsed/>
    <w:qFormat/>
    <w:rsid w:val="008E6579"/>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dpis8">
    <w:name w:val="heading 8"/>
    <w:basedOn w:val="Normln"/>
    <w:next w:val="Normln"/>
    <w:link w:val="Nadpis8Char"/>
    <w:uiPriority w:val="9"/>
    <w:semiHidden/>
    <w:unhideWhenUsed/>
    <w:qFormat/>
    <w:rsid w:val="008E657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dpis9">
    <w:name w:val="heading 9"/>
    <w:basedOn w:val="Normln"/>
    <w:next w:val="Normln"/>
    <w:link w:val="Nadpis9Char"/>
    <w:uiPriority w:val="9"/>
    <w:semiHidden/>
    <w:unhideWhenUsed/>
    <w:qFormat/>
    <w:rsid w:val="008E657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6579"/>
    <w:rPr>
      <w:rFonts w:asciiTheme="majorHAnsi" w:eastAsiaTheme="majorEastAsia" w:hAnsiTheme="majorHAnsi" w:cstheme="majorBidi"/>
      <w:color w:val="2E74B5" w:themeColor="accent1" w:themeShade="BF"/>
      <w:sz w:val="36"/>
      <w:szCs w:val="36"/>
    </w:rPr>
  </w:style>
  <w:style w:type="character" w:customStyle="1" w:styleId="Nadpis2Char">
    <w:name w:val="Nadpis 2 Char"/>
    <w:basedOn w:val="Standardnpsmoodstavce"/>
    <w:link w:val="Nadpis2"/>
    <w:uiPriority w:val="9"/>
    <w:semiHidden/>
    <w:rsid w:val="008E6579"/>
    <w:rPr>
      <w:rFonts w:asciiTheme="majorHAnsi" w:eastAsiaTheme="majorEastAsia" w:hAnsiTheme="majorHAnsi" w:cstheme="majorBidi"/>
      <w:color w:val="2E74B5" w:themeColor="accent1" w:themeShade="BF"/>
      <w:sz w:val="28"/>
      <w:szCs w:val="28"/>
    </w:rPr>
  </w:style>
  <w:style w:type="character" w:customStyle="1" w:styleId="Nadpis3Char">
    <w:name w:val="Nadpis 3 Char"/>
    <w:basedOn w:val="Standardnpsmoodstavce"/>
    <w:link w:val="Nadpis3"/>
    <w:uiPriority w:val="9"/>
    <w:semiHidden/>
    <w:rsid w:val="008E6579"/>
    <w:rPr>
      <w:rFonts w:asciiTheme="majorHAnsi" w:eastAsiaTheme="majorEastAsia" w:hAnsiTheme="majorHAnsi" w:cstheme="majorBidi"/>
      <w:color w:val="404040" w:themeColor="text1" w:themeTint="BF"/>
      <w:sz w:val="26"/>
      <w:szCs w:val="26"/>
    </w:rPr>
  </w:style>
  <w:style w:type="character" w:customStyle="1" w:styleId="Nadpis4Char">
    <w:name w:val="Nadpis 4 Char"/>
    <w:basedOn w:val="Standardnpsmoodstavce"/>
    <w:link w:val="Nadpis4"/>
    <w:uiPriority w:val="9"/>
    <w:semiHidden/>
    <w:rsid w:val="008E6579"/>
    <w:rPr>
      <w:rFonts w:asciiTheme="majorHAnsi" w:eastAsiaTheme="majorEastAsia" w:hAnsiTheme="majorHAnsi" w:cstheme="majorBidi"/>
      <w:sz w:val="24"/>
      <w:szCs w:val="24"/>
    </w:rPr>
  </w:style>
  <w:style w:type="character" w:customStyle="1" w:styleId="Nadpis5Char">
    <w:name w:val="Nadpis 5 Char"/>
    <w:basedOn w:val="Standardnpsmoodstavce"/>
    <w:link w:val="Nadpis5"/>
    <w:uiPriority w:val="9"/>
    <w:semiHidden/>
    <w:rsid w:val="008E6579"/>
    <w:rPr>
      <w:rFonts w:asciiTheme="majorHAnsi" w:eastAsiaTheme="majorEastAsia" w:hAnsiTheme="majorHAnsi" w:cstheme="majorBidi"/>
      <w:i/>
      <w:iCs/>
      <w:sz w:val="22"/>
      <w:szCs w:val="22"/>
    </w:rPr>
  </w:style>
  <w:style w:type="character" w:customStyle="1" w:styleId="Nadpis6Char">
    <w:name w:val="Nadpis 6 Char"/>
    <w:basedOn w:val="Standardnpsmoodstavce"/>
    <w:link w:val="Nadpis6"/>
    <w:uiPriority w:val="9"/>
    <w:semiHidden/>
    <w:rsid w:val="008E6579"/>
    <w:rPr>
      <w:rFonts w:asciiTheme="majorHAnsi" w:eastAsiaTheme="majorEastAsia" w:hAnsiTheme="majorHAnsi" w:cstheme="majorBidi"/>
      <w:color w:val="595959" w:themeColor="text1" w:themeTint="A6"/>
    </w:rPr>
  </w:style>
  <w:style w:type="character" w:customStyle="1" w:styleId="Nadpis7Char">
    <w:name w:val="Nadpis 7 Char"/>
    <w:basedOn w:val="Standardnpsmoodstavce"/>
    <w:link w:val="Nadpis7"/>
    <w:uiPriority w:val="9"/>
    <w:semiHidden/>
    <w:rsid w:val="008E6579"/>
    <w:rPr>
      <w:rFonts w:asciiTheme="majorHAnsi" w:eastAsiaTheme="majorEastAsia" w:hAnsiTheme="majorHAnsi" w:cstheme="majorBidi"/>
      <w:i/>
      <w:iCs/>
      <w:color w:val="595959" w:themeColor="text1" w:themeTint="A6"/>
    </w:rPr>
  </w:style>
  <w:style w:type="character" w:customStyle="1" w:styleId="Nadpis8Char">
    <w:name w:val="Nadpis 8 Char"/>
    <w:basedOn w:val="Standardnpsmoodstavce"/>
    <w:link w:val="Nadpis8"/>
    <w:uiPriority w:val="9"/>
    <w:semiHidden/>
    <w:rsid w:val="008E6579"/>
    <w:rPr>
      <w:rFonts w:asciiTheme="majorHAnsi" w:eastAsiaTheme="majorEastAsia" w:hAnsiTheme="majorHAnsi" w:cstheme="majorBidi"/>
      <w:smallCaps/>
      <w:color w:val="595959" w:themeColor="text1" w:themeTint="A6"/>
    </w:rPr>
  </w:style>
  <w:style w:type="character" w:customStyle="1" w:styleId="Nadpis9Char">
    <w:name w:val="Nadpis 9 Char"/>
    <w:basedOn w:val="Standardnpsmoodstavce"/>
    <w:link w:val="Nadpis9"/>
    <w:uiPriority w:val="9"/>
    <w:semiHidden/>
    <w:rsid w:val="008E6579"/>
    <w:rPr>
      <w:rFonts w:asciiTheme="majorHAnsi" w:eastAsiaTheme="majorEastAsia" w:hAnsiTheme="majorHAnsi" w:cstheme="majorBidi"/>
      <w:i/>
      <w:iCs/>
      <w:smallCaps/>
      <w:color w:val="595959" w:themeColor="text1" w:themeTint="A6"/>
    </w:rPr>
  </w:style>
  <w:style w:type="paragraph" w:styleId="Titulek">
    <w:name w:val="caption"/>
    <w:basedOn w:val="Normln"/>
    <w:next w:val="Normln"/>
    <w:uiPriority w:val="35"/>
    <w:semiHidden/>
    <w:unhideWhenUsed/>
    <w:qFormat/>
    <w:rsid w:val="008E6579"/>
    <w:pPr>
      <w:spacing w:line="240" w:lineRule="auto"/>
    </w:pPr>
    <w:rPr>
      <w:b/>
      <w:bCs/>
      <w:color w:val="404040" w:themeColor="text1" w:themeTint="BF"/>
      <w:sz w:val="20"/>
      <w:szCs w:val="20"/>
    </w:rPr>
  </w:style>
  <w:style w:type="paragraph" w:styleId="Nzev">
    <w:name w:val="Title"/>
    <w:basedOn w:val="Normln"/>
    <w:next w:val="Normln"/>
    <w:link w:val="NzevChar"/>
    <w:uiPriority w:val="10"/>
    <w:qFormat/>
    <w:rsid w:val="008E6579"/>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NzevChar">
    <w:name w:val="Název Char"/>
    <w:basedOn w:val="Standardnpsmoodstavce"/>
    <w:link w:val="Nzev"/>
    <w:uiPriority w:val="10"/>
    <w:rsid w:val="008E6579"/>
    <w:rPr>
      <w:rFonts w:asciiTheme="majorHAnsi" w:eastAsiaTheme="majorEastAsia" w:hAnsiTheme="majorHAnsi" w:cstheme="majorBidi"/>
      <w:color w:val="2E74B5" w:themeColor="accent1" w:themeShade="BF"/>
      <w:spacing w:val="-7"/>
      <w:sz w:val="80"/>
      <w:szCs w:val="80"/>
    </w:rPr>
  </w:style>
  <w:style w:type="paragraph" w:styleId="Podnadpis">
    <w:name w:val="Subtitle"/>
    <w:basedOn w:val="Normln"/>
    <w:next w:val="Normln"/>
    <w:link w:val="PodnadpisChar"/>
    <w:uiPriority w:val="11"/>
    <w:qFormat/>
    <w:rsid w:val="008E657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nadpisChar">
    <w:name w:val="Podnadpis Char"/>
    <w:basedOn w:val="Standardnpsmoodstavce"/>
    <w:link w:val="Podnadpis"/>
    <w:uiPriority w:val="11"/>
    <w:rsid w:val="008E6579"/>
    <w:rPr>
      <w:rFonts w:asciiTheme="majorHAnsi" w:eastAsiaTheme="majorEastAsia" w:hAnsiTheme="majorHAnsi" w:cstheme="majorBidi"/>
      <w:color w:val="404040" w:themeColor="text1" w:themeTint="BF"/>
      <w:sz w:val="30"/>
      <w:szCs w:val="30"/>
    </w:rPr>
  </w:style>
  <w:style w:type="character" w:styleId="Siln">
    <w:name w:val="Strong"/>
    <w:basedOn w:val="Standardnpsmoodstavce"/>
    <w:uiPriority w:val="22"/>
    <w:qFormat/>
    <w:rsid w:val="008E6579"/>
    <w:rPr>
      <w:b/>
      <w:bCs/>
    </w:rPr>
  </w:style>
  <w:style w:type="character" w:styleId="Zdraznn">
    <w:name w:val="Emphasis"/>
    <w:basedOn w:val="Standardnpsmoodstavce"/>
    <w:uiPriority w:val="20"/>
    <w:qFormat/>
    <w:rsid w:val="008E6579"/>
    <w:rPr>
      <w:i/>
      <w:iCs/>
    </w:rPr>
  </w:style>
  <w:style w:type="paragraph" w:styleId="Bezmezer">
    <w:name w:val="No Spacing"/>
    <w:uiPriority w:val="1"/>
    <w:qFormat/>
    <w:rsid w:val="008E6579"/>
    <w:pPr>
      <w:spacing w:after="0" w:line="240" w:lineRule="auto"/>
    </w:pPr>
  </w:style>
  <w:style w:type="paragraph" w:styleId="Citt">
    <w:name w:val="Quote"/>
    <w:basedOn w:val="Normln"/>
    <w:next w:val="Normln"/>
    <w:link w:val="CittChar"/>
    <w:uiPriority w:val="29"/>
    <w:qFormat/>
    <w:rsid w:val="008E6579"/>
    <w:pPr>
      <w:spacing w:before="240" w:after="240" w:line="252" w:lineRule="auto"/>
      <w:ind w:left="864" w:right="864"/>
      <w:jc w:val="center"/>
    </w:pPr>
    <w:rPr>
      <w:i/>
      <w:iCs/>
    </w:rPr>
  </w:style>
  <w:style w:type="character" w:customStyle="1" w:styleId="CittChar">
    <w:name w:val="Citát Char"/>
    <w:basedOn w:val="Standardnpsmoodstavce"/>
    <w:link w:val="Citt"/>
    <w:uiPriority w:val="29"/>
    <w:rsid w:val="008E6579"/>
    <w:rPr>
      <w:i/>
      <w:iCs/>
    </w:rPr>
  </w:style>
  <w:style w:type="paragraph" w:styleId="Vrazncitt">
    <w:name w:val="Intense Quote"/>
    <w:basedOn w:val="Normln"/>
    <w:next w:val="Normln"/>
    <w:link w:val="VrazncittChar"/>
    <w:uiPriority w:val="30"/>
    <w:qFormat/>
    <w:rsid w:val="008E6579"/>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VrazncittChar">
    <w:name w:val="Výrazný citát Char"/>
    <w:basedOn w:val="Standardnpsmoodstavce"/>
    <w:link w:val="Vrazncitt"/>
    <w:uiPriority w:val="30"/>
    <w:rsid w:val="008E6579"/>
    <w:rPr>
      <w:rFonts w:asciiTheme="majorHAnsi" w:eastAsiaTheme="majorEastAsia" w:hAnsiTheme="majorHAnsi" w:cstheme="majorBidi"/>
      <w:color w:val="5B9BD5" w:themeColor="accent1"/>
      <w:sz w:val="28"/>
      <w:szCs w:val="28"/>
    </w:rPr>
  </w:style>
  <w:style w:type="character" w:styleId="Zdraznnjemn">
    <w:name w:val="Subtle Emphasis"/>
    <w:basedOn w:val="Standardnpsmoodstavce"/>
    <w:uiPriority w:val="19"/>
    <w:qFormat/>
    <w:rsid w:val="008E6579"/>
    <w:rPr>
      <w:i/>
      <w:iCs/>
      <w:color w:val="595959" w:themeColor="text1" w:themeTint="A6"/>
    </w:rPr>
  </w:style>
  <w:style w:type="character" w:styleId="Zdraznnintenzivn">
    <w:name w:val="Intense Emphasis"/>
    <w:basedOn w:val="Standardnpsmoodstavce"/>
    <w:uiPriority w:val="21"/>
    <w:qFormat/>
    <w:rsid w:val="008E6579"/>
    <w:rPr>
      <w:b/>
      <w:bCs/>
      <w:i/>
      <w:iCs/>
    </w:rPr>
  </w:style>
  <w:style w:type="character" w:styleId="Odkazjemn">
    <w:name w:val="Subtle Reference"/>
    <w:basedOn w:val="Standardnpsmoodstavce"/>
    <w:uiPriority w:val="31"/>
    <w:qFormat/>
    <w:rsid w:val="008E6579"/>
    <w:rPr>
      <w:smallCaps/>
      <w:color w:val="404040" w:themeColor="text1" w:themeTint="BF"/>
    </w:rPr>
  </w:style>
  <w:style w:type="character" w:styleId="Odkazintenzivn">
    <w:name w:val="Intense Reference"/>
    <w:basedOn w:val="Standardnpsmoodstavce"/>
    <w:uiPriority w:val="32"/>
    <w:qFormat/>
    <w:rsid w:val="008E6579"/>
    <w:rPr>
      <w:b/>
      <w:bCs/>
      <w:smallCaps/>
      <w:u w:val="single"/>
    </w:rPr>
  </w:style>
  <w:style w:type="character" w:styleId="Nzevknihy">
    <w:name w:val="Book Title"/>
    <w:basedOn w:val="Standardnpsmoodstavce"/>
    <w:uiPriority w:val="33"/>
    <w:qFormat/>
    <w:rsid w:val="008E6579"/>
    <w:rPr>
      <w:b/>
      <w:bCs/>
      <w:smallCaps/>
    </w:rPr>
  </w:style>
  <w:style w:type="paragraph" w:styleId="Nadpisobsahu">
    <w:name w:val="TOC Heading"/>
    <w:basedOn w:val="Nadpis1"/>
    <w:next w:val="Normln"/>
    <w:uiPriority w:val="39"/>
    <w:semiHidden/>
    <w:unhideWhenUsed/>
    <w:qFormat/>
    <w:rsid w:val="008E6579"/>
    <w:pPr>
      <w:outlineLvl w:val="9"/>
    </w:pPr>
  </w:style>
  <w:style w:type="paragraph" w:customStyle="1" w:styleId="Default">
    <w:name w:val="Default"/>
    <w:rsid w:val="00FE0FC9"/>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FE0F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E0FC9"/>
  </w:style>
  <w:style w:type="paragraph" w:styleId="Zpat">
    <w:name w:val="footer"/>
    <w:basedOn w:val="Normln"/>
    <w:link w:val="ZpatChar"/>
    <w:uiPriority w:val="99"/>
    <w:unhideWhenUsed/>
    <w:rsid w:val="00FE0FC9"/>
    <w:pPr>
      <w:tabs>
        <w:tab w:val="center" w:pos="4536"/>
        <w:tab w:val="right" w:pos="9072"/>
      </w:tabs>
      <w:spacing w:after="0" w:line="240" w:lineRule="auto"/>
    </w:pPr>
  </w:style>
  <w:style w:type="character" w:customStyle="1" w:styleId="ZpatChar">
    <w:name w:val="Zápatí Char"/>
    <w:basedOn w:val="Standardnpsmoodstavce"/>
    <w:link w:val="Zpat"/>
    <w:uiPriority w:val="99"/>
    <w:rsid w:val="00FE0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622</Words>
  <Characters>3674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benesovav</dc:creator>
  <cp:keywords/>
  <dc:description/>
  <cp:lastModifiedBy>benesovav</cp:lastModifiedBy>
  <cp:revision>2</cp:revision>
  <dcterms:created xsi:type="dcterms:W3CDTF">2025-10-17T09:46:00Z</dcterms:created>
  <dcterms:modified xsi:type="dcterms:W3CDTF">2025-10-17T11:43:00Z</dcterms:modified>
</cp:coreProperties>
</file>