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8F4D" w14:textId="77777777" w:rsidR="000D4767" w:rsidRDefault="005D642A" w:rsidP="00573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mallCaps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>dodatek č. 1</w:t>
      </w:r>
    </w:p>
    <w:p w14:paraId="694C8F4E" w14:textId="77777777" w:rsidR="000D4767" w:rsidRDefault="005D642A" w:rsidP="00573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mallCaps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>k příkazní smlouvě</w:t>
      </w:r>
    </w:p>
    <w:p w14:paraId="694C8F4F" w14:textId="77777777" w:rsidR="000D4767" w:rsidRDefault="005D642A">
      <w:pPr>
        <w:jc w:val="center"/>
      </w:pPr>
      <w:r>
        <w:t>(dále jen „</w:t>
      </w:r>
      <w:r>
        <w:rPr>
          <w:b/>
        </w:rPr>
        <w:t>Dodatek</w:t>
      </w:r>
      <w:r>
        <w:t>“)</w:t>
      </w:r>
    </w:p>
    <w:p w14:paraId="330EC681" w14:textId="77777777" w:rsidR="0057340D" w:rsidRDefault="0057340D">
      <w:pPr>
        <w:jc w:val="center"/>
      </w:pPr>
    </w:p>
    <w:p w14:paraId="694C8F50" w14:textId="77777777" w:rsidR="000D4767" w:rsidRDefault="005D642A" w:rsidP="006A0B0B">
      <w:pPr>
        <w:pStyle w:val="Nadpis1"/>
        <w:numPr>
          <w:ilvl w:val="0"/>
          <w:numId w:val="6"/>
        </w:numPr>
        <w:ind w:left="431" w:hanging="431"/>
      </w:pPr>
      <w:r w:rsidRPr="006A0B0B">
        <w:rPr>
          <w:rFonts w:asciiTheme="minorHAnsi" w:eastAsiaTheme="majorEastAsia" w:hAnsiTheme="minorHAnsi" w:cstheme="majorBidi"/>
          <w:color w:val="000000" w:themeColor="text1"/>
          <w:kern w:val="2"/>
          <w:szCs w:val="32"/>
          <w:lang w:val="cs-CZ" w:eastAsia="en-US"/>
          <w14:ligatures w14:val="standardContextual"/>
        </w:rPr>
        <w:t>Smluvní strany:</w:t>
      </w:r>
    </w:p>
    <w:p w14:paraId="694C8F51" w14:textId="77777777" w:rsidR="000D4767" w:rsidRDefault="005D642A" w:rsidP="002C6E14">
      <w:pPr>
        <w:pStyle w:val="Nadpis2"/>
        <w:numPr>
          <w:ilvl w:val="1"/>
          <w:numId w:val="6"/>
        </w:numPr>
        <w:rPr>
          <w:b/>
        </w:rPr>
      </w:pPr>
      <w:r>
        <w:rPr>
          <w:b/>
        </w:rPr>
        <w:t>Česká zemědělská univerzita v Praze</w:t>
      </w:r>
    </w:p>
    <w:p w14:paraId="694C8F52" w14:textId="77777777" w:rsidR="000D4767" w:rsidRDefault="005D642A">
      <w:pPr>
        <w:spacing w:after="0" w:line="276" w:lineRule="auto"/>
        <w:ind w:firstLine="578"/>
      </w:pPr>
      <w:r>
        <w:t>Sídlo:</w:t>
      </w:r>
      <w:r>
        <w:tab/>
      </w:r>
      <w:r>
        <w:tab/>
      </w:r>
      <w:r>
        <w:rPr>
          <w:color w:val="000000"/>
        </w:rPr>
        <w:t>Kamýcká 129, 165 00 Praha – Suchdol</w:t>
      </w:r>
    </w:p>
    <w:p w14:paraId="694C8F53" w14:textId="77777777" w:rsidR="000D4767" w:rsidRDefault="005D642A">
      <w:pPr>
        <w:spacing w:after="0" w:line="360" w:lineRule="auto"/>
        <w:ind w:firstLine="578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  <w:t xml:space="preserve">Ing. Jakubem </w:t>
      </w:r>
      <w:proofErr w:type="spellStart"/>
      <w:r>
        <w:rPr>
          <w:color w:val="000000"/>
        </w:rPr>
        <w:t>Kleindienstem</w:t>
      </w:r>
      <w:proofErr w:type="spellEnd"/>
      <w:r>
        <w:rPr>
          <w:color w:val="000000"/>
        </w:rPr>
        <w:t>, kvestorem</w:t>
      </w:r>
    </w:p>
    <w:p w14:paraId="694C8F54" w14:textId="77777777" w:rsidR="000D4767" w:rsidRDefault="005D642A">
      <w:pPr>
        <w:spacing w:after="0" w:line="276" w:lineRule="auto"/>
        <w:ind w:firstLine="578"/>
      </w:pPr>
      <w:r>
        <w:t>IČO:</w:t>
      </w:r>
      <w:r>
        <w:tab/>
      </w:r>
      <w:r>
        <w:tab/>
      </w:r>
      <w:r>
        <w:rPr>
          <w:color w:val="000000"/>
        </w:rPr>
        <w:t>60460709</w:t>
      </w:r>
    </w:p>
    <w:p w14:paraId="694C8F55" w14:textId="77777777" w:rsidR="000D4767" w:rsidRDefault="005D642A">
      <w:pPr>
        <w:spacing w:after="0" w:line="276" w:lineRule="auto"/>
        <w:ind w:firstLine="578"/>
        <w:rPr>
          <w:color w:val="000000"/>
        </w:rPr>
      </w:pPr>
      <w:r>
        <w:t>DIČ:</w:t>
      </w:r>
      <w:r>
        <w:tab/>
      </w:r>
      <w:r>
        <w:tab/>
        <w:t>CZ</w:t>
      </w:r>
      <w:r>
        <w:rPr>
          <w:color w:val="000000"/>
        </w:rPr>
        <w:t>60460709</w:t>
      </w:r>
    </w:p>
    <w:p w14:paraId="694C8F56" w14:textId="77777777" w:rsidR="000D4767" w:rsidRDefault="005D642A">
      <w:pPr>
        <w:spacing w:after="0" w:line="360" w:lineRule="auto"/>
        <w:ind w:firstLine="56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(dále také „</w:t>
      </w:r>
      <w:r>
        <w:rPr>
          <w:rFonts w:ascii="Verdana" w:eastAsia="Verdana" w:hAnsi="Verdana" w:cs="Verdana"/>
          <w:b/>
          <w:sz w:val="18"/>
          <w:szCs w:val="18"/>
        </w:rPr>
        <w:t>ČZU</w:t>
      </w:r>
      <w:r>
        <w:rPr>
          <w:rFonts w:ascii="Verdana" w:eastAsia="Verdana" w:hAnsi="Verdana" w:cs="Verdana"/>
          <w:sz w:val="18"/>
          <w:szCs w:val="18"/>
        </w:rPr>
        <w:t>“ nebo také „</w:t>
      </w:r>
      <w:r>
        <w:rPr>
          <w:rFonts w:ascii="Verdana" w:eastAsia="Verdana" w:hAnsi="Verdana" w:cs="Verdana"/>
          <w:b/>
          <w:sz w:val="18"/>
          <w:szCs w:val="18"/>
        </w:rPr>
        <w:t>příkazce</w:t>
      </w:r>
      <w:r>
        <w:rPr>
          <w:rFonts w:ascii="Verdana" w:eastAsia="Verdana" w:hAnsi="Verdana" w:cs="Verdana"/>
          <w:sz w:val="18"/>
          <w:szCs w:val="18"/>
        </w:rPr>
        <w:t>“)</w:t>
      </w:r>
    </w:p>
    <w:p w14:paraId="694C8F57" w14:textId="77777777" w:rsidR="000D4767" w:rsidRDefault="000D4767">
      <w:pP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694C8F58" w14:textId="77777777" w:rsidR="000D4767" w:rsidRDefault="005D642A">
      <w:pPr>
        <w:tabs>
          <w:tab w:val="right" w:pos="9072"/>
        </w:tabs>
        <w:spacing w:after="240" w:line="276" w:lineRule="auto"/>
        <w:ind w:firstLine="567"/>
      </w:pPr>
      <w:r>
        <w:t>a</w:t>
      </w:r>
      <w:r>
        <w:tab/>
      </w:r>
    </w:p>
    <w:p w14:paraId="694C8F59" w14:textId="77777777" w:rsidR="000D4767" w:rsidRDefault="005D642A">
      <w:pPr>
        <w:pStyle w:val="Nadpis2"/>
        <w:numPr>
          <w:ilvl w:val="1"/>
          <w:numId w:val="6"/>
        </w:numPr>
        <w:rPr>
          <w:b/>
          <w:color w:val="000000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BAIDE,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z.s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>.</w:t>
      </w:r>
    </w:p>
    <w:p w14:paraId="694C8F5A" w14:textId="77777777" w:rsidR="000D4767" w:rsidRDefault="005D642A">
      <w:pPr>
        <w:spacing w:after="0" w:line="276" w:lineRule="auto"/>
        <w:ind w:firstLine="576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Perunova 787/9, 130 00 Praha – Vinohrady</w:t>
      </w:r>
    </w:p>
    <w:p w14:paraId="694C8F5B" w14:textId="77777777" w:rsidR="000D4767" w:rsidRDefault="005D642A">
      <w:pPr>
        <w:spacing w:after="0" w:line="276" w:lineRule="auto"/>
        <w:ind w:firstLine="576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Ing. Helenou Kotkovou, předsedkyní</w:t>
      </w:r>
    </w:p>
    <w:p w14:paraId="694C8F5C" w14:textId="77777777" w:rsidR="000D4767" w:rsidRDefault="005D642A">
      <w:pPr>
        <w:spacing w:after="0" w:line="276" w:lineRule="auto"/>
        <w:ind w:firstLine="576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>22541705</w:t>
      </w:r>
    </w:p>
    <w:p w14:paraId="694C8F5D" w14:textId="77777777" w:rsidR="000D4767" w:rsidRDefault="005D642A">
      <w:pPr>
        <w:spacing w:line="276" w:lineRule="auto"/>
        <w:ind w:firstLine="576"/>
        <w:rPr>
          <w:color w:val="000000"/>
        </w:rPr>
      </w:pPr>
      <w:r>
        <w:rPr>
          <w:color w:val="000000"/>
        </w:rPr>
        <w:t xml:space="preserve">spolek zapsaný ve spolkovém rejstříku vedeném Městským soudem v Praze, </w:t>
      </w:r>
      <w:proofErr w:type="spellStart"/>
      <w:r>
        <w:rPr>
          <w:color w:val="000000"/>
        </w:rPr>
        <w:t>sp</w:t>
      </w:r>
      <w:proofErr w:type="spellEnd"/>
      <w:r>
        <w:rPr>
          <w:color w:val="000000"/>
        </w:rPr>
        <w:t xml:space="preserve">. zn. L 80082 </w:t>
      </w:r>
    </w:p>
    <w:p w14:paraId="694C8F5E" w14:textId="77777777" w:rsidR="000D4767" w:rsidRDefault="005D642A">
      <w:pPr>
        <w:spacing w:after="0" w:line="360" w:lineRule="auto"/>
        <w:ind w:firstLine="57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(dále také „</w:t>
      </w:r>
      <w:r>
        <w:rPr>
          <w:rFonts w:ascii="Verdana" w:eastAsia="Verdana" w:hAnsi="Verdana" w:cs="Verdana"/>
          <w:b/>
          <w:sz w:val="18"/>
          <w:szCs w:val="18"/>
        </w:rPr>
        <w:t>BAIDE</w:t>
      </w:r>
      <w:r>
        <w:rPr>
          <w:rFonts w:ascii="Verdana" w:eastAsia="Verdana" w:hAnsi="Verdana" w:cs="Verdana"/>
          <w:sz w:val="18"/>
          <w:szCs w:val="18"/>
        </w:rPr>
        <w:t>“ nebo také „</w:t>
      </w:r>
      <w:r>
        <w:rPr>
          <w:rFonts w:ascii="Verdana" w:eastAsia="Verdana" w:hAnsi="Verdana" w:cs="Verdana"/>
          <w:b/>
          <w:sz w:val="18"/>
          <w:szCs w:val="18"/>
        </w:rPr>
        <w:t>příkazník</w:t>
      </w:r>
      <w:r>
        <w:rPr>
          <w:rFonts w:ascii="Verdana" w:eastAsia="Verdana" w:hAnsi="Verdana" w:cs="Verdana"/>
          <w:sz w:val="18"/>
          <w:szCs w:val="18"/>
        </w:rPr>
        <w:t>“)</w:t>
      </w:r>
    </w:p>
    <w:p w14:paraId="694C8F5F" w14:textId="77777777" w:rsidR="000D4767" w:rsidRDefault="000D4767">
      <w:pPr>
        <w:spacing w:after="0" w:line="360" w:lineRule="auto"/>
        <w:rPr>
          <w:rFonts w:ascii="Verdana" w:eastAsia="Verdana" w:hAnsi="Verdana" w:cs="Verdana"/>
          <w:b/>
          <w:sz w:val="18"/>
          <w:szCs w:val="18"/>
        </w:rPr>
      </w:pPr>
    </w:p>
    <w:p w14:paraId="694C8F60" w14:textId="77777777" w:rsidR="000D4767" w:rsidRPr="00E66E2D" w:rsidRDefault="005D642A">
      <w:pPr>
        <w:spacing w:after="360"/>
      </w:pPr>
      <w:r>
        <w:t xml:space="preserve">(společně dále také jako </w:t>
      </w:r>
      <w:r w:rsidRPr="00E66E2D">
        <w:t>„</w:t>
      </w:r>
      <w:r w:rsidRPr="00E66E2D">
        <w:rPr>
          <w:b/>
        </w:rPr>
        <w:t>Smluvní strany</w:t>
      </w:r>
      <w:r w:rsidRPr="00E66E2D">
        <w:t>“)</w:t>
      </w:r>
    </w:p>
    <w:p w14:paraId="694C8F61" w14:textId="77777777" w:rsidR="000D4767" w:rsidRPr="00E66E2D" w:rsidRDefault="005D642A" w:rsidP="00E66E2D">
      <w:pPr>
        <w:pStyle w:val="Nadpis1"/>
        <w:numPr>
          <w:ilvl w:val="0"/>
          <w:numId w:val="6"/>
        </w:numPr>
        <w:ind w:left="431" w:hanging="431"/>
        <w:rPr>
          <w:rFonts w:asciiTheme="minorHAnsi" w:eastAsiaTheme="majorEastAsia" w:hAnsiTheme="minorHAnsi" w:cstheme="majorBidi"/>
          <w:color w:val="000000" w:themeColor="text1"/>
          <w:kern w:val="2"/>
          <w:szCs w:val="32"/>
          <w:lang w:val="cs-CZ" w:eastAsia="en-US"/>
          <w14:ligatures w14:val="standardContextual"/>
        </w:rPr>
      </w:pPr>
      <w:r w:rsidRPr="00E66E2D">
        <w:rPr>
          <w:rFonts w:asciiTheme="minorHAnsi" w:eastAsiaTheme="majorEastAsia" w:hAnsiTheme="minorHAnsi" w:cstheme="majorBidi"/>
          <w:color w:val="000000" w:themeColor="text1"/>
          <w:kern w:val="2"/>
          <w:szCs w:val="32"/>
          <w:lang w:val="cs-CZ" w:eastAsia="en-US"/>
          <w14:ligatures w14:val="standardContextual"/>
        </w:rPr>
        <w:t>Úvodní ustanovení</w:t>
      </w:r>
    </w:p>
    <w:p w14:paraId="694C8F62" w14:textId="49E2C902" w:rsidR="000D4767" w:rsidRPr="00E66E2D" w:rsidRDefault="005D64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color w:val="000000"/>
        </w:rPr>
      </w:pPr>
      <w:r w:rsidRPr="00E66E2D">
        <w:rPr>
          <w:color w:val="000000"/>
        </w:rPr>
        <w:t>Smluvní strany uzavřely dne 25.4.2025 příkazní smlouvu (dále také jen „</w:t>
      </w:r>
      <w:r w:rsidRPr="00E66E2D">
        <w:rPr>
          <w:b/>
          <w:color w:val="000000"/>
        </w:rPr>
        <w:t>Smlouva</w:t>
      </w:r>
      <w:r w:rsidRPr="00E66E2D">
        <w:rPr>
          <w:color w:val="000000"/>
        </w:rPr>
        <w:t xml:space="preserve">“), jejímž předmětem je koordinace realizace projektového a finančního řízení aktivit implementovaných příkazcem v Kambodži v letech 2025 v rámci v projektu </w:t>
      </w:r>
      <w:proofErr w:type="spellStart"/>
      <w:r w:rsidRPr="00E66E2D">
        <w:rPr>
          <w:b/>
          <w:color w:val="000000"/>
        </w:rPr>
        <w:t>SmartAgriCambodia</w:t>
      </w:r>
      <w:proofErr w:type="spellEnd"/>
      <w:r w:rsidRPr="00E66E2D">
        <w:rPr>
          <w:b/>
          <w:color w:val="000000"/>
        </w:rPr>
        <w:t xml:space="preserve">: Podpora udržitelného zemědělství v </w:t>
      </w:r>
      <w:proofErr w:type="spellStart"/>
      <w:r w:rsidRPr="00E66E2D">
        <w:rPr>
          <w:b/>
          <w:color w:val="000000"/>
        </w:rPr>
        <w:t>Battambangu</w:t>
      </w:r>
      <w:proofErr w:type="spellEnd"/>
      <w:r w:rsidRPr="00E66E2D">
        <w:rPr>
          <w:b/>
          <w:color w:val="000000"/>
        </w:rPr>
        <w:t xml:space="preserve"> </w:t>
      </w:r>
      <w:r w:rsidRPr="00E66E2D">
        <w:rPr>
          <w:color w:val="000000"/>
        </w:rPr>
        <w:t>(dále jen „</w:t>
      </w:r>
      <w:r w:rsidRPr="00E66E2D">
        <w:rPr>
          <w:b/>
          <w:color w:val="000000"/>
        </w:rPr>
        <w:t>projekt</w:t>
      </w:r>
      <w:r w:rsidRPr="00E66E2D">
        <w:rPr>
          <w:color w:val="000000"/>
        </w:rPr>
        <w:t xml:space="preserve">“), u něhož došlo ke </w:t>
      </w:r>
      <w:r w:rsidRPr="00464D57">
        <w:t xml:space="preserve">změně skutečně vynaložených </w:t>
      </w:r>
      <w:r w:rsidRPr="00E66E2D">
        <w:rPr>
          <w:color w:val="000000"/>
        </w:rPr>
        <w:t xml:space="preserve">nákladů a k potřebě změny sjednaného rozpočtu a platebních podmínek Smlouvy. </w:t>
      </w:r>
    </w:p>
    <w:p w14:paraId="694C8F63" w14:textId="77777777" w:rsidR="000D4767" w:rsidRPr="00E66E2D" w:rsidRDefault="005D642A" w:rsidP="00E66E2D">
      <w:pPr>
        <w:pStyle w:val="Nadpis1"/>
        <w:numPr>
          <w:ilvl w:val="0"/>
          <w:numId w:val="6"/>
        </w:numPr>
        <w:ind w:left="431" w:hanging="431"/>
        <w:rPr>
          <w:rFonts w:asciiTheme="minorHAnsi" w:eastAsiaTheme="majorEastAsia" w:hAnsiTheme="minorHAnsi" w:cstheme="majorBidi"/>
          <w:color w:val="000000" w:themeColor="text1"/>
          <w:kern w:val="2"/>
          <w:szCs w:val="32"/>
          <w:lang w:val="cs-CZ" w:eastAsia="en-US"/>
          <w14:ligatures w14:val="standardContextual"/>
        </w:rPr>
      </w:pPr>
      <w:r w:rsidRPr="00E66E2D">
        <w:rPr>
          <w:rFonts w:asciiTheme="minorHAnsi" w:eastAsiaTheme="majorEastAsia" w:hAnsiTheme="minorHAnsi" w:cstheme="majorBidi"/>
          <w:color w:val="000000" w:themeColor="text1"/>
          <w:kern w:val="2"/>
          <w:szCs w:val="32"/>
          <w:lang w:val="cs-CZ" w:eastAsia="en-US"/>
          <w14:ligatures w14:val="standardContextual"/>
        </w:rPr>
        <w:t xml:space="preserve">Předmět Dodatku </w:t>
      </w:r>
    </w:p>
    <w:p w14:paraId="694C8F64" w14:textId="77777777" w:rsidR="000D4767" w:rsidRPr="00E66E2D" w:rsidRDefault="005D64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</w:rPr>
      </w:pPr>
      <w:r w:rsidRPr="00E66E2D">
        <w:rPr>
          <w:color w:val="000000"/>
        </w:rPr>
        <w:t>Smluvní strany se z důvodu výše uvedeného dohodly na změně ustanovení čl. IV odst. 1 a 2 Smlouvy, která nově zní takto:</w:t>
      </w:r>
    </w:p>
    <w:p w14:paraId="694C8F65" w14:textId="77777777" w:rsidR="000D4767" w:rsidRPr="00E66E2D" w:rsidRDefault="000D47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color w:val="000000"/>
        </w:rPr>
      </w:pPr>
    </w:p>
    <w:p w14:paraId="694C8F66" w14:textId="77777777" w:rsidR="000D4767" w:rsidRPr="00E66E2D" w:rsidRDefault="002E3F1E">
      <w:pPr>
        <w:numPr>
          <w:ilvl w:val="0"/>
          <w:numId w:val="9"/>
        </w:numPr>
        <w:spacing w:after="0" w:line="360" w:lineRule="auto"/>
        <w:rPr>
          <w:rFonts w:ascii="Verdana" w:eastAsia="Verdana" w:hAnsi="Verdana" w:cs="Verdana"/>
          <w:b/>
          <w:i/>
          <w:sz w:val="18"/>
          <w:szCs w:val="18"/>
        </w:rPr>
      </w:pPr>
      <w:sdt>
        <w:sdtPr>
          <w:tag w:val="goog_rdk_1"/>
          <w:id w:val="959950224"/>
        </w:sdtPr>
        <w:sdtEndPr/>
        <w:sdtContent/>
      </w:sdt>
      <w:sdt>
        <w:sdtPr>
          <w:tag w:val="goog_rdk_2"/>
          <w:id w:val="-1679955978"/>
        </w:sdtPr>
        <w:sdtEndPr/>
        <w:sdtContent/>
      </w:sdt>
      <w:r w:rsidR="005D642A" w:rsidRPr="00E66E2D">
        <w:rPr>
          <w:rFonts w:ascii="Verdana" w:eastAsia="Verdana" w:hAnsi="Verdana" w:cs="Verdana"/>
          <w:b/>
          <w:i/>
          <w:sz w:val="18"/>
          <w:szCs w:val="18"/>
        </w:rPr>
        <w:t>Odměna, rozpočet</w:t>
      </w:r>
    </w:p>
    <w:p w14:paraId="694C8F67" w14:textId="77777777" w:rsidR="000D4767" w:rsidRPr="00E66E2D" w:rsidRDefault="005D642A">
      <w:pPr>
        <w:spacing w:after="0" w:line="360" w:lineRule="auto"/>
        <w:ind w:left="705"/>
        <w:rPr>
          <w:rFonts w:ascii="Verdana" w:eastAsia="Verdana" w:hAnsi="Verdana" w:cs="Verdana"/>
          <w:b/>
          <w:i/>
          <w:sz w:val="18"/>
          <w:szCs w:val="18"/>
        </w:rPr>
      </w:pPr>
      <w:r w:rsidRPr="00E66E2D">
        <w:rPr>
          <w:rFonts w:ascii="Verdana" w:eastAsia="Verdana" w:hAnsi="Verdana" w:cs="Verdana"/>
          <w:i/>
          <w:sz w:val="18"/>
          <w:szCs w:val="18"/>
        </w:rPr>
        <w:t>BAIDE coby příkazník je povinen implementovat aktivity projektu v souladu s rozpočtem. Podle předběžně schváleného rozpočtu projektu na rok 2025 činí předpokládaná výše odměny příkazníka na toto období částku</w:t>
      </w:r>
      <w:r w:rsidRPr="00E66E2D">
        <w:rPr>
          <w:rFonts w:ascii="Verdana" w:eastAsia="Verdana" w:hAnsi="Verdana" w:cs="Verdana"/>
          <w:b/>
          <w:i/>
          <w:sz w:val="18"/>
          <w:szCs w:val="18"/>
        </w:rPr>
        <w:t xml:space="preserve"> 810 000,- Kč bez DPH. </w:t>
      </w:r>
    </w:p>
    <w:p w14:paraId="694C8F68" w14:textId="77777777" w:rsidR="000D4767" w:rsidRPr="00E66E2D" w:rsidRDefault="005D642A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  <w:r w:rsidRPr="00E66E2D">
        <w:rPr>
          <w:rFonts w:ascii="Verdana" w:eastAsia="Verdana" w:hAnsi="Verdana" w:cs="Verdana"/>
          <w:i/>
          <w:sz w:val="18"/>
          <w:szCs w:val="18"/>
        </w:rPr>
        <w:t>Kromě toho příkazce prostřednictvím refundace nákladů nutných na realizaci projektu uhradí následující náklady dle položkového rozpočtu (a to maximálně ve výši uvedené):</w:t>
      </w:r>
    </w:p>
    <w:p w14:paraId="694C8F69" w14:textId="77777777" w:rsidR="000D4767" w:rsidRPr="004F7C9D" w:rsidRDefault="000D4767">
      <w:pPr>
        <w:spacing w:after="0" w:line="276" w:lineRule="auto"/>
        <w:jc w:val="left"/>
        <w:rPr>
          <w:rFonts w:ascii="Arial" w:eastAsia="Arial" w:hAnsi="Arial" w:cs="Arial"/>
          <w:i/>
          <w:iCs/>
        </w:rPr>
      </w:pPr>
    </w:p>
    <w:tbl>
      <w:tblPr>
        <w:tblStyle w:val="a"/>
        <w:tblW w:w="8942" w:type="dxa"/>
        <w:tblInd w:w="418" w:type="dxa"/>
        <w:tblLayout w:type="fixed"/>
        <w:tblLook w:val="0600" w:firstRow="0" w:lastRow="0" w:firstColumn="0" w:lastColumn="0" w:noHBand="1" w:noVBand="1"/>
      </w:tblPr>
      <w:tblGrid>
        <w:gridCol w:w="1934"/>
        <w:gridCol w:w="2336"/>
        <w:gridCol w:w="2336"/>
        <w:gridCol w:w="2336"/>
      </w:tblGrid>
      <w:tr w:rsidR="00FD6848" w:rsidRPr="004F7C9D" w14:paraId="694C8F6E" w14:textId="77777777" w:rsidTr="004F7C9D">
        <w:trPr>
          <w:trHeight w:val="28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6A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lastRenderedPageBreak/>
              <w:t>Náklad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6B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Původní částka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6C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Navýšení oproti odhadovaným nákladům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6D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Odůvodnění</w:t>
            </w:r>
          </w:p>
        </w:tc>
      </w:tr>
      <w:tr w:rsidR="00FD6848" w:rsidRPr="004F7C9D" w14:paraId="694C8F73" w14:textId="77777777" w:rsidTr="004F7C9D">
        <w:trPr>
          <w:trHeight w:val="28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6F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Výpočetní technika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0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25 000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1" w14:textId="77777777" w:rsidR="000D4767" w:rsidRPr="004F7C9D" w:rsidRDefault="005D642A">
            <w:pPr>
              <w:numPr>
                <w:ilvl w:val="0"/>
                <w:numId w:val="11"/>
              </w:num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56 990 Kč</w:t>
            </w:r>
          </w:p>
        </w:tc>
        <w:tc>
          <w:tcPr>
            <w:tcW w:w="233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2" w14:textId="77777777" w:rsidR="000D4767" w:rsidRPr="004F7C9D" w:rsidRDefault="005D642A">
            <w:pPr>
              <w:widowControl w:val="0"/>
              <w:spacing w:after="0" w:line="240" w:lineRule="auto"/>
              <w:jc w:val="left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navýšení způsobeno pořízením dvou kusů odolnějšího typu počítače pro zajištění efektivní implementace</w:t>
            </w:r>
          </w:p>
        </w:tc>
      </w:tr>
      <w:tr w:rsidR="00FD6848" w:rsidRPr="004F7C9D" w14:paraId="694C8F78" w14:textId="77777777" w:rsidTr="004F7C9D">
        <w:trPr>
          <w:trHeight w:val="28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4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Kancelářské prostory (</w:t>
            </w:r>
            <w:proofErr w:type="spellStart"/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Phnom</w:t>
            </w:r>
            <w:proofErr w:type="spellEnd"/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Penh</w:t>
            </w:r>
            <w:proofErr w:type="spellEnd"/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5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72 000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6" w14:textId="77777777" w:rsidR="000D4767" w:rsidRPr="004F7C9D" w:rsidRDefault="005D642A">
            <w:pPr>
              <w:numPr>
                <w:ilvl w:val="0"/>
                <w:numId w:val="4"/>
              </w:num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12 000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7" w14:textId="77777777" w:rsidR="000D4767" w:rsidRPr="004F7C9D" w:rsidRDefault="005D642A">
            <w:pPr>
              <w:widowControl w:val="0"/>
              <w:spacing w:after="0" w:line="240" w:lineRule="auto"/>
              <w:jc w:val="left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navýšení dáno vyšší částkou na nájem oproti předpokladu</w:t>
            </w:r>
          </w:p>
        </w:tc>
      </w:tr>
      <w:tr w:rsidR="00FD6848" w:rsidRPr="004F7C9D" w14:paraId="694C8F7D" w14:textId="77777777" w:rsidTr="004F7C9D">
        <w:trPr>
          <w:trHeight w:val="28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9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Kancelářské prostory </w:t>
            </w:r>
            <w:proofErr w:type="spellStart"/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Battambang</w:t>
            </w:r>
            <w:proofErr w:type="spellEnd"/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A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90 000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B" w14:textId="77777777" w:rsidR="000D4767" w:rsidRPr="004F7C9D" w:rsidRDefault="005D642A">
            <w:pPr>
              <w:numPr>
                <w:ilvl w:val="0"/>
                <w:numId w:val="3"/>
              </w:num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100 000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C" w14:textId="77777777" w:rsidR="000D4767" w:rsidRPr="004F7C9D" w:rsidRDefault="005D642A">
            <w:pPr>
              <w:widowControl w:val="0"/>
              <w:spacing w:after="0" w:line="240" w:lineRule="auto"/>
              <w:jc w:val="left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navýšení kvůli změně předmětu pronájmu z malé kanceláře na dům s pokoji určenými pro ubytování BAIDE týmu a přijíždějících expertů (ušetření nákladů za ubytování, položka rozpočtu 2.2.)</w:t>
            </w:r>
          </w:p>
        </w:tc>
      </w:tr>
      <w:tr w:rsidR="00FD6848" w:rsidRPr="004F7C9D" w14:paraId="694C8F82" w14:textId="77777777" w:rsidTr="004F7C9D">
        <w:trPr>
          <w:trHeight w:val="28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E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Kancelářské potřeby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7F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10 000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0" w14:textId="77777777" w:rsidR="000D4767" w:rsidRPr="004F7C9D" w:rsidRDefault="000D4767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1" w14:textId="77777777" w:rsidR="000D4767" w:rsidRPr="004F7C9D" w:rsidRDefault="000D4767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</w:p>
        </w:tc>
      </w:tr>
      <w:tr w:rsidR="00FD6848" w:rsidRPr="004F7C9D" w14:paraId="694C8F87" w14:textId="77777777" w:rsidTr="004F7C9D">
        <w:trPr>
          <w:trHeight w:val="28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3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Pohonné hmoty – realizace aktivit projektu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4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120 000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5" w14:textId="77777777" w:rsidR="000D4767" w:rsidRPr="004F7C9D" w:rsidRDefault="005D642A">
            <w:pPr>
              <w:numPr>
                <w:ilvl w:val="0"/>
                <w:numId w:val="1"/>
              </w:num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45 000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6" w14:textId="77777777" w:rsidR="000D4767" w:rsidRPr="004F7C9D" w:rsidRDefault="005D642A">
            <w:pPr>
              <w:widowControl w:val="0"/>
              <w:spacing w:after="0" w:line="240" w:lineRule="auto"/>
              <w:jc w:val="left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předpoklad ušetřených nákladů na pohonné hmoty do konce roku 2025, další revize proběhne v průběhu následujících měsíců</w:t>
            </w:r>
          </w:p>
        </w:tc>
      </w:tr>
      <w:tr w:rsidR="00FD6848" w:rsidRPr="004F7C9D" w14:paraId="694C8F8C" w14:textId="77777777" w:rsidTr="004F7C9D">
        <w:trPr>
          <w:trHeight w:val="46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8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Půjčovné vozidla – realizace aktivit projektu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9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282 000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A" w14:textId="77777777" w:rsidR="000D4767" w:rsidRPr="004F7C9D" w:rsidRDefault="005D642A">
            <w:pPr>
              <w:numPr>
                <w:ilvl w:val="0"/>
                <w:numId w:val="2"/>
              </w:numPr>
              <w:spacing w:after="0" w:line="276" w:lineRule="auto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13 200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B" w14:textId="77777777" w:rsidR="000D4767" w:rsidRPr="004F7C9D" w:rsidRDefault="005D642A">
            <w:pPr>
              <w:widowControl w:val="0"/>
              <w:spacing w:after="0" w:line="240" w:lineRule="auto"/>
              <w:jc w:val="left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pro rok 2025 </w:t>
            </w:r>
            <w:proofErr w:type="gramStart"/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vyčerpáno - náklady</w:t>
            </w:r>
            <w:proofErr w:type="gramEnd"/>
            <w:r w:rsidRPr="004F7C9D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pokryty do konce roku</w:t>
            </w:r>
          </w:p>
        </w:tc>
      </w:tr>
      <w:tr w:rsidR="00FD6848" w:rsidRPr="004F7C9D" w14:paraId="694C8F91" w14:textId="77777777" w:rsidTr="004F7C9D">
        <w:trPr>
          <w:trHeight w:val="285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D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E" w14:textId="77777777" w:rsidR="000D4767" w:rsidRPr="004F7C9D" w:rsidRDefault="005D642A">
            <w:p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599 000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8F" w14:textId="77777777" w:rsidR="000D4767" w:rsidRPr="004F7C9D" w:rsidRDefault="005D642A">
            <w:pPr>
              <w:numPr>
                <w:ilvl w:val="0"/>
                <w:numId w:val="5"/>
              </w:num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4F7C9D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137 190 Kč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8F90" w14:textId="77777777" w:rsidR="000D4767" w:rsidRPr="004F7C9D" w:rsidRDefault="000D4767">
            <w:pPr>
              <w:spacing w:after="0" w:line="276" w:lineRule="auto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</w:p>
        </w:tc>
      </w:tr>
    </w:tbl>
    <w:p w14:paraId="694C8F92" w14:textId="77777777" w:rsidR="000D4767" w:rsidRDefault="000D4767">
      <w:pPr>
        <w:spacing w:after="0" w:line="276" w:lineRule="auto"/>
        <w:ind w:left="1400" w:hanging="700"/>
        <w:rPr>
          <w:rFonts w:ascii="Verdana" w:eastAsia="Verdana" w:hAnsi="Verdana" w:cs="Verdana"/>
          <w:b/>
          <w:i/>
          <w:sz w:val="18"/>
          <w:szCs w:val="18"/>
          <w:highlight w:val="yellow"/>
        </w:rPr>
      </w:pPr>
    </w:p>
    <w:p w14:paraId="694C8F93" w14:textId="77777777" w:rsidR="000D4767" w:rsidRPr="0027342B" w:rsidRDefault="005D642A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  <w:r w:rsidRPr="0027342B">
        <w:rPr>
          <w:rFonts w:ascii="Verdana" w:eastAsia="Verdana" w:hAnsi="Verdana" w:cs="Verdana"/>
          <w:i/>
          <w:sz w:val="18"/>
          <w:szCs w:val="18"/>
        </w:rPr>
        <w:t>Měnou rozpočtu jsou Kč, jakýkoli přepočet na jinou měnu je pouze orientační. Tyto prostředky získal příkazce od poskytovatele dotace, kterým je Česká rozvojová agentura.</w:t>
      </w:r>
    </w:p>
    <w:p w14:paraId="694C8F94" w14:textId="77777777" w:rsidR="000D4767" w:rsidRPr="0027342B" w:rsidRDefault="005D642A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  <w:r w:rsidRPr="0027342B">
        <w:rPr>
          <w:rFonts w:ascii="Verdana" w:eastAsia="Verdana" w:hAnsi="Verdana" w:cs="Verdana"/>
          <w:i/>
          <w:sz w:val="18"/>
          <w:szCs w:val="18"/>
        </w:rPr>
        <w:t xml:space="preserve">Příkazník je oprávněn hradit z odměny dle této Smlouvy pouze uznatelné výdaje (dle přílohy D) přímo spojené s implementací aktivit v Kambodži. Příkazník není oprávněn navyšovat celkový rozpočet. </w:t>
      </w:r>
    </w:p>
    <w:p w14:paraId="694C8F95" w14:textId="77777777" w:rsidR="000D4767" w:rsidRPr="0027342B" w:rsidRDefault="005D642A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  <w:r w:rsidRPr="0027342B">
        <w:rPr>
          <w:rFonts w:ascii="Verdana" w:eastAsia="Verdana" w:hAnsi="Verdana" w:cs="Verdana"/>
          <w:i/>
          <w:sz w:val="18"/>
          <w:szCs w:val="18"/>
        </w:rPr>
        <w:t>V případě vzniku daňového břímě, bude toto břímě hrazeno příkazníkem.</w:t>
      </w:r>
    </w:p>
    <w:p w14:paraId="694C8F96" w14:textId="77777777" w:rsidR="000D4767" w:rsidRPr="0027342B" w:rsidRDefault="005D642A">
      <w:pPr>
        <w:spacing w:after="0" w:line="360" w:lineRule="auto"/>
        <w:ind w:left="709"/>
        <w:rPr>
          <w:rFonts w:ascii="Verdana" w:eastAsia="Verdana" w:hAnsi="Verdana" w:cs="Verdana"/>
          <w:i/>
          <w:sz w:val="18"/>
          <w:szCs w:val="18"/>
        </w:rPr>
      </w:pPr>
      <w:r w:rsidRPr="0027342B">
        <w:rPr>
          <w:rFonts w:ascii="Verdana" w:eastAsia="Verdana" w:hAnsi="Verdana" w:cs="Verdana"/>
          <w:i/>
          <w:sz w:val="18"/>
          <w:szCs w:val="18"/>
        </w:rPr>
        <w:t>Pokud nebude BAIDE realizovat aktivity projektu v souladu s touto Smlouvou, a v důsledku toho vznikne příkazci povinnost vrátit část dotace poskytovateli, snižuje se výše odměny BAIDE o částku odpovídající řádně nevykonaným aktivitám. Pokud již odměna byla BAIDE vyplacena, zavazuje se BAIDE příslušnou část odměny na výzvu ČZU (doloženou dokladem o snížení dotace) vrátit.</w:t>
      </w:r>
    </w:p>
    <w:p w14:paraId="694C8F97" w14:textId="77777777" w:rsidR="000D4767" w:rsidRPr="0027342B" w:rsidRDefault="005D642A">
      <w:pPr>
        <w:spacing w:after="0" w:line="360" w:lineRule="auto"/>
        <w:ind w:left="720"/>
        <w:rPr>
          <w:rFonts w:ascii="Verdana" w:eastAsia="Verdana" w:hAnsi="Verdana" w:cs="Verdana"/>
          <w:i/>
          <w:sz w:val="18"/>
          <w:szCs w:val="18"/>
        </w:rPr>
      </w:pPr>
      <w:r w:rsidRPr="0027342B">
        <w:rPr>
          <w:rFonts w:ascii="Verdana" w:eastAsia="Verdana" w:hAnsi="Verdana" w:cs="Verdana"/>
          <w:i/>
          <w:sz w:val="18"/>
          <w:szCs w:val="18"/>
        </w:rPr>
        <w:t>Pokud poskytovatel dotace sníží výši financování anebo jej zcela zastaví, smluvní strany jsou povinny dohodnout se na snížení odměny příkazníka, jakož i případné změně projektu.</w:t>
      </w:r>
    </w:p>
    <w:p w14:paraId="694C8F98" w14:textId="77777777" w:rsidR="000D4767" w:rsidRPr="0027342B" w:rsidRDefault="005D642A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  <w:r w:rsidRPr="0027342B">
        <w:rPr>
          <w:rFonts w:ascii="Verdana" w:eastAsia="Verdana" w:hAnsi="Verdana" w:cs="Verdana"/>
          <w:i/>
          <w:sz w:val="18"/>
          <w:szCs w:val="18"/>
        </w:rPr>
        <w:t>V dohodnuté odměně je již zahrnuta náhrada všech nákladů, které příkazníkovi při provádění příkazu vzniknou.</w:t>
      </w:r>
    </w:p>
    <w:p w14:paraId="694C8F99" w14:textId="77777777" w:rsidR="000D4767" w:rsidRPr="0027342B" w:rsidRDefault="005D642A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  <w:r w:rsidRPr="0027342B">
        <w:rPr>
          <w:rFonts w:ascii="Verdana" w:eastAsia="Verdana" w:hAnsi="Verdana" w:cs="Verdana"/>
          <w:i/>
          <w:sz w:val="18"/>
          <w:szCs w:val="18"/>
        </w:rPr>
        <w:t xml:space="preserve">V případě vzniku oprávněných a ze strany ČRA uznatelných vícenákladů, které budou příkazcem odsouhlaseny, je možné ty hradit, pokud to rozpočet projektu dovolí.  </w:t>
      </w:r>
    </w:p>
    <w:p w14:paraId="694C8F9A" w14:textId="77777777" w:rsidR="000D4767" w:rsidRDefault="000D4767">
      <w:pPr>
        <w:spacing w:after="0" w:line="360" w:lineRule="auto"/>
        <w:rPr>
          <w:rFonts w:ascii="Verdana" w:eastAsia="Verdana" w:hAnsi="Verdana" w:cs="Verdana"/>
          <w:i/>
          <w:sz w:val="18"/>
          <w:szCs w:val="18"/>
          <w:highlight w:val="yellow"/>
        </w:rPr>
      </w:pPr>
    </w:p>
    <w:p w14:paraId="694C8F9B" w14:textId="77777777" w:rsidR="000D4767" w:rsidRPr="008147C5" w:rsidRDefault="005D642A">
      <w:pPr>
        <w:numPr>
          <w:ilvl w:val="0"/>
          <w:numId w:val="9"/>
        </w:numPr>
        <w:spacing w:after="0" w:line="360" w:lineRule="auto"/>
        <w:rPr>
          <w:rFonts w:ascii="Verdana" w:eastAsia="Verdana" w:hAnsi="Verdana" w:cs="Verdana"/>
          <w:b/>
          <w:i/>
          <w:sz w:val="18"/>
          <w:szCs w:val="18"/>
        </w:rPr>
      </w:pPr>
      <w:r w:rsidRPr="008147C5">
        <w:rPr>
          <w:rFonts w:ascii="Verdana" w:eastAsia="Verdana" w:hAnsi="Verdana" w:cs="Verdana"/>
          <w:b/>
          <w:i/>
          <w:sz w:val="18"/>
          <w:szCs w:val="18"/>
        </w:rPr>
        <w:t>Vyplácení odměny</w:t>
      </w:r>
    </w:p>
    <w:p w14:paraId="694C8F9C" w14:textId="77777777" w:rsidR="000D4767" w:rsidRPr="008147C5" w:rsidRDefault="000D4767">
      <w:pPr>
        <w:spacing w:after="0" w:line="360" w:lineRule="auto"/>
        <w:rPr>
          <w:rFonts w:ascii="Verdana" w:eastAsia="Verdana" w:hAnsi="Verdana" w:cs="Verdana"/>
          <w:b/>
          <w:i/>
          <w:sz w:val="18"/>
          <w:szCs w:val="18"/>
        </w:rPr>
      </w:pPr>
    </w:p>
    <w:p w14:paraId="694C8F9D" w14:textId="77777777" w:rsidR="000D4767" w:rsidRPr="008147C5" w:rsidRDefault="005D642A">
      <w:pPr>
        <w:spacing w:after="0" w:line="360" w:lineRule="auto"/>
        <w:ind w:left="708"/>
        <w:rPr>
          <w:rFonts w:ascii="Verdana" w:eastAsia="Verdana" w:hAnsi="Verdana" w:cs="Verdana"/>
          <w:i/>
          <w:sz w:val="18"/>
          <w:szCs w:val="18"/>
        </w:rPr>
      </w:pPr>
      <w:r w:rsidRPr="008147C5">
        <w:rPr>
          <w:rFonts w:ascii="Verdana" w:eastAsia="Verdana" w:hAnsi="Verdana" w:cs="Verdana"/>
          <w:i/>
          <w:sz w:val="18"/>
          <w:szCs w:val="18"/>
        </w:rPr>
        <w:t>Žádnou část odměny stanovenou dle rozpočtu za rok 2025 nelze převádět do dalšího roku. Nebude-li BAIDE schopna vyúčtovat použití odměny dle rozpočtu v roce 2025, je povinna takovou část odměny vrátit ČZU do 15. 1. 2026.</w:t>
      </w:r>
    </w:p>
    <w:p w14:paraId="694C8F9E" w14:textId="77777777" w:rsidR="000D4767" w:rsidRPr="008147C5" w:rsidRDefault="000D4767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</w:p>
    <w:p w14:paraId="694C8F9F" w14:textId="77777777" w:rsidR="000D4767" w:rsidRPr="008147C5" w:rsidRDefault="005D642A">
      <w:pPr>
        <w:spacing w:after="0" w:line="360" w:lineRule="auto"/>
        <w:ind w:left="705"/>
        <w:rPr>
          <w:rFonts w:ascii="Verdana" w:eastAsia="Verdana" w:hAnsi="Verdana" w:cs="Verdana"/>
          <w:i/>
          <w:sz w:val="18"/>
          <w:szCs w:val="18"/>
        </w:rPr>
      </w:pPr>
      <w:r w:rsidRPr="008147C5">
        <w:rPr>
          <w:rFonts w:ascii="Verdana" w:eastAsia="Verdana" w:hAnsi="Verdana" w:cs="Verdana"/>
          <w:i/>
          <w:sz w:val="18"/>
          <w:szCs w:val="18"/>
        </w:rPr>
        <w:t>Odměna za službu koordinace aktivit v prvním kalendářním roce bude příkazcem vyplácena příkazníkovi bezhotovostním převodem na bankovní účet příkazníka dle následujícího harmonogramu:</w:t>
      </w:r>
    </w:p>
    <w:p w14:paraId="694C8FA0" w14:textId="77777777" w:rsidR="000D4767" w:rsidRPr="008147C5" w:rsidRDefault="005D64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Verdana" w:eastAsia="Verdana" w:hAnsi="Verdana" w:cs="Verdana"/>
          <w:i/>
          <w:iCs/>
          <w:sz w:val="18"/>
          <w:szCs w:val="18"/>
        </w:rPr>
      </w:pPr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>splátka:</w:t>
      </w:r>
      <w:r w:rsidRPr="008147C5">
        <w:rPr>
          <w:rFonts w:ascii="Verdana" w:eastAsia="Verdana" w:hAnsi="Verdana" w:cs="Verdana"/>
          <w:i/>
          <w:iCs/>
          <w:sz w:val="18"/>
          <w:szCs w:val="18"/>
        </w:rPr>
        <w:t xml:space="preserve"> Do 15 dnů po podpisu Smlouvy příkazník vystaví zálohovou fakturu ve výši 700 000,- Kč.</w:t>
      </w:r>
    </w:p>
    <w:p w14:paraId="694C8FA1" w14:textId="77777777" w:rsidR="000D4767" w:rsidRPr="008147C5" w:rsidRDefault="005D64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Verdana" w:eastAsia="Verdana" w:hAnsi="Verdana" w:cs="Verdana"/>
          <w:i/>
          <w:iCs/>
          <w:sz w:val="18"/>
          <w:szCs w:val="18"/>
        </w:rPr>
      </w:pPr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>splátka:</w:t>
      </w:r>
      <w:r w:rsidRPr="008147C5">
        <w:rPr>
          <w:rFonts w:ascii="Verdana" w:eastAsia="Verdana" w:hAnsi="Verdana" w:cs="Verdana"/>
          <w:i/>
          <w:iCs/>
          <w:sz w:val="18"/>
          <w:szCs w:val="18"/>
        </w:rPr>
        <w:t xml:space="preserve"> Do 15 dnů po schválení průběžné zprávy (za období leden až červen 2025) ze strany </w:t>
      </w:r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 xml:space="preserve">ČZU a odeslání </w:t>
      </w:r>
      <w:proofErr w:type="gramStart"/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>donorovi</w:t>
      </w:r>
      <w:proofErr w:type="gramEnd"/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 xml:space="preserve"> tj. ČRA</w:t>
      </w:r>
      <w:r w:rsidRPr="008147C5">
        <w:rPr>
          <w:rFonts w:ascii="Verdana" w:eastAsia="Verdana" w:hAnsi="Verdana" w:cs="Verdana"/>
          <w:i/>
          <w:iCs/>
          <w:sz w:val="18"/>
          <w:szCs w:val="18"/>
        </w:rPr>
        <w:t xml:space="preserve">, příkazník vystaví zálohovou fakturu ve výši </w:t>
      </w:r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>450 000,- Kč</w:t>
      </w:r>
      <w:r w:rsidRPr="008147C5">
        <w:rPr>
          <w:rFonts w:ascii="Verdana" w:eastAsia="Verdana" w:hAnsi="Verdana" w:cs="Verdana"/>
          <w:i/>
          <w:iCs/>
          <w:sz w:val="18"/>
          <w:szCs w:val="18"/>
        </w:rPr>
        <w:t>.</w:t>
      </w:r>
    </w:p>
    <w:p w14:paraId="694C8FA2" w14:textId="77777777" w:rsidR="000D4767" w:rsidRPr="008147C5" w:rsidRDefault="005D64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Verdana" w:eastAsia="Verdana" w:hAnsi="Verdana" w:cs="Verdana"/>
          <w:i/>
          <w:iCs/>
          <w:sz w:val="18"/>
          <w:szCs w:val="18"/>
        </w:rPr>
      </w:pPr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>splátka</w:t>
      </w:r>
      <w:r w:rsidRPr="008147C5">
        <w:rPr>
          <w:rFonts w:ascii="Verdana" w:eastAsia="Verdana" w:hAnsi="Verdana" w:cs="Verdana"/>
          <w:i/>
          <w:iCs/>
          <w:sz w:val="18"/>
          <w:szCs w:val="18"/>
        </w:rPr>
        <w:t xml:space="preserve">: Do 15.10.2025 příkazník vystaví vyúčtovací fakturu za období 1.1 – 30.9.2025 odpovídající skutečně vynaloženým uznatelným nákladům a nepřesahujícím </w:t>
      </w:r>
      <w:r w:rsidRPr="00FD6848">
        <w:rPr>
          <w:rFonts w:ascii="Verdana" w:eastAsia="Verdana" w:hAnsi="Verdana" w:cs="Verdana"/>
          <w:bCs/>
          <w:i/>
          <w:iCs/>
          <w:sz w:val="18"/>
          <w:szCs w:val="18"/>
        </w:rPr>
        <w:t>8</w:t>
      </w:r>
      <w:r w:rsidRPr="008147C5">
        <w:rPr>
          <w:rFonts w:ascii="Verdana" w:eastAsia="Verdana" w:hAnsi="Verdana" w:cs="Verdana"/>
          <w:i/>
          <w:iCs/>
          <w:sz w:val="18"/>
          <w:szCs w:val="18"/>
        </w:rPr>
        <w:t>5% částky celkového rozpočtu na daný rok.</w:t>
      </w:r>
    </w:p>
    <w:p w14:paraId="694C8FA3" w14:textId="77777777" w:rsidR="000D4767" w:rsidRPr="008147C5" w:rsidRDefault="005D64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Verdana" w:eastAsia="Verdana" w:hAnsi="Verdana" w:cs="Verdana"/>
          <w:i/>
          <w:iCs/>
          <w:sz w:val="18"/>
          <w:szCs w:val="18"/>
        </w:rPr>
      </w:pPr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>splátka</w:t>
      </w:r>
      <w:r w:rsidRPr="008147C5">
        <w:rPr>
          <w:rFonts w:ascii="Verdana" w:eastAsia="Verdana" w:hAnsi="Verdana" w:cs="Verdana"/>
          <w:i/>
          <w:iCs/>
          <w:sz w:val="18"/>
          <w:szCs w:val="18"/>
        </w:rPr>
        <w:t xml:space="preserve">: Do 15 dnů od zpracování závěrečné zprávy za rok 2025 (tedy nejpozději do 25.1.2026) příkazník vystaví vyúčtovací fakturu s datem 31. 12.2025 ve výši částky reportované a schválené v daném roce a odpovídající skutečně vynaloženým uznatelným nákladům, maximálně do výše 100 % částky celkového rozpočtu na daný rok (po přičtení částky </w:t>
      </w:r>
      <w:hyperlink r:id="rId11">
        <w:r w:rsidRPr="008147C5">
          <w:rPr>
            <w:rFonts w:ascii="Verdana" w:eastAsia="Verdana" w:hAnsi="Verdana" w:cs="Verdana"/>
            <w:i/>
            <w:iCs/>
            <w:sz w:val="18"/>
            <w:szCs w:val="18"/>
          </w:rPr>
          <w:t>3.pl</w:t>
        </w:r>
      </w:hyperlink>
      <w:r w:rsidRPr="008147C5">
        <w:rPr>
          <w:rFonts w:ascii="Verdana" w:eastAsia="Verdana" w:hAnsi="Verdana" w:cs="Verdana"/>
          <w:i/>
          <w:iCs/>
          <w:sz w:val="18"/>
          <w:szCs w:val="18"/>
        </w:rPr>
        <w:t>átky).</w:t>
      </w:r>
    </w:p>
    <w:p w14:paraId="694C8FA4" w14:textId="77777777" w:rsidR="000D4767" w:rsidRPr="008147C5" w:rsidRDefault="005D64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i/>
          <w:iCs/>
          <w:sz w:val="18"/>
          <w:szCs w:val="18"/>
        </w:rPr>
      </w:pPr>
      <w:r w:rsidRPr="008147C5">
        <w:rPr>
          <w:rFonts w:ascii="Verdana" w:eastAsia="Verdana" w:hAnsi="Verdana" w:cs="Verdana"/>
          <w:b/>
          <w:i/>
          <w:iCs/>
          <w:sz w:val="18"/>
          <w:szCs w:val="18"/>
        </w:rPr>
        <w:t>Všechny faktury budou vystaveny bez DPH, protože místem plnění je Kambodža. Splatnost faktur bude nejméně 30 dní.</w:t>
      </w:r>
    </w:p>
    <w:p w14:paraId="694C8FA7" w14:textId="7051BDB8" w:rsidR="000D4767" w:rsidRPr="001C532D" w:rsidRDefault="000D4767" w:rsidP="001C532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</w:p>
    <w:p w14:paraId="694C8FA8" w14:textId="77777777" w:rsidR="000D4767" w:rsidRDefault="005D64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color w:val="000000"/>
        </w:rPr>
      </w:pPr>
      <w:r>
        <w:rPr>
          <w:color w:val="000000"/>
        </w:rPr>
        <w:t>Ostatní ustanovení Smlouvy zůstávají Dodatkem nedotčena. V ostatním se práva a povinnosti Smluvních stran vzniklé na základě Dodatku řídí Smlouvou.</w:t>
      </w:r>
    </w:p>
    <w:p w14:paraId="694C8FA9" w14:textId="77777777" w:rsidR="000D4767" w:rsidRPr="003710C1" w:rsidRDefault="005D642A" w:rsidP="003710C1">
      <w:pPr>
        <w:pStyle w:val="Nadpis1"/>
        <w:numPr>
          <w:ilvl w:val="0"/>
          <w:numId w:val="6"/>
        </w:numPr>
        <w:ind w:left="431" w:hanging="431"/>
        <w:rPr>
          <w:rFonts w:asciiTheme="minorHAnsi" w:eastAsiaTheme="majorEastAsia" w:hAnsiTheme="minorHAnsi" w:cstheme="majorBidi"/>
          <w:color w:val="000000" w:themeColor="text1"/>
          <w:kern w:val="2"/>
          <w:szCs w:val="32"/>
          <w:lang w:val="cs-CZ" w:eastAsia="en-US"/>
          <w14:ligatures w14:val="standardContextual"/>
        </w:rPr>
      </w:pPr>
      <w:r w:rsidRPr="003710C1">
        <w:rPr>
          <w:rFonts w:asciiTheme="minorHAnsi" w:eastAsiaTheme="majorEastAsia" w:hAnsiTheme="minorHAnsi" w:cstheme="majorBidi"/>
          <w:color w:val="000000" w:themeColor="text1"/>
          <w:kern w:val="2"/>
          <w:szCs w:val="32"/>
          <w:lang w:val="cs-CZ" w:eastAsia="en-US"/>
          <w14:ligatures w14:val="standardContextual"/>
        </w:rPr>
        <w:lastRenderedPageBreak/>
        <w:t>Závěrečná ustanovení</w:t>
      </w:r>
    </w:p>
    <w:p w14:paraId="694C8FAA" w14:textId="77777777" w:rsidR="000D4767" w:rsidRDefault="005D642A">
      <w:pPr>
        <w:pStyle w:val="Nadpis2"/>
        <w:numPr>
          <w:ilvl w:val="1"/>
          <w:numId w:val="6"/>
        </w:numPr>
      </w:pPr>
      <w:r>
        <w:t xml:space="preserve">Tento Dodatek nabývá platnosti a účinnosti dnem jeho podpisu oběma Smluvními stranami. </w:t>
      </w:r>
      <w:r>
        <w:br/>
        <w:t xml:space="preserve">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694C8FAB" w14:textId="77777777" w:rsidR="000D4767" w:rsidRDefault="005D642A">
      <w:pPr>
        <w:pStyle w:val="Nadpis2"/>
        <w:numPr>
          <w:ilvl w:val="1"/>
          <w:numId w:val="6"/>
        </w:numPr>
      </w:pPr>
      <w:r>
        <w:t>Dodatek je uzavírán v elektronické podobě. Pokud je tento Dodatek uzavírán v listinné podobě, je sepsán ve třech vyhotoveních s platností originálu, přičemž Poradce obdrží jedno vyhotovení a Objednatel dvě.</w:t>
      </w:r>
    </w:p>
    <w:p w14:paraId="694C8FAC" w14:textId="77777777" w:rsidR="000D4767" w:rsidRDefault="005D642A">
      <w:pPr>
        <w:pStyle w:val="Nadpis2"/>
        <w:numPr>
          <w:ilvl w:val="1"/>
          <w:numId w:val="6"/>
        </w:numPr>
      </w:pPr>
      <w:r>
        <w:t>Smluvní strany bezvýhradně souhlasí se zveřejněním plného znění Dodatku tak, aby tento Dodatek mohl být předmětem poskytnuté informace ve smyslu zákona č. 106/1999 Sb., o svobodném přístupu k informacím, ve znění pozdějších předpisů. Smluvní strany rovněž souhlasí s uveřejněním plného znění Dodatku dle zákona č. 340/2015 Sb., o zvláštních podmínkách účinnosti některých smluv, uveřejňování těchto smluv a o registru smluv (zákon o registru smluv), ve znění pozdějších předpisů.</w:t>
      </w:r>
    </w:p>
    <w:p w14:paraId="694C8FAD" w14:textId="77777777" w:rsidR="000D4767" w:rsidRDefault="005D642A">
      <w:pPr>
        <w:pStyle w:val="Nadpis2"/>
        <w:numPr>
          <w:ilvl w:val="1"/>
          <w:numId w:val="6"/>
        </w:numPr>
      </w:pPr>
      <w: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694C8FAE" w14:textId="77777777" w:rsidR="000D4767" w:rsidRDefault="000D4767">
      <w:pPr>
        <w:spacing w:after="360"/>
      </w:pPr>
    </w:p>
    <w:p w14:paraId="694C8FAF" w14:textId="77777777" w:rsidR="000D4767" w:rsidRDefault="005D642A">
      <w:pPr>
        <w:spacing w:after="0" w:line="360" w:lineRule="auto"/>
        <w:ind w:left="70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 Praze, dne …………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V Praze, dne ………… </w:t>
      </w:r>
    </w:p>
    <w:p w14:paraId="694C8FB0" w14:textId="77777777" w:rsidR="000D4767" w:rsidRDefault="000D4767">
      <w:pPr>
        <w:spacing w:after="0" w:line="360" w:lineRule="auto"/>
        <w:ind w:left="708"/>
        <w:rPr>
          <w:rFonts w:ascii="Verdana" w:eastAsia="Verdana" w:hAnsi="Verdana" w:cs="Verdana"/>
          <w:sz w:val="18"/>
          <w:szCs w:val="18"/>
        </w:rPr>
      </w:pPr>
    </w:p>
    <w:p w14:paraId="694C8FB1" w14:textId="77777777" w:rsidR="000D4767" w:rsidRDefault="000D4767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</w:p>
    <w:p w14:paraId="694C8FB2" w14:textId="77777777" w:rsidR="000D4767" w:rsidRDefault="000D4767">
      <w:pPr>
        <w:spacing w:after="0" w:line="360" w:lineRule="auto"/>
        <w:rPr>
          <w:rFonts w:ascii="Verdana" w:eastAsia="Verdana" w:hAnsi="Verdana" w:cs="Verdana"/>
          <w:sz w:val="18"/>
          <w:szCs w:val="18"/>
        </w:rPr>
      </w:pPr>
    </w:p>
    <w:p w14:paraId="694C8FB3" w14:textId="3251FADC" w:rsidR="000D4767" w:rsidRDefault="005D642A">
      <w:pPr>
        <w:spacing w:after="0" w:line="360" w:lineRule="auto"/>
        <w:ind w:left="70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……………………………………</w:t>
      </w:r>
      <w:r w:rsidR="003710C1">
        <w:rPr>
          <w:rFonts w:ascii="Verdana" w:eastAsia="Verdana" w:hAnsi="Verdana" w:cs="Verdana"/>
          <w:sz w:val="18"/>
          <w:szCs w:val="18"/>
        </w:rPr>
        <w:t>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……………………………………</w:t>
      </w:r>
    </w:p>
    <w:p w14:paraId="694C8FB4" w14:textId="77777777" w:rsidR="000D4767" w:rsidRDefault="005D642A">
      <w:pPr>
        <w:spacing w:after="360"/>
        <w:ind w:firstLine="708"/>
      </w:pPr>
      <w:r>
        <w:rPr>
          <w:rFonts w:ascii="Verdana" w:eastAsia="Verdana" w:hAnsi="Verdana" w:cs="Verdana"/>
          <w:sz w:val="18"/>
          <w:szCs w:val="18"/>
        </w:rPr>
        <w:t>Česká zemědělská univerzita v Praze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BAIDE, </w:t>
      </w:r>
      <w:proofErr w:type="spellStart"/>
      <w:r>
        <w:rPr>
          <w:rFonts w:ascii="Verdana" w:eastAsia="Verdana" w:hAnsi="Verdana" w:cs="Verdana"/>
          <w:sz w:val="18"/>
          <w:szCs w:val="18"/>
        </w:rPr>
        <w:t>z.s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sectPr w:rsidR="000D4767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7EA1" w14:textId="77777777" w:rsidR="00C216FB" w:rsidRDefault="00C216FB">
      <w:pPr>
        <w:spacing w:after="0" w:line="240" w:lineRule="auto"/>
      </w:pPr>
      <w:r>
        <w:separator/>
      </w:r>
    </w:p>
  </w:endnote>
  <w:endnote w:type="continuationSeparator" w:id="0">
    <w:p w14:paraId="7D1D4976" w14:textId="77777777" w:rsidR="00C216FB" w:rsidRDefault="00C2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8FBA" w14:textId="43271024" w:rsidR="000D4767" w:rsidRDefault="005D6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072BC4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694C8FBB" w14:textId="77777777" w:rsidR="000D4767" w:rsidRDefault="005D6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D1CD" w14:textId="77777777" w:rsidR="00C216FB" w:rsidRDefault="00C216FB">
      <w:pPr>
        <w:spacing w:after="0" w:line="240" w:lineRule="auto"/>
      </w:pPr>
      <w:r>
        <w:separator/>
      </w:r>
    </w:p>
  </w:footnote>
  <w:footnote w:type="continuationSeparator" w:id="0">
    <w:p w14:paraId="4E5CD7D0" w14:textId="77777777" w:rsidR="00C216FB" w:rsidRDefault="00C2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8FB9" w14:textId="77777777" w:rsidR="000D4767" w:rsidRDefault="000D4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8FBC" w14:textId="77777777" w:rsidR="000D4767" w:rsidRDefault="005D6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left"/>
      <w:rPr>
        <w:color w:val="000000"/>
      </w:rPr>
    </w:pPr>
    <w:r>
      <w:rPr>
        <w:noProof/>
        <w:color w:val="000000"/>
      </w:rPr>
      <w:drawing>
        <wp:inline distT="0" distB="0" distL="0" distR="0" wp14:anchorId="694C8FBF" wp14:editId="694C8FC0">
          <wp:extent cx="1713600" cy="550800"/>
          <wp:effectExtent l="0" t="0" r="0" b="0"/>
          <wp:docPr id="2" name="image1.png" descr="Obsah obrázku text, Písmo, Grafika, bílé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Písmo, Grafika, bílé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3600" cy="5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4C8FBD" w14:textId="77777777" w:rsidR="000D4767" w:rsidRDefault="005D6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PO 1631/2025</w:t>
    </w:r>
  </w:p>
  <w:p w14:paraId="694C8FBE" w14:textId="77777777" w:rsidR="000D4767" w:rsidRDefault="000D4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5C8"/>
    <w:multiLevelType w:val="multilevel"/>
    <w:tmpl w:val="B6BAA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05DF"/>
    <w:multiLevelType w:val="multilevel"/>
    <w:tmpl w:val="B5A89E5C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652D23"/>
    <w:multiLevelType w:val="multilevel"/>
    <w:tmpl w:val="B67AEAE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E10547"/>
    <w:multiLevelType w:val="multilevel"/>
    <w:tmpl w:val="4586780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8E7FFB"/>
    <w:multiLevelType w:val="multilevel"/>
    <w:tmpl w:val="4B00BCAE"/>
    <w:lvl w:ilvl="0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1A17"/>
    <w:multiLevelType w:val="multilevel"/>
    <w:tmpl w:val="27FA0AF4"/>
    <w:lvl w:ilvl="0">
      <w:start w:val="1"/>
      <w:numFmt w:val="decimal"/>
      <w:lvlText w:val="%1"/>
      <w:lvlJc w:val="left"/>
      <w:pPr>
        <w:ind w:left="6811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2177A1"/>
    <w:multiLevelType w:val="multilevel"/>
    <w:tmpl w:val="F16671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Nadpis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Nadpis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Nadpis9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502754"/>
    <w:multiLevelType w:val="multilevel"/>
    <w:tmpl w:val="136ED86C"/>
    <w:lvl w:ilvl="0">
      <w:start w:val="1"/>
      <w:numFmt w:val="decimal"/>
      <w:pStyle w:val="StylZa0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2B858BE"/>
    <w:multiLevelType w:val="multilevel"/>
    <w:tmpl w:val="86140EF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9F2FAC"/>
    <w:multiLevelType w:val="multilevel"/>
    <w:tmpl w:val="0C380E9E"/>
    <w:lvl w:ilvl="0">
      <w:start w:val="1"/>
      <w:numFmt w:val="decimal"/>
      <w:lvlText w:val="3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A7189"/>
    <w:multiLevelType w:val="multilevel"/>
    <w:tmpl w:val="D16CBAA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0C69BB"/>
    <w:multiLevelType w:val="multilevel"/>
    <w:tmpl w:val="D2D24B6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1913005734">
    <w:abstractNumId w:val="6"/>
  </w:num>
  <w:num w:numId="2" w16cid:durableId="305475948">
    <w:abstractNumId w:val="8"/>
  </w:num>
  <w:num w:numId="3" w16cid:durableId="1232350257">
    <w:abstractNumId w:val="11"/>
  </w:num>
  <w:num w:numId="4" w16cid:durableId="1598489644">
    <w:abstractNumId w:val="10"/>
  </w:num>
  <w:num w:numId="5" w16cid:durableId="902907707">
    <w:abstractNumId w:val="3"/>
  </w:num>
  <w:num w:numId="6" w16cid:durableId="162088074">
    <w:abstractNumId w:val="5"/>
  </w:num>
  <w:num w:numId="7" w16cid:durableId="1133517485">
    <w:abstractNumId w:val="4"/>
  </w:num>
  <w:num w:numId="8" w16cid:durableId="1385712189">
    <w:abstractNumId w:val="9"/>
  </w:num>
  <w:num w:numId="9" w16cid:durableId="1140802086">
    <w:abstractNumId w:val="0"/>
  </w:num>
  <w:num w:numId="10" w16cid:durableId="1534534540">
    <w:abstractNumId w:val="1"/>
  </w:num>
  <w:num w:numId="11" w16cid:durableId="491141496">
    <w:abstractNumId w:val="2"/>
  </w:num>
  <w:num w:numId="12" w16cid:durableId="599610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67"/>
    <w:rsid w:val="00072BC4"/>
    <w:rsid w:val="000C1B1D"/>
    <w:rsid w:val="000D4767"/>
    <w:rsid w:val="001C532D"/>
    <w:rsid w:val="0027342B"/>
    <w:rsid w:val="002C6E14"/>
    <w:rsid w:val="002E3F1E"/>
    <w:rsid w:val="003710C1"/>
    <w:rsid w:val="00464D57"/>
    <w:rsid w:val="004E1991"/>
    <w:rsid w:val="004F7C9D"/>
    <w:rsid w:val="0057340D"/>
    <w:rsid w:val="005D642A"/>
    <w:rsid w:val="00607871"/>
    <w:rsid w:val="006A0B0B"/>
    <w:rsid w:val="008147C5"/>
    <w:rsid w:val="00AB6BAA"/>
    <w:rsid w:val="00C216FB"/>
    <w:rsid w:val="00CC746E"/>
    <w:rsid w:val="00E66E2D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8F4D"/>
  <w15:docId w15:val="{24E0D399-4D64-4870-A312-E1139AF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ind w:left="431" w:hanging="431"/>
      <w:jc w:val="center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 w:after="0"/>
      <w:ind w:left="576" w:hanging="576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i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color w:val="1F3863"/>
    </w:rPr>
  </w:style>
  <w:style w:type="paragraph" w:styleId="Nadpis7">
    <w:name w:val="heading 7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StylLatinkaArialSloitArial10bPed0cm">
    <w:name w:val="Styl (Latinka) Arial (Složité) Arial 10 b. Před:  0 cm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Odstavec1">
    <w:name w:val="Odstavec 1.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stavec11">
    <w:name w:val="Odstavec 1.1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Za0b">
    <w:name w:val="Styl Za:  0 b."/>
    <w:rsid w:val="00415104"/>
    <w:pPr>
      <w:numPr>
        <w:numId w:val="12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uiPriority w:val="34"/>
    <w:qFormat/>
    <w:rsid w:val="00D860E0"/>
    <w:pPr>
      <w:spacing w:after="160"/>
      <w:ind w:left="720"/>
      <w:contextualSpacing/>
      <w:jc w:val="left"/>
    </w:pPr>
  </w:style>
  <w:style w:type="table" w:styleId="Mkatabulky">
    <w:name w:val="Table Grid"/>
    <w:basedOn w:val="Normlntabulka"/>
    <w:uiPriority w:val="59"/>
    <w:rsid w:val="008C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3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3QhWGnZh8BeijAGPxrVjMTlIyQ==">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D3639E-1542-44EC-A6D5-7FB77A0FC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6CE01-2D60-4BBC-ABF0-8E43AA51856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96F0C2F4-7D4E-4736-AC7E-8C5BE570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Roman</dc:creator>
  <cp:lastModifiedBy>Horáčková Alena</cp:lastModifiedBy>
  <cp:revision>2</cp:revision>
  <dcterms:created xsi:type="dcterms:W3CDTF">2025-10-20T07:12:00Z</dcterms:created>
  <dcterms:modified xsi:type="dcterms:W3CDTF">2025-10-20T07:12:00Z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