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2"/>
        <w:keepNext/>
        <w:keepLines/>
        <w:widowControl w:val="0"/>
        <w:shd w:val="clear" w:color="auto" w:fill="auto"/>
        <w:bidi w:val="0"/>
        <w:spacing w:before="480" w:after="0" w:line="240" w:lineRule="auto"/>
        <w:ind w:left="0" w:right="0" w:firstLine="0"/>
        <w:jc w:val="left"/>
      </w:pPr>
      <w:r>
        <w:drawing>
          <wp:anchor distT="0" distB="0" distL="0" distR="0" simplePos="0" relativeHeight="62914690" behindDoc="1" locked="0" layoutInCell="1" allowOverlap="1">
            <wp:simplePos x="0" y="0"/>
            <wp:positionH relativeFrom="margin">
              <wp:posOffset>658495</wp:posOffset>
            </wp:positionH>
            <wp:positionV relativeFrom="margin">
              <wp:posOffset>40005</wp:posOffset>
            </wp:positionV>
            <wp:extent cx="341630" cy="298450"/>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341630" cy="298450"/>
                    </a:xfrm>
                    <a:prstGeom prst="rect"/>
                  </pic:spPr>
                </pic:pic>
              </a:graphicData>
            </a:graphic>
          </wp:anchor>
        </w:drawing>
      </w:r>
      <w:bookmarkStart w:id="0" w:name="bookmark0"/>
      <w:bookmarkStart w:id="1" w:name="bookmark1"/>
      <w:bookmarkStart w:id="2" w:name="bookmark2"/>
      <w:r>
        <w:rPr>
          <w:color w:val="31825B"/>
          <w:spacing w:val="0"/>
          <w:w w:val="100"/>
          <w:position w:val="0"/>
          <w:u w:val="single"/>
          <w:shd w:val="clear" w:color="auto" w:fill="auto"/>
          <w:lang w:val="cs-CZ" w:eastAsia="cs-CZ" w:bidi="cs-CZ"/>
        </w:rPr>
        <w:t>Kooperativa</w:t>
      </w:r>
      <w:bookmarkEnd w:id="0"/>
      <w:bookmarkEnd w:id="1"/>
      <w:bookmarkEnd w:id="2"/>
    </w:p>
    <w:p>
      <w:pPr>
        <w:pStyle w:val="Style1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VIENNA INSURANCE GROUP</w:t>
      </w:r>
    </w:p>
    <w:p>
      <w:pPr>
        <w:pStyle w:val="Style20"/>
        <w:keepNext w:val="0"/>
        <w:keepLines w:val="0"/>
        <w:widowControl w:val="0"/>
        <w:shd w:val="clear" w:color="auto" w:fill="auto"/>
        <w:bidi w:val="0"/>
        <w:spacing w:before="0"/>
        <w:ind w:left="0" w:right="0" w:firstLine="0"/>
        <w:jc w:val="left"/>
      </w:pPr>
      <w:bookmarkStart w:id="3" w:name="bookmark3"/>
      <w:bookmarkStart w:id="4" w:name="bookmark4"/>
      <w:r>
        <w:rPr>
          <w:color w:val="000000"/>
          <w:spacing w:val="0"/>
          <w:w w:val="100"/>
          <w:position w:val="0"/>
          <w:shd w:val="clear" w:color="auto" w:fill="auto"/>
          <w:lang w:val="cs-CZ" w:eastAsia="cs-CZ" w:bidi="cs-CZ"/>
        </w:rPr>
        <w:t xml:space="preserve">Dodatek č. 14 k pojistné smlouvě č. 7721021389 </w:t>
      </w:r>
      <w:r>
        <w:rPr>
          <w:rFonts w:ascii="Times New Roman" w:eastAsia="Times New Roman" w:hAnsi="Times New Roman" w:cs="Times New Roman"/>
          <w:b w:val="0"/>
          <w:bCs w:val="0"/>
          <w:color w:val="000000"/>
          <w:spacing w:val="0"/>
          <w:w w:val="100"/>
          <w:position w:val="0"/>
          <w:shd w:val="clear" w:color="auto" w:fill="auto"/>
          <w:lang w:val="cs-CZ" w:eastAsia="cs-CZ" w:bidi="cs-CZ"/>
        </w:rPr>
        <w:t>ze dne 31.01.2017</w:t>
      </w:r>
      <w:bookmarkEnd w:id="3"/>
      <w:bookmarkEnd w:id="4"/>
    </w:p>
    <w:p>
      <w:pPr>
        <w:pStyle w:val="Style12"/>
        <w:keepNext/>
        <w:keepLines/>
        <w:widowControl w:val="0"/>
        <w:shd w:val="clear" w:color="auto" w:fill="auto"/>
        <w:bidi w:val="0"/>
        <w:spacing w:before="0" w:after="0"/>
        <w:ind w:left="0" w:right="0" w:firstLine="0"/>
        <w:jc w:val="left"/>
      </w:pPr>
      <w:bookmarkStart w:id="5" w:name="bookmark5"/>
      <w:bookmarkStart w:id="6" w:name="bookmark6"/>
      <w:bookmarkStart w:id="7" w:name="bookmark7"/>
      <w:r>
        <w:rPr>
          <w:color w:val="000000"/>
          <w:spacing w:val="0"/>
          <w:w w:val="100"/>
          <w:position w:val="0"/>
          <w:shd w:val="clear" w:color="auto" w:fill="auto"/>
          <w:lang w:val="cs-CZ" w:eastAsia="cs-CZ" w:bidi="cs-CZ"/>
        </w:rPr>
        <w:t>Kooperativa pojišťovna, a.s., Vienna Insurance Group</w:t>
      </w:r>
      <w:bookmarkEnd w:id="5"/>
      <w:bookmarkEnd w:id="6"/>
      <w:bookmarkEnd w:id="7"/>
    </w:p>
    <w:p>
      <w:pPr>
        <w:pStyle w:val="Style23"/>
        <w:keepNext w:val="0"/>
        <w:keepLines w:val="0"/>
        <w:widowControl w:val="0"/>
        <w:shd w:val="clear" w:color="auto" w:fill="auto"/>
        <w:bidi w:val="0"/>
        <w:spacing w:before="0" w:after="0" w:line="211" w:lineRule="auto"/>
        <w:ind w:left="0" w:right="0" w:firstLine="0"/>
        <w:jc w:val="left"/>
      </w:pPr>
      <w:bookmarkStart w:id="8" w:name="bookmark8"/>
      <w:r>
        <w:rPr>
          <w:color w:val="000000"/>
          <w:spacing w:val="0"/>
          <w:w w:val="100"/>
          <w:position w:val="0"/>
          <w:shd w:val="clear" w:color="auto" w:fill="auto"/>
          <w:lang w:val="cs-CZ" w:eastAsia="cs-CZ" w:bidi="cs-CZ"/>
        </w:rPr>
        <w:t>se sídlem Praha 8, Pobřežní 665/21, PSČ 186 00, Česká republika</w:t>
      </w:r>
      <w:bookmarkEnd w:id="8"/>
    </w:p>
    <w:p>
      <w:pPr>
        <w:pStyle w:val="Style23"/>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IČO: 47116617</w:t>
      </w:r>
    </w:p>
    <w:p>
      <w:pPr>
        <w:pStyle w:val="Style9"/>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 xml:space="preserve">zapsaná v obchodním rejstříku u Městského soudu v Praze, sp. zn. B 1897 (dále jen </w:t>
      </w:r>
      <w:r>
        <w:rPr>
          <w:b/>
          <w:bCs/>
          <w:color w:val="000000"/>
          <w:spacing w:val="0"/>
          <w:w w:val="100"/>
          <w:position w:val="0"/>
          <w:shd w:val="clear" w:color="auto" w:fill="auto"/>
          <w:lang w:val="cs-CZ" w:eastAsia="cs-CZ" w:bidi="cs-CZ"/>
        </w:rPr>
        <w:t>„pojistitel"),</w:t>
      </w:r>
    </w:p>
    <w:p>
      <w:pPr>
        <w:pStyle w:val="Style9"/>
        <w:keepNext w:val="0"/>
        <w:keepLines w:val="0"/>
        <w:widowControl w:val="0"/>
        <w:shd w:val="clear" w:color="auto" w:fill="auto"/>
        <w:bidi w:val="0"/>
        <w:spacing w:before="0" w:after="80" w:line="293" w:lineRule="auto"/>
        <w:ind w:left="0" w:right="0" w:firstLine="0"/>
        <w:jc w:val="left"/>
      </w:pPr>
      <w:r>
        <w:rPr>
          <w:color w:val="000000"/>
          <w:spacing w:val="0"/>
          <w:w w:val="100"/>
          <w:position w:val="0"/>
          <w:shd w:val="clear" w:color="auto" w:fill="auto"/>
          <w:lang w:val="cs-CZ" w:eastAsia="cs-CZ" w:bidi="cs-CZ"/>
        </w:rPr>
        <w:t>zastoupený na základě zmocnění níže podepsanýmí osobami</w:t>
      </w:r>
    </w:p>
    <w:p>
      <w:pPr>
        <w:pStyle w:val="Style9"/>
        <w:keepNext w:val="0"/>
        <w:keepLines w:val="0"/>
        <w:widowControl w:val="0"/>
        <w:shd w:val="clear" w:color="auto" w:fill="auto"/>
        <w:bidi w:val="0"/>
        <w:spacing w:before="0" w:after="0" w:line="554" w:lineRule="auto"/>
        <w:ind w:left="0" w:right="0" w:firstLine="0"/>
        <w:jc w:val="left"/>
      </w:pPr>
      <w:r>
        <w:rPr>
          <w:color w:val="000000"/>
          <w:spacing w:val="0"/>
          <w:w w:val="100"/>
          <w:position w:val="0"/>
          <w:shd w:val="clear" w:color="auto" w:fill="auto"/>
          <w:lang w:val="cs-CZ" w:eastAsia="cs-CZ" w:bidi="cs-CZ"/>
        </w:rPr>
        <w:t>Pracoviště : Kooperativa pojišťovna, a. s., Vienna Insurance Group, Agentura Čechy Západ, Zahradní 3, Plzeň, PSČ 326 00 a</w:t>
      </w:r>
    </w:p>
    <w:p>
      <w:pPr>
        <w:pStyle w:val="Style12"/>
        <w:keepNext/>
        <w:keepLines/>
        <w:widowControl w:val="0"/>
        <w:shd w:val="clear" w:color="auto" w:fill="auto"/>
        <w:bidi w:val="0"/>
        <w:spacing w:before="0" w:after="0" w:line="209" w:lineRule="auto"/>
        <w:ind w:left="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Povodí Ohře, státní podnik</w:t>
      </w:r>
      <w:bookmarkEnd w:id="10"/>
      <w:bookmarkEnd w:id="11"/>
      <w:bookmarkEnd w:id="9"/>
    </w:p>
    <w:p>
      <w:pPr>
        <w:pStyle w:val="Style23"/>
        <w:keepNext w:val="0"/>
        <w:keepLines w:val="0"/>
        <w:widowControl w:val="0"/>
        <w:shd w:val="clear" w:color="auto" w:fill="auto"/>
        <w:bidi w:val="0"/>
        <w:spacing w:before="0" w:after="0" w:line="209" w:lineRule="auto"/>
        <w:ind w:left="0" w:right="0" w:firstLine="0"/>
        <w:jc w:val="left"/>
      </w:pPr>
      <w:bookmarkStart w:id="12" w:name="bookmark12"/>
      <w:r>
        <w:rPr>
          <w:color w:val="000000"/>
          <w:spacing w:val="0"/>
          <w:w w:val="100"/>
          <w:position w:val="0"/>
          <w:shd w:val="clear" w:color="auto" w:fill="auto"/>
          <w:lang w:val="cs-CZ" w:eastAsia="cs-CZ" w:bidi="cs-CZ"/>
        </w:rPr>
        <w:t>se sídlem Chomutov, Bezručova 4219, PSČ 430 03, Česká republika</w:t>
      </w:r>
      <w:bookmarkEnd w:id="12"/>
    </w:p>
    <w:p>
      <w:pPr>
        <w:pStyle w:val="Style23"/>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IČO: 70889988</w:t>
      </w:r>
    </w:p>
    <w:p>
      <w:pPr>
        <w:pStyle w:val="Style9"/>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zapsaná v obchodním rejstříku vedeném u Krajského soudu v Ústí nad Labem sp. zn. A 13052</w:t>
      </w:r>
    </w:p>
    <w:p>
      <w:pPr>
        <w:pStyle w:val="Style9"/>
        <w:keepNext w:val="0"/>
        <w:keepLines w:val="0"/>
        <w:widowControl w:val="0"/>
        <w:shd w:val="clear" w:color="auto" w:fill="auto"/>
        <w:bidi w:val="0"/>
        <w:spacing w:before="0" w:after="80" w:line="293"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 xml:space="preserve">„pojistník") </w:t>
      </w:r>
      <w:r>
        <w:rPr>
          <w:color w:val="000000"/>
          <w:spacing w:val="0"/>
          <w:w w:val="100"/>
          <w:position w:val="0"/>
          <w:shd w:val="clear" w:color="auto" w:fill="auto"/>
          <w:lang w:val="cs-CZ" w:eastAsia="cs-CZ" w:bidi="cs-CZ"/>
        </w:rPr>
        <w:t>zastoupený ve věcech smluvních generálním ředitelem v nepřítomnosti zmocněný zástupce v určené posloupnosti</w:t>
      </w:r>
    </w:p>
    <w:p>
      <w:pPr>
        <w:pStyle w:val="Style9"/>
        <w:keepNext w:val="0"/>
        <w:keepLines w:val="0"/>
        <w:widowControl w:val="0"/>
        <w:shd w:val="clear" w:color="auto" w:fill="auto"/>
        <w:bidi w:val="0"/>
        <w:spacing w:before="0" w:after="200" w:line="293" w:lineRule="auto"/>
        <w:ind w:left="0" w:right="0" w:firstLine="0"/>
        <w:jc w:val="left"/>
      </w:pPr>
      <w:r>
        <w:rPr>
          <w:color w:val="000000"/>
          <w:spacing w:val="0"/>
          <w:w w:val="100"/>
          <w:position w:val="0"/>
          <w:shd w:val="clear" w:color="auto" w:fill="auto"/>
          <w:lang w:val="cs-CZ" w:eastAsia="cs-CZ" w:bidi="cs-CZ"/>
        </w:rPr>
        <w:t>Korespondenční adresa pojistníka je totožná se sídlem pojistníka.</w:t>
      </w:r>
    </w:p>
    <w:p>
      <w:pPr>
        <w:pStyle w:val="Style9"/>
        <w:keepNext w:val="0"/>
        <w:keepLines w:val="0"/>
        <w:widowControl w:val="0"/>
        <w:shd w:val="clear" w:color="auto" w:fill="auto"/>
        <w:bidi w:val="0"/>
        <w:spacing w:before="0" w:after="0" w:line="293" w:lineRule="auto"/>
        <w:ind w:left="0" w:right="0" w:firstLine="0"/>
        <w:jc w:val="left"/>
      </w:pPr>
      <w:r>
        <w:rPr>
          <w:color w:val="000000"/>
          <w:spacing w:val="0"/>
          <w:w w:val="100"/>
          <w:position w:val="0"/>
          <w:shd w:val="clear" w:color="auto" w:fill="auto"/>
          <w:lang w:val="cs-CZ" w:eastAsia="cs-CZ" w:bidi="cs-CZ"/>
        </w:rPr>
        <w:t>uzavírají</w:t>
      </w:r>
    </w:p>
    <w:p>
      <w:pPr>
        <w:pStyle w:val="Style9"/>
        <w:keepNext w:val="0"/>
        <w:keepLines w:val="0"/>
        <w:widowControl w:val="0"/>
        <w:shd w:val="clear" w:color="auto" w:fill="auto"/>
        <w:bidi w:val="0"/>
        <w:spacing w:before="0" w:after="440"/>
        <w:ind w:left="0" w:right="0" w:firstLine="0"/>
        <w:jc w:val="left"/>
      </w:pPr>
      <w:r>
        <w:rPr>
          <w:color w:val="000000"/>
          <w:spacing w:val="0"/>
          <w:w w:val="100"/>
          <w:position w:val="0"/>
          <w:shd w:val="clear" w:color="auto" w:fill="auto"/>
          <w:lang w:val="cs-CZ" w:eastAsia="cs-CZ" w:bidi="cs-CZ"/>
        </w:rPr>
        <w:t>ve smyslu zákona č. 89/2012 Sb., občanského zákoníku, tento dodatek, který spolu s výše uvedenou pojistnou smlouvou, pojistnými podmínkami pojistitele a přílohami, na které se pojistná smlouva (ve znění tohoto dodatku) odvolává, tvoří nedílný celek.</w:t>
      </w:r>
    </w:p>
    <w:p>
      <w:pPr>
        <w:pStyle w:val="Style9"/>
        <w:keepNext w:val="0"/>
        <w:keepLines w:val="0"/>
        <w:widowControl w:val="0"/>
        <w:shd w:val="clear" w:color="auto" w:fill="auto"/>
        <w:bidi w:val="0"/>
        <w:spacing w:before="0" w:after="80" w:line="305" w:lineRule="auto"/>
        <w:ind w:left="0" w:right="0" w:firstLine="0"/>
        <w:jc w:val="left"/>
      </w:pPr>
      <w:r>
        <w:rPr>
          <w:color w:val="000000"/>
          <w:spacing w:val="0"/>
          <w:w w:val="100"/>
          <w:position w:val="0"/>
          <w:shd w:val="clear" w:color="auto" w:fill="auto"/>
          <w:lang w:val="cs-CZ" w:eastAsia="cs-CZ" w:bidi="cs-CZ"/>
        </w:rPr>
        <w:t>Tento dodatek byl sjednán prostřednictvím samostatného zprostředkovatele</w:t>
      </w:r>
    </w:p>
    <w:p>
      <w:pPr>
        <w:pStyle w:val="Style25"/>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RESPECT, a. s.</w:t>
      </w:r>
    </w:p>
    <w:p>
      <w:pPr>
        <w:pStyle w:val="Style27"/>
        <w:keepNext/>
        <w:keepLines/>
        <w:widowControl w:val="0"/>
        <w:shd w:val="clear" w:color="auto" w:fill="auto"/>
        <w:bidi w:val="0"/>
        <w:spacing w:before="0" w:after="0" w:line="276" w:lineRule="auto"/>
        <w:ind w:left="0" w:right="0" w:firstLine="0"/>
        <w:jc w:val="left"/>
      </w:pPr>
      <w:bookmarkStart w:id="13" w:name="bookmark13"/>
      <w:bookmarkStart w:id="14" w:name="bookmark14"/>
      <w:bookmarkStart w:id="15" w:name="bookmark15"/>
      <w:r>
        <w:rPr>
          <w:color w:val="000000"/>
          <w:spacing w:val="0"/>
          <w:w w:val="100"/>
          <w:position w:val="0"/>
          <w:shd w:val="clear" w:color="auto" w:fill="auto"/>
          <w:lang w:val="cs-CZ" w:eastAsia="cs-CZ" w:bidi="cs-CZ"/>
        </w:rPr>
        <w:t>sídlem Praha 4, Pod Krčským lesem 2016 / 22 , Praha 4, PSČ 142 00, Česká republika IČO: 25146351</w:t>
      </w:r>
      <w:bookmarkEnd w:id="13"/>
      <w:bookmarkEnd w:id="14"/>
      <w:bookmarkEnd w:id="15"/>
    </w:p>
    <w:p>
      <w:pPr>
        <w:pStyle w:val="Style9"/>
        <w:keepNext w:val="0"/>
        <w:keepLines w:val="0"/>
        <w:widowControl w:val="0"/>
        <w:shd w:val="clear" w:color="auto" w:fill="auto"/>
        <w:bidi w:val="0"/>
        <w:spacing w:before="0" w:after="0" w:line="276" w:lineRule="auto"/>
        <w:ind w:left="0" w:right="0" w:firstLine="0"/>
        <w:jc w:val="left"/>
      </w:pPr>
      <w:bookmarkStart w:id="16" w:name="bookmark16"/>
      <w:r>
        <w:rPr>
          <w:color w:val="000000"/>
          <w:spacing w:val="0"/>
          <w:w w:val="100"/>
          <w:position w:val="0"/>
          <w:shd w:val="clear" w:color="auto" w:fill="auto"/>
          <w:lang w:val="cs-CZ" w:eastAsia="cs-CZ" w:bidi="cs-CZ"/>
        </w:rPr>
        <w:t>zapsaná v obchodním rejstříku u Městského soudu v Praze sp. zn. B 4845</w:t>
      </w:r>
      <w:bookmarkEnd w:id="16"/>
    </w:p>
    <w:p>
      <w:pPr>
        <w:pStyle w:val="Style9"/>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„samostatný zprostředkovatel ”)</w:t>
      </w:r>
    </w:p>
    <w:p>
      <w:pPr>
        <w:pStyle w:val="Style9"/>
        <w:keepNext w:val="0"/>
        <w:keepLines w:val="0"/>
        <w:widowControl w:val="0"/>
        <w:shd w:val="clear" w:color="auto" w:fill="auto"/>
        <w:bidi w:val="0"/>
        <w:spacing w:before="0" w:after="0" w:line="305" w:lineRule="auto"/>
        <w:ind w:left="0" w:right="0" w:firstLine="0"/>
        <w:jc w:val="left"/>
      </w:pPr>
      <w:r>
        <w:rPr>
          <w:b/>
          <w:bCs/>
          <w:color w:val="000000"/>
          <w:spacing w:val="0"/>
          <w:w w:val="100"/>
          <w:position w:val="0"/>
          <w:shd w:val="clear" w:color="auto" w:fill="auto"/>
          <w:lang w:val="cs-CZ" w:eastAsia="cs-CZ" w:bidi="cs-CZ"/>
        </w:rPr>
        <w:t xml:space="preserve">Korespondenční adresa samostatného zprostředkovatele: </w:t>
      </w:r>
      <w:r>
        <w:rPr>
          <w:color w:val="000000"/>
          <w:spacing w:val="0"/>
          <w:w w:val="100"/>
          <w:position w:val="0"/>
          <w:shd w:val="clear" w:color="auto" w:fill="auto"/>
          <w:lang w:val="cs-CZ" w:eastAsia="cs-CZ" w:bidi="cs-CZ"/>
        </w:rPr>
        <w:t>RESPECT, a. s., Krymská 47, Karlovy Vary, PSČ 360 01, Česká republika</w:t>
      </w:r>
    </w:p>
    <w:p>
      <w:pPr>
        <w:pStyle w:val="Style9"/>
        <w:keepNext w:val="0"/>
        <w:keepLines w:val="0"/>
        <w:widowControl w:val="0"/>
        <w:shd w:val="clear" w:color="auto" w:fill="auto"/>
        <w:bidi w:val="0"/>
        <w:spacing w:before="0" w:after="80" w:line="305" w:lineRule="auto"/>
        <w:ind w:left="0" w:right="0" w:firstLine="0"/>
        <w:jc w:val="left"/>
      </w:pPr>
      <w:r>
        <w:rPr>
          <w:color w:val="000000"/>
          <w:spacing w:val="0"/>
          <w:w w:val="100"/>
          <w:position w:val="0"/>
          <w:shd w:val="clear" w:color="auto" w:fill="auto"/>
          <w:lang w:val="cs-CZ" w:eastAsia="cs-CZ" w:bidi="cs-CZ"/>
        </w:rPr>
        <w:t>Tel:, , fax, e-mail:</w:t>
      </w:r>
    </w:p>
    <w:p>
      <w:pPr>
        <w:pStyle w:val="Style9"/>
        <w:keepNext w:val="0"/>
        <w:keepLines w:val="0"/>
        <w:widowControl w:val="0"/>
        <w:shd w:val="clear" w:color="auto" w:fill="auto"/>
        <w:bidi w:val="0"/>
        <w:spacing w:before="0" w:after="80" w:line="305" w:lineRule="auto"/>
        <w:ind w:left="0" w:right="0" w:firstLine="0"/>
        <w:jc w:val="left"/>
      </w:pPr>
      <w:r>
        <w:rPr>
          <w:color w:val="000000"/>
          <w:spacing w:val="0"/>
          <w:w w:val="100"/>
          <w:position w:val="0"/>
          <w:shd w:val="clear" w:color="auto" w:fill="auto"/>
          <w:lang w:val="cs-CZ" w:eastAsia="cs-CZ" w:bidi="cs-CZ"/>
        </w:rPr>
        <w:t>Sjednání tohoto dodatku zprostředkoval pro pojistníka samostatný zprostředkovatel v postavení pojišťovacího makléře.</w:t>
      </w:r>
      <w:r>
        <w:br w:type="page"/>
      </w:r>
    </w:p>
    <w:p>
      <w:pPr>
        <w:pStyle w:val="Style9"/>
        <w:keepNext w:val="0"/>
        <w:keepLines w:val="0"/>
        <w:widowControl w:val="0"/>
        <w:shd w:val="clear" w:color="auto" w:fill="auto"/>
        <w:bidi w:val="0"/>
        <w:spacing w:before="0" w:after="780" w:line="240" w:lineRule="auto"/>
        <w:ind w:left="0" w:right="0" w:firstLine="0"/>
        <w:jc w:val="left"/>
      </w:pPr>
      <w:r>
        <w:rPr>
          <w:color w:val="000000"/>
          <w:spacing w:val="0"/>
          <w:w w:val="100"/>
          <w:position w:val="0"/>
          <w:shd w:val="clear" w:color="auto" w:fill="auto"/>
          <w:lang w:val="cs-CZ" w:eastAsia="cs-CZ" w:bidi="cs-CZ"/>
        </w:rPr>
        <w:t>Výše uvedená pojistná smlouva (včetně výše uvedených údajů o výše uvedených subjektech nově zní takto:</w:t>
      </w:r>
    </w:p>
    <w:p>
      <w:pPr>
        <w:pStyle w:val="Style27"/>
        <w:keepNext/>
        <w:keepLines/>
        <w:widowControl w:val="0"/>
        <w:shd w:val="clear" w:color="auto" w:fill="auto"/>
        <w:bidi w:val="0"/>
        <w:spacing w:before="0" w:after="0" w:line="240" w:lineRule="auto"/>
        <w:ind w:left="0" w:right="0" w:firstLine="0"/>
        <w:jc w:val="center"/>
      </w:pPr>
      <w:bookmarkStart w:id="17" w:name="bookmark17"/>
      <w:bookmarkStart w:id="18" w:name="bookmark18"/>
      <w:bookmarkStart w:id="19" w:name="bookmark19"/>
      <w:r>
        <w:rPr>
          <w:color w:val="000000"/>
          <w:spacing w:val="0"/>
          <w:w w:val="100"/>
          <w:position w:val="0"/>
          <w:shd w:val="clear" w:color="auto" w:fill="auto"/>
          <w:lang w:val="cs-CZ" w:eastAsia="cs-CZ" w:bidi="cs-CZ"/>
        </w:rPr>
        <w:t>Článek I.</w:t>
      </w:r>
      <w:bookmarkEnd w:id="17"/>
      <w:bookmarkEnd w:id="18"/>
      <w:bookmarkEnd w:id="19"/>
    </w:p>
    <w:p>
      <w:pPr>
        <w:pStyle w:val="Style27"/>
        <w:keepNext/>
        <w:keepLines/>
        <w:widowControl w:val="0"/>
        <w:shd w:val="clear" w:color="auto" w:fill="auto"/>
        <w:bidi w:val="0"/>
        <w:spacing w:before="0" w:after="80" w:line="240" w:lineRule="auto"/>
        <w:ind w:left="0" w:right="0" w:firstLine="0"/>
        <w:jc w:val="center"/>
      </w:pPr>
      <w:bookmarkStart w:id="20" w:name="bookmark20"/>
      <w:bookmarkStart w:id="21" w:name="bookmark21"/>
      <w:bookmarkStart w:id="22" w:name="bookmark22"/>
      <w:r>
        <w:rPr>
          <w:color w:val="000000"/>
          <w:spacing w:val="0"/>
          <w:w w:val="100"/>
          <w:position w:val="0"/>
          <w:shd w:val="clear" w:color="auto" w:fill="auto"/>
          <w:lang w:val="cs-CZ" w:eastAsia="cs-CZ" w:bidi="cs-CZ"/>
        </w:rPr>
        <w:t>Úvodní ustanovení</w:t>
      </w:r>
      <w:bookmarkEnd w:id="20"/>
      <w:bookmarkEnd w:id="21"/>
      <w:bookmarkEnd w:id="22"/>
    </w:p>
    <w:p>
      <w:pPr>
        <w:pStyle w:val="Style9"/>
        <w:keepNext w:val="0"/>
        <w:keepLines w:val="0"/>
        <w:widowControl w:val="0"/>
        <w:numPr>
          <w:ilvl w:val="0"/>
          <w:numId w:val="1"/>
        </w:numPr>
        <w:shd w:val="clear" w:color="auto" w:fill="auto"/>
        <w:tabs>
          <w:tab w:pos="401" w:val="left"/>
        </w:tabs>
        <w:bidi w:val="0"/>
        <w:spacing w:before="0" w:after="80" w:line="240" w:lineRule="auto"/>
        <w:ind w:left="0" w:right="0" w:firstLine="0"/>
        <w:jc w:val="left"/>
      </w:pPr>
      <w:bookmarkStart w:id="23" w:name="bookmark23"/>
      <w:bookmarkEnd w:id="23"/>
      <w:r>
        <w:rPr>
          <w:color w:val="000000"/>
          <w:spacing w:val="0"/>
          <w:w w:val="100"/>
          <w:position w:val="0"/>
          <w:shd w:val="clear" w:color="auto" w:fill="auto"/>
          <w:lang w:val="cs-CZ" w:eastAsia="cs-CZ" w:bidi="cs-CZ"/>
        </w:rPr>
        <w:t>Pojištěným je pojistník.</w:t>
      </w:r>
    </w:p>
    <w:p>
      <w:pPr>
        <w:pStyle w:val="Style9"/>
        <w:keepNext w:val="0"/>
        <w:keepLines w:val="0"/>
        <w:widowControl w:val="0"/>
        <w:numPr>
          <w:ilvl w:val="0"/>
          <w:numId w:val="1"/>
        </w:numPr>
        <w:shd w:val="clear" w:color="auto" w:fill="auto"/>
        <w:tabs>
          <w:tab w:pos="401" w:val="left"/>
        </w:tabs>
        <w:bidi w:val="0"/>
        <w:spacing w:before="0" w:after="180" w:line="262" w:lineRule="auto"/>
        <w:ind w:left="420" w:right="0" w:hanging="420"/>
        <w:jc w:val="left"/>
      </w:pPr>
      <w:bookmarkStart w:id="24" w:name="bookmark24"/>
      <w:bookmarkEnd w:id="24"/>
      <w:r>
        <w:rPr>
          <w:color w:val="000000"/>
          <w:spacing w:val="0"/>
          <w:w w:val="100"/>
          <w:position w:val="0"/>
          <w:shd w:val="clear" w:color="auto" w:fill="auto"/>
          <w:lang w:val="cs-CZ" w:eastAsia="cs-CZ" w:bidi="cs-CZ"/>
        </w:rPr>
        <w:t>K tomuto pojištěni se vztahuji: Všeobecné pojistné podmínky (dále jen „VPP"), Zvláštní pojistné podmínky (dále jen „ZPP") a Dodatkové pojistné podmínky (dále jen „DPP").</w:t>
      </w:r>
    </w:p>
    <w:p>
      <w:pPr>
        <w:pStyle w:val="Style31"/>
        <w:keepNext/>
        <w:keepLines/>
        <w:widowControl w:val="0"/>
        <w:shd w:val="clear" w:color="auto" w:fill="auto"/>
        <w:bidi w:val="0"/>
        <w:spacing w:before="0" w:after="0" w:line="276" w:lineRule="auto"/>
        <w:ind w:left="0" w:right="0" w:firstLine="420"/>
        <w:jc w:val="both"/>
      </w:pPr>
      <w:bookmarkStart w:id="25" w:name="bookmark25"/>
      <w:bookmarkStart w:id="26" w:name="bookmark26"/>
      <w:bookmarkStart w:id="27" w:name="bookmark27"/>
      <w:r>
        <w:rPr>
          <w:color w:val="000000"/>
          <w:spacing w:val="0"/>
          <w:w w:val="100"/>
          <w:position w:val="0"/>
          <w:shd w:val="clear" w:color="auto" w:fill="auto"/>
          <w:lang w:val="cs-CZ" w:eastAsia="cs-CZ" w:bidi="cs-CZ"/>
        </w:rPr>
        <w:t>Všeobecné pojistné podmínky</w:t>
      </w:r>
      <w:bookmarkEnd w:id="25"/>
      <w:bookmarkEnd w:id="26"/>
      <w:bookmarkEnd w:id="27"/>
    </w:p>
    <w:p>
      <w:pPr>
        <w:pStyle w:val="Style9"/>
        <w:keepNext w:val="0"/>
        <w:keepLines w:val="0"/>
        <w:widowControl w:val="0"/>
        <w:shd w:val="clear" w:color="auto" w:fill="auto"/>
        <w:bidi w:val="0"/>
        <w:spacing w:before="0" w:after="180" w:line="276" w:lineRule="auto"/>
        <w:ind w:left="0" w:right="0" w:firstLine="420"/>
        <w:jc w:val="both"/>
      </w:pPr>
      <w:r>
        <w:rPr>
          <w:color w:val="000000"/>
          <w:spacing w:val="0"/>
          <w:w w:val="100"/>
          <w:position w:val="0"/>
          <w:shd w:val="clear" w:color="auto" w:fill="auto"/>
          <w:lang w:val="cs-CZ" w:eastAsia="cs-CZ" w:bidi="cs-CZ"/>
        </w:rPr>
        <w:t>VPP P-100/14 - pro pojištění majetku a odpovědností</w:t>
      </w:r>
    </w:p>
    <w:p>
      <w:pPr>
        <w:pStyle w:val="Style31"/>
        <w:keepNext/>
        <w:keepLines/>
        <w:widowControl w:val="0"/>
        <w:shd w:val="clear" w:color="auto" w:fill="auto"/>
        <w:bidi w:val="0"/>
        <w:spacing w:before="0" w:after="0" w:line="276" w:lineRule="auto"/>
        <w:ind w:left="0" w:right="0" w:firstLine="420"/>
        <w:jc w:val="both"/>
      </w:pPr>
      <w:bookmarkStart w:id="28" w:name="bookmark28"/>
      <w:bookmarkStart w:id="29" w:name="bookmark29"/>
      <w:bookmarkStart w:id="30" w:name="bookmark30"/>
      <w:r>
        <w:rPr>
          <w:color w:val="000000"/>
          <w:spacing w:val="0"/>
          <w:w w:val="100"/>
          <w:position w:val="0"/>
          <w:shd w:val="clear" w:color="auto" w:fill="auto"/>
          <w:lang w:val="cs-CZ" w:eastAsia="cs-CZ" w:bidi="cs-CZ"/>
        </w:rPr>
        <w:t>Zvláštní pojistné podmínky</w:t>
      </w:r>
      <w:bookmarkEnd w:id="28"/>
      <w:bookmarkEnd w:id="29"/>
      <w:bookmarkEnd w:id="30"/>
    </w:p>
    <w:p>
      <w:pPr>
        <w:pStyle w:val="Style9"/>
        <w:keepNext w:val="0"/>
        <w:keepLines w:val="0"/>
        <w:widowControl w:val="0"/>
        <w:shd w:val="clear" w:color="auto" w:fill="auto"/>
        <w:bidi w:val="0"/>
        <w:spacing w:before="0" w:after="0" w:line="276" w:lineRule="auto"/>
        <w:ind w:left="0" w:right="0" w:firstLine="420"/>
        <w:jc w:val="both"/>
      </w:pPr>
      <w:r>
        <w:rPr>
          <w:color w:val="000000"/>
          <w:spacing w:val="0"/>
          <w:w w:val="100"/>
          <w:position w:val="0"/>
          <w:shd w:val="clear" w:color="auto" w:fill="auto"/>
          <w:lang w:val="cs-CZ" w:eastAsia="cs-CZ" w:bidi="cs-CZ"/>
        </w:rPr>
        <w:t>ZPP P-150/14 - pro živelní pojištění</w:t>
      </w:r>
    </w:p>
    <w:p>
      <w:pPr>
        <w:pStyle w:val="Style9"/>
        <w:keepNext w:val="0"/>
        <w:keepLines w:val="0"/>
        <w:widowControl w:val="0"/>
        <w:shd w:val="clear" w:color="auto" w:fill="auto"/>
        <w:bidi w:val="0"/>
        <w:spacing w:before="0" w:after="0" w:line="276" w:lineRule="auto"/>
        <w:ind w:left="0" w:right="0" w:firstLine="420"/>
        <w:jc w:val="both"/>
      </w:pPr>
      <w:r>
        <w:rPr>
          <w:color w:val="000000"/>
          <w:spacing w:val="0"/>
          <w:w w:val="100"/>
          <w:position w:val="0"/>
          <w:shd w:val="clear" w:color="auto" w:fill="auto"/>
          <w:lang w:val="cs-CZ" w:eastAsia="cs-CZ" w:bidi="cs-CZ"/>
        </w:rPr>
        <w:t>ZPP P-200/14 - pro pojištění pro případ odcizení</w:t>
      </w:r>
    </w:p>
    <w:p>
      <w:pPr>
        <w:pStyle w:val="Style9"/>
        <w:keepNext w:val="0"/>
        <w:keepLines w:val="0"/>
        <w:widowControl w:val="0"/>
        <w:shd w:val="clear" w:color="auto" w:fill="auto"/>
        <w:bidi w:val="0"/>
        <w:spacing w:before="0" w:after="0" w:line="276" w:lineRule="auto"/>
        <w:ind w:left="0" w:right="0" w:firstLine="420"/>
        <w:jc w:val="both"/>
      </w:pPr>
      <w:r>
        <w:rPr>
          <w:color w:val="000000"/>
          <w:spacing w:val="0"/>
          <w:w w:val="100"/>
          <w:position w:val="0"/>
          <w:shd w:val="clear" w:color="auto" w:fill="auto"/>
          <w:lang w:val="cs-CZ" w:eastAsia="cs-CZ" w:bidi="cs-CZ"/>
        </w:rPr>
        <w:t>ZPP P-320/14 - pro pojištění elektronických zařízení</w:t>
      </w:r>
    </w:p>
    <w:p>
      <w:pPr>
        <w:pStyle w:val="Style9"/>
        <w:keepNext w:val="0"/>
        <w:keepLines w:val="0"/>
        <w:widowControl w:val="0"/>
        <w:shd w:val="clear" w:color="auto" w:fill="auto"/>
        <w:bidi w:val="0"/>
        <w:spacing w:before="0" w:after="280" w:line="276" w:lineRule="auto"/>
        <w:ind w:left="0" w:right="0" w:firstLine="420"/>
        <w:jc w:val="both"/>
      </w:pPr>
      <w:r>
        <w:rPr>
          <w:color w:val="000000"/>
          <w:spacing w:val="0"/>
          <w:w w:val="100"/>
          <w:position w:val="0"/>
          <w:shd w:val="clear" w:color="auto" w:fill="auto"/>
          <w:lang w:val="cs-CZ" w:eastAsia="cs-CZ" w:bidi="cs-CZ"/>
        </w:rPr>
        <w:t>ZPP P-600/14 - pro pojištění odpovědnosti za újmu</w:t>
      </w:r>
    </w:p>
    <w:p>
      <w:pPr>
        <w:pStyle w:val="Style31"/>
        <w:keepNext/>
        <w:keepLines/>
        <w:widowControl w:val="0"/>
        <w:shd w:val="clear" w:color="auto" w:fill="auto"/>
        <w:bidi w:val="0"/>
        <w:spacing w:before="0" w:after="0" w:line="276" w:lineRule="auto"/>
        <w:ind w:left="0" w:right="0" w:firstLine="420"/>
        <w:jc w:val="both"/>
      </w:pPr>
      <w:bookmarkStart w:id="31" w:name="bookmark31"/>
      <w:bookmarkStart w:id="32" w:name="bookmark32"/>
      <w:bookmarkStart w:id="33" w:name="bookmark33"/>
      <w:r>
        <w:rPr>
          <w:color w:val="000000"/>
          <w:spacing w:val="0"/>
          <w:w w:val="100"/>
          <w:position w:val="0"/>
          <w:shd w:val="clear" w:color="auto" w:fill="auto"/>
          <w:lang w:val="cs-CZ" w:eastAsia="cs-CZ" w:bidi="cs-CZ"/>
        </w:rPr>
        <w:t>Dodatkové pojistné podmínky</w:t>
      </w:r>
      <w:bookmarkEnd w:id="31"/>
      <w:bookmarkEnd w:id="32"/>
      <w:bookmarkEnd w:id="33"/>
    </w:p>
    <w:p>
      <w:pPr>
        <w:pStyle w:val="Style9"/>
        <w:keepNext w:val="0"/>
        <w:keepLines w:val="0"/>
        <w:widowControl w:val="0"/>
        <w:shd w:val="clear" w:color="auto" w:fill="auto"/>
        <w:bidi w:val="0"/>
        <w:spacing w:before="0" w:after="80" w:line="276" w:lineRule="auto"/>
        <w:ind w:left="0" w:right="0" w:firstLine="420"/>
        <w:jc w:val="both"/>
      </w:pPr>
      <w:r>
        <w:rPr>
          <w:color w:val="000000"/>
          <w:spacing w:val="0"/>
          <w:w w:val="100"/>
          <w:position w:val="0"/>
          <w:shd w:val="clear" w:color="auto" w:fill="auto"/>
          <w:lang w:val="cs-CZ" w:eastAsia="cs-CZ" w:bidi="cs-CZ"/>
        </w:rPr>
        <w:t>DPP P-520/14 - pro pojištěni hospodářských rizik, sestávající se z následujících doložek:</w:t>
      </w:r>
    </w:p>
    <w:p>
      <w:pPr>
        <w:pStyle w:val="Style31"/>
        <w:keepNext/>
        <w:keepLines/>
        <w:widowControl w:val="0"/>
        <w:shd w:val="clear" w:color="auto" w:fill="auto"/>
        <w:bidi w:val="0"/>
        <w:spacing w:before="0" w:after="0" w:line="276" w:lineRule="auto"/>
        <w:ind w:left="0" w:right="0" w:firstLine="420"/>
        <w:jc w:val="both"/>
      </w:pPr>
      <w:bookmarkStart w:id="34" w:name="bookmark34"/>
      <w:bookmarkStart w:id="35" w:name="bookmark35"/>
      <w:bookmarkStart w:id="36" w:name="bookmark36"/>
      <w:r>
        <w:rPr>
          <w:color w:val="000000"/>
          <w:spacing w:val="0"/>
          <w:w w:val="100"/>
          <w:position w:val="0"/>
          <w:shd w:val="clear" w:color="auto" w:fill="auto"/>
          <w:lang w:val="cs-CZ" w:eastAsia="cs-CZ" w:bidi="cs-CZ"/>
        </w:rPr>
        <w:t>Živel</w:t>
      </w:r>
      <w:bookmarkEnd w:id="34"/>
      <w:bookmarkEnd w:id="35"/>
      <w:bookmarkEnd w:id="36"/>
    </w:p>
    <w:p>
      <w:pPr>
        <w:pStyle w:val="Style9"/>
        <w:keepNext w:val="0"/>
        <w:keepLines w:val="0"/>
        <w:widowControl w:val="0"/>
        <w:shd w:val="clear" w:color="auto" w:fill="auto"/>
        <w:bidi w:val="0"/>
        <w:spacing w:before="0" w:after="0" w:line="276" w:lineRule="auto"/>
        <w:ind w:left="0" w:right="0" w:firstLine="420"/>
        <w:jc w:val="both"/>
      </w:pPr>
      <w:r>
        <w:rPr>
          <w:color w:val="000000"/>
          <w:spacing w:val="0"/>
          <w:w w:val="100"/>
          <w:position w:val="0"/>
          <w:shd w:val="clear" w:color="auto" w:fill="auto"/>
          <w:lang w:val="cs-CZ" w:eastAsia="cs-CZ" w:bidi="cs-CZ"/>
        </w:rPr>
        <w:t>DZ113 - Atmosférické srážky- Rozšíření rozsahu pojištění (1401)</w:t>
      </w:r>
    </w:p>
    <w:p>
      <w:pPr>
        <w:pStyle w:val="Style9"/>
        <w:keepNext w:val="0"/>
        <w:keepLines w:val="0"/>
        <w:widowControl w:val="0"/>
        <w:shd w:val="clear" w:color="auto" w:fill="auto"/>
        <w:bidi w:val="0"/>
        <w:spacing w:before="0" w:after="80" w:line="276" w:lineRule="auto"/>
        <w:ind w:left="0" w:right="0" w:firstLine="420"/>
        <w:jc w:val="both"/>
      </w:pPr>
      <w:r>
        <w:rPr>
          <w:color w:val="000000"/>
          <w:spacing w:val="0"/>
          <w:w w:val="100"/>
          <w:position w:val="0"/>
          <w:shd w:val="clear" w:color="auto" w:fill="auto"/>
          <w:lang w:val="cs-CZ" w:eastAsia="cs-CZ" w:bidi="cs-CZ"/>
        </w:rPr>
        <w:t>DZ114 - Nepřímý úder blesku - rozšíření rozsahu pojištění (1404)</w:t>
      </w:r>
    </w:p>
    <w:p>
      <w:pPr>
        <w:pStyle w:val="Style9"/>
        <w:keepNext w:val="0"/>
        <w:keepLines w:val="0"/>
        <w:widowControl w:val="0"/>
        <w:shd w:val="clear" w:color="auto" w:fill="auto"/>
        <w:bidi w:val="0"/>
        <w:spacing w:before="0" w:after="0" w:line="276" w:lineRule="auto"/>
        <w:ind w:left="0" w:right="0" w:firstLine="420"/>
        <w:jc w:val="both"/>
      </w:pPr>
      <w:r>
        <w:rPr>
          <w:b/>
          <w:bCs/>
          <w:color w:val="000000"/>
          <w:spacing w:val="0"/>
          <w:w w:val="100"/>
          <w:position w:val="0"/>
          <w:shd w:val="clear" w:color="auto" w:fill="auto"/>
          <w:lang w:val="cs-CZ" w:eastAsia="cs-CZ" w:bidi="cs-CZ"/>
        </w:rPr>
        <w:t>Zabezpečení</w:t>
      </w:r>
    </w:p>
    <w:p>
      <w:pPr>
        <w:pStyle w:val="Style9"/>
        <w:keepNext w:val="0"/>
        <w:keepLines w:val="0"/>
        <w:widowControl w:val="0"/>
        <w:shd w:val="clear" w:color="auto" w:fill="auto"/>
        <w:bidi w:val="0"/>
        <w:spacing w:before="0" w:after="0" w:line="276" w:lineRule="auto"/>
        <w:ind w:left="1260" w:right="0" w:hanging="840"/>
        <w:jc w:val="left"/>
      </w:pPr>
      <w:r>
        <w:rPr>
          <w:color w:val="000000"/>
          <w:spacing w:val="0"/>
          <w:w w:val="100"/>
          <w:position w:val="0"/>
          <w:shd w:val="clear" w:color="auto" w:fill="auto"/>
          <w:lang w:val="cs-CZ" w:eastAsia="cs-CZ" w:bidi="cs-CZ"/>
        </w:rPr>
        <w:t>DOZ101 - Předepsané způsoby zabezpečení pojištěných věcí (netýká se finančních prostředků a cenných předmětů) (1612)</w:t>
      </w:r>
    </w:p>
    <w:p>
      <w:pPr>
        <w:pStyle w:val="Style9"/>
        <w:keepNext w:val="0"/>
        <w:keepLines w:val="0"/>
        <w:widowControl w:val="0"/>
        <w:shd w:val="clear" w:color="auto" w:fill="auto"/>
        <w:bidi w:val="0"/>
        <w:spacing w:before="0" w:after="80" w:line="276" w:lineRule="auto"/>
        <w:ind w:left="0" w:right="0" w:firstLine="420"/>
        <w:jc w:val="both"/>
      </w:pPr>
      <w:r>
        <w:rPr>
          <w:color w:val="000000"/>
          <w:spacing w:val="0"/>
          <w:w w:val="100"/>
          <w:position w:val="0"/>
          <w:shd w:val="clear" w:color="auto" w:fill="auto"/>
          <w:lang w:val="cs-CZ" w:eastAsia="cs-CZ" w:bidi="cs-CZ"/>
        </w:rPr>
        <w:t>DOZ105 - Předepsané způsoby zabezpečení - Výklad pojmů (2001)</w:t>
      </w:r>
    </w:p>
    <w:p>
      <w:pPr>
        <w:pStyle w:val="Style9"/>
        <w:keepNext w:val="0"/>
        <w:keepLines w:val="0"/>
        <w:widowControl w:val="0"/>
        <w:shd w:val="clear" w:color="auto" w:fill="auto"/>
        <w:bidi w:val="0"/>
        <w:spacing w:before="0" w:after="0" w:line="276" w:lineRule="auto"/>
        <w:ind w:left="0" w:right="0" w:firstLine="420"/>
        <w:jc w:val="both"/>
      </w:pPr>
      <w:r>
        <w:rPr>
          <w:b/>
          <w:bCs/>
          <w:color w:val="000000"/>
          <w:spacing w:val="0"/>
          <w:w w:val="100"/>
          <w:position w:val="0"/>
          <w:shd w:val="clear" w:color="auto" w:fill="auto"/>
          <w:lang w:val="cs-CZ" w:eastAsia="cs-CZ" w:bidi="cs-CZ"/>
        </w:rPr>
        <w:t>Odpovědnost za újmu</w:t>
      </w:r>
    </w:p>
    <w:p>
      <w:pPr>
        <w:pStyle w:val="Style9"/>
        <w:keepNext w:val="0"/>
        <w:keepLines w:val="0"/>
        <w:widowControl w:val="0"/>
        <w:shd w:val="clear" w:color="auto" w:fill="auto"/>
        <w:bidi w:val="0"/>
        <w:spacing w:before="0" w:after="0" w:line="276" w:lineRule="auto"/>
        <w:ind w:left="1440" w:right="0" w:hanging="1020"/>
        <w:jc w:val="left"/>
      </w:pPr>
      <w:r>
        <w:rPr>
          <w:color w:val="000000"/>
          <w:spacing w:val="0"/>
          <w:w w:val="100"/>
          <w:position w:val="0"/>
          <w:shd w:val="clear" w:color="auto" w:fill="auto"/>
          <w:lang w:val="cs-CZ" w:eastAsia="cs-CZ" w:bidi="cs-CZ"/>
        </w:rPr>
        <w:t>DODP102 - Pojištění obecné odpovědnosti za újmu a pojištění odpovědnosti za újmu způsobenou vadou výrobku a vadou práce po předání - Základní rozsah pojištění (1612)</w:t>
      </w:r>
    </w:p>
    <w:p>
      <w:pPr>
        <w:pStyle w:val="Style9"/>
        <w:keepNext w:val="0"/>
        <w:keepLines w:val="0"/>
        <w:widowControl w:val="0"/>
        <w:shd w:val="clear" w:color="auto" w:fill="auto"/>
        <w:bidi w:val="0"/>
        <w:spacing w:before="0" w:after="0" w:line="276" w:lineRule="auto"/>
        <w:ind w:left="0" w:right="0" w:firstLine="420"/>
        <w:jc w:val="both"/>
      </w:pPr>
      <w:r>
        <w:rPr>
          <w:color w:val="000000"/>
          <w:spacing w:val="0"/>
          <w:w w:val="100"/>
          <w:position w:val="0"/>
          <w:shd w:val="clear" w:color="auto" w:fill="auto"/>
          <w:lang w:val="cs-CZ" w:eastAsia="cs-CZ" w:bidi="cs-CZ"/>
        </w:rPr>
        <w:t>DODP103 - Cizí věci převzaté - Rozšíření rozsahu pojištění (1606)</w:t>
      </w:r>
    </w:p>
    <w:p>
      <w:pPr>
        <w:pStyle w:val="Style9"/>
        <w:keepNext w:val="0"/>
        <w:keepLines w:val="0"/>
        <w:widowControl w:val="0"/>
        <w:shd w:val="clear" w:color="auto" w:fill="auto"/>
        <w:bidi w:val="0"/>
        <w:spacing w:before="0" w:after="0" w:line="276" w:lineRule="auto"/>
        <w:ind w:left="0" w:right="0" w:firstLine="420"/>
        <w:jc w:val="both"/>
      </w:pPr>
      <w:r>
        <w:rPr>
          <w:color w:val="000000"/>
          <w:spacing w:val="0"/>
          <w:w w:val="100"/>
          <w:position w:val="0"/>
          <w:shd w:val="clear" w:color="auto" w:fill="auto"/>
          <w:lang w:val="cs-CZ" w:eastAsia="cs-CZ" w:bidi="cs-CZ"/>
        </w:rPr>
        <w:t>DODP104 - Cizí věci užívané - Rozšíření rozsahu pojištění (1401)</w:t>
      </w:r>
    </w:p>
    <w:p>
      <w:pPr>
        <w:pStyle w:val="Style9"/>
        <w:keepNext w:val="0"/>
        <w:keepLines w:val="0"/>
        <w:widowControl w:val="0"/>
        <w:shd w:val="clear" w:color="auto" w:fill="auto"/>
        <w:bidi w:val="0"/>
        <w:spacing w:before="0" w:after="0" w:line="276" w:lineRule="auto"/>
        <w:ind w:left="420" w:right="0" w:firstLine="0"/>
        <w:jc w:val="left"/>
      </w:pPr>
      <w:r>
        <w:rPr>
          <w:color w:val="000000"/>
          <w:spacing w:val="0"/>
          <w:w w:val="100"/>
          <w:position w:val="0"/>
          <w:shd w:val="clear" w:color="auto" w:fill="auto"/>
          <w:lang w:val="cs-CZ" w:eastAsia="cs-CZ" w:bidi="cs-CZ"/>
        </w:rPr>
        <w:t>DODP105 - Náklady zdravotní pojišťovny a regresy dávek nemocenského pojištění - Rozšíření rozsahu pojištění (1401) DODP109 - Provoz pracovních strojů - Rozšíření rozsahu pojištění (2406)</w:t>
      </w:r>
    </w:p>
    <w:p>
      <w:pPr>
        <w:pStyle w:val="Style9"/>
        <w:keepNext w:val="0"/>
        <w:keepLines w:val="0"/>
        <w:widowControl w:val="0"/>
        <w:shd w:val="clear" w:color="auto" w:fill="auto"/>
        <w:bidi w:val="0"/>
        <w:spacing w:before="0" w:after="80" w:line="276" w:lineRule="auto"/>
        <w:ind w:left="1440" w:right="0" w:hanging="1020"/>
        <w:jc w:val="left"/>
      </w:pPr>
      <w:r>
        <w:rPr>
          <w:color w:val="000000"/>
          <w:spacing w:val="0"/>
          <w:w w:val="100"/>
          <w:position w:val="0"/>
          <w:shd w:val="clear" w:color="auto" w:fill="auto"/>
          <w:lang w:val="cs-CZ" w:eastAsia="cs-CZ" w:bidi="cs-CZ"/>
        </w:rPr>
        <w:t>DODP120 - Odpovědnost obchodní korporace za újmu členům svých orgánů v souvislosti s výkonem jejich funkce - Rozšíření rozsahu pojištění (1412)</w:t>
      </w:r>
    </w:p>
    <w:p>
      <w:pPr>
        <w:pStyle w:val="Style31"/>
        <w:keepNext/>
        <w:keepLines/>
        <w:widowControl w:val="0"/>
        <w:shd w:val="clear" w:color="auto" w:fill="auto"/>
        <w:bidi w:val="0"/>
        <w:spacing w:before="0" w:after="0" w:line="266" w:lineRule="auto"/>
        <w:ind w:left="0" w:right="0" w:firstLine="420"/>
        <w:jc w:val="both"/>
      </w:pPr>
      <w:bookmarkStart w:id="37" w:name="bookmark37"/>
      <w:bookmarkStart w:id="38" w:name="bookmark38"/>
      <w:bookmarkStart w:id="39" w:name="bookmark39"/>
      <w:r>
        <w:rPr>
          <w:color w:val="000000"/>
          <w:spacing w:val="0"/>
          <w:w w:val="100"/>
          <w:position w:val="0"/>
          <w:shd w:val="clear" w:color="auto" w:fill="auto"/>
          <w:lang w:val="cs-CZ" w:eastAsia="cs-CZ" w:bidi="cs-CZ"/>
        </w:rPr>
        <w:t>Obecné</w:t>
      </w:r>
      <w:bookmarkEnd w:id="37"/>
      <w:bookmarkEnd w:id="38"/>
      <w:bookmarkEnd w:id="39"/>
    </w:p>
    <w:p>
      <w:pPr>
        <w:pStyle w:val="Style9"/>
        <w:keepNext w:val="0"/>
        <w:keepLines w:val="0"/>
        <w:widowControl w:val="0"/>
        <w:shd w:val="clear" w:color="auto" w:fill="auto"/>
        <w:bidi w:val="0"/>
        <w:spacing w:before="0" w:after="0" w:line="266" w:lineRule="auto"/>
        <w:ind w:left="0" w:right="0" w:firstLine="420"/>
        <w:jc w:val="both"/>
      </w:pPr>
      <w:r>
        <w:rPr>
          <w:color w:val="000000"/>
          <w:spacing w:val="0"/>
          <w:w w:val="100"/>
          <w:position w:val="0"/>
          <w:shd w:val="clear" w:color="auto" w:fill="auto"/>
          <w:lang w:val="cs-CZ" w:eastAsia="cs-CZ" w:bidi="cs-CZ"/>
        </w:rPr>
        <w:t>DOB101 - Elektronická rizika - Výluka (2001)</w:t>
      </w:r>
    </w:p>
    <w:p>
      <w:pPr>
        <w:pStyle w:val="Style9"/>
        <w:keepNext w:val="0"/>
        <w:keepLines w:val="0"/>
        <w:widowControl w:val="0"/>
        <w:shd w:val="clear" w:color="auto" w:fill="auto"/>
        <w:bidi w:val="0"/>
        <w:spacing w:before="0" w:after="0" w:line="266" w:lineRule="auto"/>
        <w:ind w:left="0" w:right="0" w:firstLine="420"/>
        <w:jc w:val="both"/>
      </w:pPr>
      <w:r>
        <w:rPr>
          <w:color w:val="000000"/>
          <w:spacing w:val="0"/>
          <w:w w:val="100"/>
          <w:position w:val="0"/>
          <w:shd w:val="clear" w:color="auto" w:fill="auto"/>
          <w:lang w:val="cs-CZ" w:eastAsia="cs-CZ" w:bidi="cs-CZ"/>
        </w:rPr>
        <w:t>DOB103 - Výklad pojmů pro účely pojistné smlouvy (2001)</w:t>
      </w:r>
    </w:p>
    <w:p>
      <w:pPr>
        <w:pStyle w:val="Style9"/>
        <w:keepNext w:val="0"/>
        <w:keepLines w:val="0"/>
        <w:widowControl w:val="0"/>
        <w:shd w:val="clear" w:color="auto" w:fill="auto"/>
        <w:bidi w:val="0"/>
        <w:spacing w:before="0" w:after="0" w:line="266" w:lineRule="auto"/>
        <w:ind w:left="0" w:right="0" w:firstLine="420"/>
        <w:jc w:val="both"/>
      </w:pPr>
      <w:r>
        <w:rPr>
          <w:color w:val="000000"/>
          <w:spacing w:val="0"/>
          <w:w w:val="100"/>
          <w:position w:val="0"/>
          <w:shd w:val="clear" w:color="auto" w:fill="auto"/>
          <w:lang w:val="cs-CZ" w:eastAsia="cs-CZ" w:bidi="cs-CZ"/>
        </w:rPr>
        <w:t>DOB104 - Demolice, suť - Rozšíření pojistného plnění (1401)</w:t>
      </w:r>
    </w:p>
    <w:p>
      <w:pPr>
        <w:pStyle w:val="Style9"/>
        <w:keepNext w:val="0"/>
        <w:keepLines w:val="0"/>
        <w:widowControl w:val="0"/>
        <w:shd w:val="clear" w:color="auto" w:fill="auto"/>
        <w:bidi w:val="0"/>
        <w:spacing w:before="0" w:after="0" w:line="266" w:lineRule="auto"/>
        <w:ind w:left="0" w:right="0" w:firstLine="420"/>
        <w:jc w:val="both"/>
      </w:pPr>
      <w:r>
        <w:rPr>
          <w:color w:val="000000"/>
          <w:spacing w:val="0"/>
          <w:w w:val="100"/>
          <w:position w:val="0"/>
          <w:shd w:val="clear" w:color="auto" w:fill="auto"/>
          <w:lang w:val="cs-CZ" w:eastAsia="cs-CZ" w:bidi="cs-CZ"/>
        </w:rPr>
        <w:t>DOB105 - Tíha sněhu, námraza - Vymezení podmínek (1401)</w:t>
      </w:r>
    </w:p>
    <w:p>
      <w:pPr>
        <w:pStyle w:val="Style9"/>
        <w:keepNext w:val="0"/>
        <w:keepLines w:val="0"/>
        <w:widowControl w:val="0"/>
        <w:shd w:val="clear" w:color="auto" w:fill="auto"/>
        <w:bidi w:val="0"/>
        <w:spacing w:before="0" w:after="80" w:line="266" w:lineRule="auto"/>
        <w:ind w:left="420" w:right="0" w:firstLine="0"/>
        <w:jc w:val="left"/>
      </w:pPr>
      <w:r>
        <w:rPr>
          <w:color w:val="000000"/>
          <w:spacing w:val="0"/>
          <w:w w:val="100"/>
          <w:position w:val="0"/>
          <w:shd w:val="clear" w:color="auto" w:fill="auto"/>
          <w:lang w:val="cs-CZ" w:eastAsia="cs-CZ" w:bidi="cs-CZ"/>
        </w:rPr>
        <w:t>DOB107 - Definice jedné pojistné události pro pojistná nebezpečí povodeň, záplava, vichřice, krupobití (1401) DOB108 - Dočasné přemístění pojištěných věcí movitého charakteru - Rozšíření pojistného plnění (1401)</w:t>
      </w:r>
    </w:p>
    <w:p>
      <w:pPr>
        <w:pStyle w:val="Style9"/>
        <w:keepNext w:val="0"/>
        <w:keepLines w:val="0"/>
        <w:widowControl w:val="0"/>
        <w:shd w:val="clear" w:color="auto" w:fill="auto"/>
        <w:bidi w:val="0"/>
        <w:spacing w:before="0" w:after="500" w:line="276" w:lineRule="auto"/>
        <w:ind w:left="420" w:right="0" w:firstLine="0"/>
        <w:jc w:val="both"/>
      </w:pPr>
      <w:bookmarkStart w:id="40" w:name="bookmark40"/>
      <w:r>
        <w:rPr>
          <w:b/>
          <w:bCs/>
          <w:color w:val="000000"/>
          <w:spacing w:val="0"/>
          <w:w w:val="100"/>
          <w:position w:val="0"/>
          <w:shd w:val="clear" w:color="auto" w:fill="auto"/>
          <w:lang w:val="cs-CZ" w:eastAsia="cs-CZ" w:bidi="cs-CZ"/>
        </w:rPr>
        <w:t xml:space="preserve">Fotovoltaická elektrárna FVE </w:t>
      </w:r>
      <w:r>
        <w:rPr>
          <w:color w:val="000000"/>
          <w:spacing w:val="0"/>
          <w:w w:val="100"/>
          <w:position w:val="0"/>
          <w:shd w:val="clear" w:color="auto" w:fill="auto"/>
          <w:lang w:val="cs-CZ" w:eastAsia="cs-CZ" w:bidi="cs-CZ"/>
        </w:rPr>
        <w:t>DFVE104 - Podmínky a ujednání pro pojištění fotovoltaické elektrárny (FVE) (1906)</w:t>
      </w:r>
      <w:bookmarkEnd w:id="40"/>
    </w:p>
    <w:p>
      <w:pPr>
        <w:pStyle w:val="Style27"/>
        <w:keepNext/>
        <w:keepLines/>
        <w:widowControl w:val="0"/>
        <w:shd w:val="clear" w:color="auto" w:fill="auto"/>
        <w:bidi w:val="0"/>
        <w:spacing w:before="0" w:after="0" w:line="240" w:lineRule="auto"/>
        <w:ind w:left="0" w:right="0" w:firstLine="0"/>
        <w:jc w:val="center"/>
      </w:pPr>
      <w:bookmarkStart w:id="41" w:name="bookmark41"/>
      <w:bookmarkStart w:id="42" w:name="bookmark42"/>
      <w:bookmarkStart w:id="43" w:name="bookmark43"/>
      <w:r>
        <w:rPr>
          <w:color w:val="000000"/>
          <w:spacing w:val="0"/>
          <w:w w:val="100"/>
          <w:position w:val="0"/>
          <w:shd w:val="clear" w:color="auto" w:fill="auto"/>
          <w:lang w:val="cs-CZ" w:eastAsia="cs-CZ" w:bidi="cs-CZ"/>
        </w:rPr>
        <w:t>Článek II.</w:t>
      </w:r>
      <w:bookmarkEnd w:id="41"/>
      <w:bookmarkEnd w:id="42"/>
      <w:bookmarkEnd w:id="43"/>
    </w:p>
    <w:p>
      <w:pPr>
        <w:pStyle w:val="Style27"/>
        <w:keepNext/>
        <w:keepLines/>
        <w:widowControl w:val="0"/>
        <w:shd w:val="clear" w:color="auto" w:fill="auto"/>
        <w:bidi w:val="0"/>
        <w:spacing w:before="0" w:after="80" w:line="240" w:lineRule="auto"/>
        <w:ind w:left="0" w:right="0" w:firstLine="0"/>
        <w:jc w:val="center"/>
      </w:pPr>
      <w:bookmarkStart w:id="44" w:name="bookmark44"/>
      <w:bookmarkStart w:id="45" w:name="bookmark45"/>
      <w:bookmarkStart w:id="46" w:name="bookmark46"/>
      <w:r>
        <w:rPr>
          <w:color w:val="000000"/>
          <w:spacing w:val="0"/>
          <w:w w:val="100"/>
          <w:position w:val="0"/>
          <w:shd w:val="clear" w:color="auto" w:fill="auto"/>
          <w:lang w:val="cs-CZ" w:eastAsia="cs-CZ" w:bidi="cs-CZ"/>
        </w:rPr>
        <w:t>Druhy a způsoby pojištění, předměty a rozsah pojištění</w:t>
      </w:r>
      <w:bookmarkEnd w:id="44"/>
      <w:bookmarkEnd w:id="45"/>
      <w:bookmarkEnd w:id="46"/>
    </w:p>
    <w:p>
      <w:pPr>
        <w:pStyle w:val="Style31"/>
        <w:keepNext/>
        <w:keepLines/>
        <w:widowControl w:val="0"/>
        <w:numPr>
          <w:ilvl w:val="0"/>
          <w:numId w:val="3"/>
        </w:numPr>
        <w:shd w:val="clear" w:color="auto" w:fill="auto"/>
        <w:tabs>
          <w:tab w:pos="401" w:val="left"/>
        </w:tabs>
        <w:bidi w:val="0"/>
        <w:spacing w:before="0" w:after="0" w:line="286" w:lineRule="auto"/>
        <w:ind w:left="0" w:right="0" w:firstLine="0"/>
        <w:jc w:val="left"/>
      </w:pPr>
      <w:bookmarkStart w:id="47" w:name="bookmark47"/>
      <w:bookmarkStart w:id="48" w:name="bookmark48"/>
      <w:bookmarkStart w:id="49" w:name="bookmark49"/>
      <w:bookmarkStart w:id="50" w:name="bookmark50"/>
      <w:bookmarkEnd w:id="49"/>
      <w:r>
        <w:rPr>
          <w:color w:val="000000"/>
          <w:spacing w:val="0"/>
          <w:w w:val="100"/>
          <w:position w:val="0"/>
          <w:shd w:val="clear" w:color="auto" w:fill="auto"/>
          <w:lang w:val="cs-CZ" w:eastAsia="cs-CZ" w:bidi="cs-CZ"/>
        </w:rPr>
        <w:t>Obecná ujednání pro pojištění majetku</w:t>
      </w:r>
      <w:bookmarkEnd w:id="47"/>
      <w:bookmarkEnd w:id="48"/>
      <w:bookmarkEnd w:id="50"/>
    </w:p>
    <w:p>
      <w:pPr>
        <w:pStyle w:val="Style9"/>
        <w:keepNext w:val="0"/>
        <w:keepLines w:val="0"/>
        <w:widowControl w:val="0"/>
        <w:numPr>
          <w:ilvl w:val="1"/>
          <w:numId w:val="3"/>
        </w:numPr>
        <w:shd w:val="clear" w:color="auto" w:fill="auto"/>
        <w:tabs>
          <w:tab w:pos="483" w:val="left"/>
        </w:tabs>
        <w:bidi w:val="0"/>
        <w:spacing w:before="0" w:after="80" w:line="286" w:lineRule="auto"/>
        <w:ind w:left="420" w:right="0" w:hanging="420"/>
        <w:jc w:val="both"/>
      </w:pPr>
      <w:bookmarkStart w:id="51" w:name="bookmark51"/>
      <w:bookmarkEnd w:id="51"/>
      <w:r>
        <w:rPr>
          <w:color w:val="000000"/>
          <w:spacing w:val="0"/>
          <w:w w:val="100"/>
          <w:position w:val="0"/>
          <w:shd w:val="clear" w:color="auto" w:fill="auto"/>
          <w:lang w:val="cs-CZ" w:eastAsia="cs-CZ" w:bidi="cs-CZ"/>
        </w:rPr>
        <w:t>Pravidla pro stanovení výše pojistného plnění jsou podrobně upravena v pojistných podmínkách vztahujících se ke sjednanému pojištění a v dalších ustanoveních této pojistné smlouvy. Na stanovení výše pojistného plnění tedy může mít vliv např. stupeň opotřebení, provedení opravy či znovupořízení nebo způsob zabezpečení pojištěných věcí.</w:t>
      </w:r>
      <w:r>
        <w:br w:type="page"/>
      </w:r>
    </w:p>
    <w:p>
      <w:pPr>
        <w:pStyle w:val="Style9"/>
        <w:keepNext w:val="0"/>
        <w:keepLines w:val="0"/>
        <w:widowControl w:val="0"/>
        <w:numPr>
          <w:ilvl w:val="1"/>
          <w:numId w:val="3"/>
        </w:numPr>
        <w:shd w:val="clear" w:color="auto" w:fill="auto"/>
        <w:tabs>
          <w:tab w:pos="484" w:val="left"/>
        </w:tabs>
        <w:bidi w:val="0"/>
        <w:spacing w:before="0" w:after="0"/>
        <w:ind w:left="0" w:right="0" w:firstLine="0"/>
        <w:jc w:val="left"/>
      </w:pPr>
      <w:bookmarkStart w:id="52" w:name="bookmark52"/>
      <w:bookmarkEnd w:id="52"/>
      <w:r>
        <w:rPr>
          <w:color w:val="000000"/>
          <w:spacing w:val="0"/>
          <w:w w:val="100"/>
          <w:position w:val="0"/>
          <w:shd w:val="clear" w:color="auto" w:fill="auto"/>
          <w:lang w:val="cs-CZ" w:eastAsia="cs-CZ" w:bidi="cs-CZ"/>
        </w:rPr>
        <w:t>Pro pojištění majetku je místem pojištění</w:t>
      </w:r>
    </w:p>
    <w:p>
      <w:pPr>
        <w:pStyle w:val="Style9"/>
        <w:keepNext w:val="0"/>
        <w:keepLines w:val="0"/>
        <w:widowControl w:val="0"/>
        <w:shd w:val="clear" w:color="auto" w:fill="auto"/>
        <w:bidi w:val="0"/>
        <w:spacing w:before="0" w:after="0"/>
        <w:ind w:left="840" w:right="0" w:hanging="340"/>
        <w:jc w:val="left"/>
      </w:pPr>
      <w:r>
        <w:rPr>
          <w:b/>
          <w:bCs/>
          <w:color w:val="000000"/>
          <w:spacing w:val="0"/>
          <w:w w:val="100"/>
          <w:position w:val="0"/>
          <w:shd w:val="clear" w:color="auto" w:fill="auto"/>
          <w:lang w:val="cs-CZ" w:eastAsia="cs-CZ" w:bidi="cs-CZ"/>
        </w:rPr>
        <w:t>- Sídlo pojistníka - Bezručova 4219, PSČ 430 03, Chomutov 3, dále místa na území České republiky vedená v účetní evidenci pojistníka, uvedená na příloze č.2 této pojistné smlouvy;</w:t>
      </w:r>
    </w:p>
    <w:p>
      <w:pPr>
        <w:pStyle w:val="Style9"/>
        <w:keepNext w:val="0"/>
        <w:keepLines w:val="0"/>
        <w:widowControl w:val="0"/>
        <w:shd w:val="clear" w:color="auto" w:fill="auto"/>
        <w:bidi w:val="0"/>
        <w:spacing w:before="0" w:after="40"/>
        <w:ind w:left="0" w:right="0" w:firstLine="840"/>
        <w:jc w:val="left"/>
      </w:pPr>
      <w:r>
        <w:rPr>
          <w:color w:val="000000"/>
          <w:spacing w:val="0"/>
          <w:w w:val="100"/>
          <w:position w:val="0"/>
          <w:shd w:val="clear" w:color="auto" w:fill="auto"/>
          <w:lang w:val="cs-CZ" w:eastAsia="cs-CZ" w:bidi="cs-CZ"/>
        </w:rPr>
        <w:t>není-li dále uvedeno jinak.</w:t>
      </w:r>
    </w:p>
    <w:p>
      <w:pPr>
        <w:pStyle w:val="Style9"/>
        <w:keepNext w:val="0"/>
        <w:keepLines w:val="0"/>
        <w:widowControl w:val="0"/>
        <w:numPr>
          <w:ilvl w:val="0"/>
          <w:numId w:val="3"/>
        </w:numPr>
        <w:shd w:val="clear" w:color="auto" w:fill="auto"/>
        <w:tabs>
          <w:tab w:pos="500" w:val="left"/>
        </w:tabs>
        <w:bidi w:val="0"/>
        <w:spacing w:before="0" w:after="40"/>
        <w:ind w:left="0" w:right="0" w:firstLine="160"/>
        <w:jc w:val="left"/>
      </w:pPr>
      <w:bookmarkStart w:id="53" w:name="bookmark53"/>
      <w:bookmarkEnd w:id="53"/>
      <w:r>
        <w:rPr>
          <w:b/>
          <w:bCs/>
          <w:color w:val="000000"/>
          <w:spacing w:val="0"/>
          <w:w w:val="100"/>
          <w:position w:val="0"/>
          <w:shd w:val="clear" w:color="auto" w:fill="auto"/>
          <w:lang w:val="cs-CZ" w:eastAsia="cs-CZ" w:bidi="cs-CZ"/>
        </w:rPr>
        <w:t>Přehled sjednaných pojištění</w:t>
      </w:r>
    </w:p>
    <w:p>
      <w:pPr>
        <w:pStyle w:val="Style9"/>
        <w:keepNext w:val="0"/>
        <w:keepLines w:val="0"/>
        <w:widowControl w:val="0"/>
        <w:numPr>
          <w:ilvl w:val="1"/>
          <w:numId w:val="3"/>
        </w:numPr>
        <w:shd w:val="clear" w:color="auto" w:fill="auto"/>
        <w:tabs>
          <w:tab w:pos="644" w:val="left"/>
        </w:tabs>
        <w:bidi w:val="0"/>
        <w:spacing w:before="0" w:after="0"/>
        <w:ind w:left="0" w:right="0" w:firstLine="160"/>
        <w:jc w:val="left"/>
      </w:pPr>
      <w:bookmarkStart w:id="54" w:name="bookmark54"/>
      <w:bookmarkEnd w:id="54"/>
      <w:r>
        <w:rPr>
          <w:b/>
          <w:bCs/>
          <w:color w:val="000000"/>
          <w:spacing w:val="0"/>
          <w:w w:val="100"/>
          <w:position w:val="0"/>
          <w:shd w:val="clear" w:color="auto" w:fill="auto"/>
          <w:lang w:val="cs-CZ" w:eastAsia="cs-CZ" w:bidi="cs-CZ"/>
        </w:rPr>
        <w:t>Živelní pojištění</w:t>
      </w:r>
    </w:p>
    <w:p>
      <w:pPr>
        <w:pStyle w:val="Style9"/>
        <w:keepNext w:val="0"/>
        <w:keepLines w:val="0"/>
        <w:widowControl w:val="0"/>
        <w:shd w:val="clear" w:color="auto" w:fill="auto"/>
        <w:bidi w:val="0"/>
        <w:spacing w:before="0" w:after="40"/>
        <w:ind w:left="0" w:right="0" w:firstLine="160"/>
        <w:jc w:val="left"/>
      </w:pPr>
      <w:r>
        <w:rPr>
          <w:color w:val="000000"/>
          <w:spacing w:val="0"/>
          <w:w w:val="100"/>
          <w:position w:val="0"/>
          <w:shd w:val="clear" w:color="auto" w:fill="auto"/>
          <w:lang w:val="cs-CZ" w:eastAsia="cs-CZ" w:bidi="cs-CZ"/>
        </w:rPr>
        <w:t>Pojištění se sjednává pro předměty pojištění v rozsahu a na místech pojištění uvedených v následující tabulce:</w:t>
      </w:r>
    </w:p>
    <w:p>
      <w:pPr>
        <w:pStyle w:val="Style9"/>
        <w:keepNext w:val="0"/>
        <w:keepLines w:val="0"/>
        <w:widowControl w:val="0"/>
        <w:shd w:val="clear" w:color="auto" w:fill="auto"/>
        <w:tabs>
          <w:tab w:pos="9378" w:val="left"/>
        </w:tabs>
        <w:bidi w:val="0"/>
        <w:spacing w:before="0" w:after="0"/>
        <w:ind w:left="0" w:right="0" w:firstLine="160"/>
        <w:jc w:val="left"/>
      </w:pPr>
      <w:r>
        <w:rPr>
          <w:b/>
          <w:bCs/>
          <w:color w:val="000000"/>
          <w:spacing w:val="0"/>
          <w:w w:val="100"/>
          <w:position w:val="0"/>
          <w:shd w:val="clear" w:color="auto" w:fill="auto"/>
          <w:lang w:val="cs-CZ" w:eastAsia="cs-CZ" w:bidi="cs-CZ"/>
        </w:rPr>
        <w:t>2.1.1 Živelní pojištění</w:t>
      </w:r>
      <w:r>
        <w:rPr>
          <w:b/>
          <w:bCs/>
          <w:u w:val="single"/>
        </w:rPr>
        <w:t xml:space="preserve"> </w:t>
        <w:tab/>
      </w:r>
    </w:p>
    <w:p>
      <w:pPr>
        <w:pStyle w:val="Style9"/>
        <w:keepNext w:val="0"/>
        <w:keepLines w:val="0"/>
        <w:widowControl w:val="0"/>
        <w:shd w:val="clear" w:color="auto" w:fill="auto"/>
        <w:tabs>
          <w:tab w:leader="underscore" w:pos="9270" w:val="left"/>
        </w:tabs>
        <w:bidi w:val="0"/>
        <w:spacing w:before="0" w:after="0"/>
        <w:ind w:left="0" w:right="0" w:firstLine="160"/>
        <w:jc w:val="left"/>
      </w:pPr>
      <w:r>
        <w:rPr>
          <w:b/>
          <w:bCs/>
          <w:color w:val="000000"/>
          <w:spacing w:val="0"/>
          <w:w w:val="100"/>
          <w:position w:val="0"/>
          <w:shd w:val="clear" w:color="auto" w:fill="auto"/>
          <w:lang w:val="cs-CZ" w:eastAsia="cs-CZ" w:bidi="cs-CZ"/>
        </w:rPr>
        <w:t xml:space="preserve">Místo pojištění: </w:t>
      </w:r>
      <w:r>
        <w:rPr>
          <w:color w:val="000000"/>
          <w:spacing w:val="0"/>
          <w:w w:val="100"/>
          <w:position w:val="0"/>
          <w:shd w:val="clear" w:color="auto" w:fill="auto"/>
          <w:lang w:val="cs-CZ" w:eastAsia="cs-CZ" w:bidi="cs-CZ"/>
        </w:rPr>
        <w:t xml:space="preserve">specifikováno výše bodem I.2., odstavce 1., článku II této pojistné smlouvy </w:t>
        <w:tab/>
      </w:r>
    </w:p>
    <w:p>
      <w:pPr>
        <w:pStyle w:val="Style9"/>
        <w:keepNext w:val="0"/>
        <w:keepLines w:val="0"/>
        <w:widowControl w:val="0"/>
        <w:shd w:val="clear" w:color="auto" w:fill="auto"/>
        <w:tabs>
          <w:tab w:leader="underscore" w:pos="9270" w:val="left"/>
        </w:tabs>
        <w:bidi w:val="0"/>
        <w:spacing w:before="0" w:after="0"/>
        <w:ind w:left="0" w:right="0" w:firstLine="160"/>
        <w:jc w:val="left"/>
      </w:pPr>
      <w:r>
        <w:rPr>
          <w:b/>
          <w:bCs/>
          <w:color w:val="000000"/>
          <w:spacing w:val="0"/>
          <w:w w:val="100"/>
          <w:position w:val="0"/>
          <w:u w:val="single"/>
          <w:shd w:val="clear" w:color="auto" w:fill="auto"/>
          <w:lang w:val="cs-CZ" w:eastAsia="cs-CZ" w:bidi="cs-CZ"/>
        </w:rPr>
        <w:t xml:space="preserve">Rozsah pojištění: </w:t>
      </w:r>
      <w:r>
        <w:rPr>
          <w:color w:val="000000"/>
          <w:spacing w:val="0"/>
          <w:w w:val="100"/>
          <w:position w:val="0"/>
          <w:u w:val="single"/>
          <w:shd w:val="clear" w:color="auto" w:fill="auto"/>
          <w:lang w:val="cs-CZ" w:eastAsia="cs-CZ" w:bidi="cs-CZ"/>
        </w:rPr>
        <w:t xml:space="preserve">sdružený živel, atmosférické srážky, nepřímý úder blesku. </w:t>
        <w:tab/>
      </w:r>
    </w:p>
    <w:p>
      <w:pPr>
        <w:pStyle w:val="Style9"/>
        <w:keepNext w:val="0"/>
        <w:keepLines w:val="0"/>
        <w:widowControl w:val="0"/>
        <w:shd w:val="clear" w:color="auto" w:fill="auto"/>
        <w:bidi w:val="0"/>
        <w:spacing w:before="0" w:after="0"/>
        <w:ind w:left="160" w:right="0" w:firstLine="0"/>
        <w:jc w:val="left"/>
      </w:pPr>
      <w:r>
        <w:rPr>
          <w:b/>
          <w:bCs/>
          <w:color w:val="000000"/>
          <w:spacing w:val="0"/>
          <w:w w:val="100"/>
          <w:position w:val="0"/>
          <w:shd w:val="clear" w:color="auto" w:fill="auto"/>
          <w:lang w:val="cs-CZ" w:eastAsia="cs-CZ" w:bidi="cs-CZ"/>
        </w:rPr>
        <w:t xml:space="preserve">Pojištění se řídí: </w:t>
      </w:r>
      <w:r>
        <w:rPr>
          <w:color w:val="000000"/>
          <w:spacing w:val="0"/>
          <w:w w:val="100"/>
          <w:position w:val="0"/>
          <w:shd w:val="clear" w:color="auto" w:fill="auto"/>
          <w:lang w:val="cs-CZ" w:eastAsia="cs-CZ" w:bidi="cs-CZ"/>
        </w:rPr>
        <w:t>VPP P-100/14, ZPP P-150/14 a doložkami DOB101, DOB103, DOB104, DOB105, DOB107, DOB1Q8, DZ113, DZ114, DFVE104</w:t>
      </w:r>
    </w:p>
    <w:p>
      <w:pPr>
        <w:widowControl w:val="0"/>
        <w:spacing w:line="1" w:lineRule="exact"/>
      </w:pPr>
      <w:r>
        <mc:AlternateContent>
          <mc:Choice Requires="wps">
            <w:drawing>
              <wp:anchor distT="0" distB="572135" distL="0" distR="0" simplePos="0" relativeHeight="125829378" behindDoc="0" locked="0" layoutInCell="1" allowOverlap="1">
                <wp:simplePos x="0" y="0"/>
                <wp:positionH relativeFrom="page">
                  <wp:posOffset>942975</wp:posOffset>
                </wp:positionH>
                <wp:positionV relativeFrom="paragraph">
                  <wp:posOffset>0</wp:posOffset>
                </wp:positionV>
                <wp:extent cx="6003290" cy="1810385"/>
                <wp:wrapTopAndBottom/>
                <wp:docPr id="3" name="Shape 3"/>
                <a:graphic xmlns:a="http://schemas.openxmlformats.org/drawingml/2006/main">
                  <a:graphicData uri="http://schemas.microsoft.com/office/word/2010/wordprocessingShape">
                    <wps:wsp>
                      <wps:cNvSpPr txBox="1"/>
                      <wps:spPr>
                        <a:xfrm>
                          <a:ext cx="6003290" cy="1810385"/>
                        </a:xfrm>
                        <a:prstGeom prst="rect"/>
                        <a:noFill/>
                      </wps:spPr>
                      <wps:txbx>
                        <w:txbxContent>
                          <w:tbl>
                            <w:tblPr>
                              <w:tblOverlap w:val="never"/>
                              <w:jc w:val="left"/>
                              <w:tblLayout w:type="fixed"/>
                            </w:tblPr>
                            <w:tblGrid>
                              <w:gridCol w:w="458"/>
                              <w:gridCol w:w="2639"/>
                              <w:gridCol w:w="1488"/>
                              <w:gridCol w:w="1286"/>
                              <w:gridCol w:w="1291"/>
                              <w:gridCol w:w="1214"/>
                              <w:gridCol w:w="1079"/>
                            </w:tblGrid>
                            <w:tr>
                              <w:trPr>
                                <w:tblHeader/>
                                <w:trHeight w:val="708" w:hRule="exact"/>
                              </w:trPr>
                              <w:tc>
                                <w:tcPr>
                                  <w:tcBorders/>
                                  <w:shd w:val="clear" w:color="auto" w:fill="FFFFFF"/>
                                  <w:vAlign w:val="bottom"/>
                                </w:tcPr>
                                <w:p>
                                  <w:pPr>
                                    <w:pStyle w:val="Style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Poř. číslo</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pPr>
                                  <w:r>
                                    <w:rPr>
                                      <w:b/>
                                      <w:bCs/>
                                      <w:color w:val="000000"/>
                                      <w:spacing w:val="0"/>
                                      <w:w w:val="100"/>
                                      <w:position w:val="0"/>
                                      <w:shd w:val="clear" w:color="auto" w:fill="auto"/>
                                      <w:lang w:val="cs-CZ" w:eastAsia="cs-CZ" w:bidi="cs-CZ"/>
                                    </w:rPr>
                                    <w:t>Předmět pojištění</w:t>
                                  </w:r>
                                </w:p>
                              </w:tc>
                              <w:tc>
                                <w:tcPr>
                                  <w:tcBorders/>
                                  <w:shd w:val="clear" w:color="auto" w:fill="FFFFFF"/>
                                  <w:vAlign w:val="bottom"/>
                                </w:tcPr>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Pojistná částka</w:t>
                                  </w:r>
                                  <w:r>
                                    <w:rPr>
                                      <w:b/>
                                      <w:bCs/>
                                      <w:color w:val="000000"/>
                                      <w:spacing w:val="0"/>
                                      <w:w w:val="100"/>
                                      <w:position w:val="0"/>
                                      <w:shd w:val="clear" w:color="auto" w:fill="auto"/>
                                      <w:vertAlign w:val="superscript"/>
                                      <w:lang w:val="cs-CZ" w:eastAsia="cs-CZ" w:bidi="cs-CZ"/>
                                    </w:rPr>
                                    <w:t>105</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Spoluúčast</w:t>
                                  </w:r>
                                </w:p>
                              </w:tc>
                              <w:tc>
                                <w:tcPr>
                                  <w:tcBorders/>
                                  <w:shd w:val="clear" w:color="auto" w:fill="FFFFFF"/>
                                  <w:vAlign w:val="bottom"/>
                                </w:tcPr>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Pojištění se sjednává na cenu*</w:t>
                                  </w:r>
                                  <w:r>
                                    <w:rPr>
                                      <w:b/>
                                      <w:bCs/>
                                      <w:color w:val="000000"/>
                                      <w:spacing w:val="0"/>
                                      <w:w w:val="100"/>
                                      <w:position w:val="0"/>
                                      <w:shd w:val="clear" w:color="auto" w:fill="auto"/>
                                      <w:vertAlign w:val="superscript"/>
                                      <w:lang w:val="cs-CZ" w:eastAsia="cs-CZ" w:bidi="cs-CZ"/>
                                    </w:rPr>
                                    <w:t>15</w:t>
                                  </w:r>
                                </w:p>
                              </w:tc>
                              <w:tc>
                                <w:tcPr>
                                  <w:tcBorders/>
                                  <w:shd w:val="clear" w:color="auto" w:fill="FFFFFF"/>
                                  <w:vAlign w:val="bottom"/>
                                </w:tcPr>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První riziko</w:t>
                                  </w:r>
                                  <w:r>
                                    <w:rPr>
                                      <w:b/>
                                      <w:bCs/>
                                      <w:color w:val="000000"/>
                                      <w:spacing w:val="0"/>
                                      <w:w w:val="100"/>
                                      <w:position w:val="0"/>
                                      <w:shd w:val="clear" w:color="auto" w:fill="auto"/>
                                      <w:vertAlign w:val="superscript"/>
                                      <w:lang w:val="cs-CZ" w:eastAsia="cs-CZ" w:bidi="cs-CZ"/>
                                    </w:rPr>
                                    <w:t>25</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p>
                              </w:tc>
                            </w:tr>
                            <w:tr>
                              <w:trPr>
                                <w:trHeight w:val="679" w:hRule="exact"/>
                              </w:trPr>
                              <w:tc>
                                <w:tcPr>
                                  <w:vMerge w:val="restart"/>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Soubor vlastních a cizích oprávněně užívaných budov a ostatních staveb vč. ramp,</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2 291 487 641</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Nesjednává</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Nesjednává</w:t>
                                  </w:r>
                                </w:p>
                              </w:tc>
                            </w:tr>
                            <w:tr>
                              <w:trPr>
                                <w:trHeight w:val="226" w:hRule="exact"/>
                              </w:trPr>
                              <w:tc>
                                <w:tcPr>
                                  <w:vMerge/>
                                  <w:tcBorders/>
                                  <w:shd w:val="clear" w:color="auto" w:fill="FFFFFF"/>
                                  <w:vAlign w:val="bottom"/>
                                </w:tcPr>
                                <w:p>
                                  <w:pPr/>
                                </w:p>
                              </w:tc>
                              <w:tc>
                                <w:tcPr>
                                  <w:vMerge w:val="restart"/>
                                  <w:tcBorders/>
                                  <w:shd w:val="clear" w:color="auto" w:fill="FFFFFF"/>
                                  <w:vAlign w:val="bottom"/>
                                </w:tcPr>
                                <w:p>
                                  <w:pPr>
                                    <w:pStyle w:val="Style2"/>
                                    <w:keepNext w:val="0"/>
                                    <w:keepLines w:val="0"/>
                                    <w:widowControl w:val="0"/>
                                    <w:shd w:val="clear" w:color="auto" w:fill="auto"/>
                                    <w:tabs>
                                      <w:tab w:leader="underscore" w:pos="2422" w:val="left"/>
                                    </w:tabs>
                                    <w:bidi w:val="0"/>
                                    <w:spacing w:before="0" w:after="0" w:line="276" w:lineRule="auto"/>
                                    <w:ind w:left="0" w:right="0" w:firstLine="0"/>
                                    <w:jc w:val="left"/>
                                  </w:pPr>
                                  <w:r>
                                    <w:rPr>
                                      <w:color w:val="000000"/>
                                      <w:spacing w:val="0"/>
                                      <w:w w:val="100"/>
                                      <w:position w:val="0"/>
                                      <w:shd w:val="clear" w:color="auto" w:fill="auto"/>
                                      <w:lang w:val="cs-CZ" w:eastAsia="cs-CZ" w:bidi="cs-CZ"/>
                                    </w:rPr>
                                    <w:t>stavebních součástí, oplocení, systémů zabezpečení, klima, osvětlení</w:t>
                                    <w:tab/>
                                  </w:r>
                                </w:p>
                              </w:tc>
                              <w:tc>
                                <w:tcPr>
                                  <w:vMerge w:val="restart"/>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Kč</w:t>
                                  </w:r>
                                </w:p>
                              </w:tc>
                              <w:tc>
                                <w:tcPr>
                                  <w:vMerge w:val="restart"/>
                                  <w:tcBorders/>
                                  <w:shd w:val="clear" w:color="auto" w:fill="FFFFFF"/>
                                  <w:vAlign w:val="top"/>
                                </w:tcPr>
                                <w:p>
                                  <w:pPr>
                                    <w:widowControl w:val="0"/>
                                    <w:rPr>
                                      <w:sz w:val="10"/>
                                      <w:szCs w:val="10"/>
                                    </w:rPr>
                                  </w:pPr>
                                </w:p>
                              </w:tc>
                              <w:tc>
                                <w:tcPr>
                                  <w:vMerge w:val="restart"/>
                                  <w:tcBorders/>
                                  <w:shd w:val="clear" w:color="auto" w:fill="FFFFFF"/>
                                  <w:vAlign w:val="top"/>
                                </w:tcPr>
                                <w:p>
                                  <w:pPr>
                                    <w:widowControl w:val="0"/>
                                    <w:rPr>
                                      <w:sz w:val="10"/>
                                      <w:szCs w:val="10"/>
                                    </w:rPr>
                                  </w:pPr>
                                </w:p>
                              </w:tc>
                              <w:tc>
                                <w:tcPr>
                                  <w:vMerge w:val="restart"/>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se</w:t>
                                  </w:r>
                                </w:p>
                              </w:tc>
                              <w:tc>
                                <w:tcPr>
                                  <w:vMerge w:val="restart"/>
                                  <w:tcBorders/>
                                  <w:shd w:val="clear" w:color="auto" w:fill="FFFFFF"/>
                                  <w:vAlign w:val="top"/>
                                </w:tcPr>
                                <w:p>
                                  <w:pPr>
                                    <w:pStyle w:val="Style2"/>
                                    <w:keepNext w:val="0"/>
                                    <w:keepLines w:val="0"/>
                                    <w:widowControl w:val="0"/>
                                    <w:shd w:val="clear" w:color="auto" w:fill="auto"/>
                                    <w:bidi w:val="0"/>
                                    <w:spacing w:before="0" w:after="0" w:line="240" w:lineRule="auto"/>
                                    <w:ind w:left="0" w:right="380" w:firstLine="0"/>
                                    <w:jc w:val="right"/>
                                  </w:pPr>
                                  <w:r>
                                    <w:rPr>
                                      <w:color w:val="000000"/>
                                      <w:spacing w:val="0"/>
                                      <w:w w:val="100"/>
                                      <w:position w:val="0"/>
                                      <w:shd w:val="clear" w:color="auto" w:fill="auto"/>
                                      <w:lang w:val="cs-CZ" w:eastAsia="cs-CZ" w:bidi="cs-CZ"/>
                                    </w:rPr>
                                    <w:t>se</w:t>
                                  </w:r>
                                </w:p>
                              </w:tc>
                            </w:tr>
                            <w:tr>
                              <w:trPr>
                                <w:trHeight w:val="226" w:hRule="exact"/>
                              </w:trPr>
                              <w:tc>
                                <w:tcPr>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r>
                            <w:tr>
                              <w:trPr>
                                <w:trHeight w:val="226" w:hRule="exact"/>
                              </w:trPr>
                              <w:tc>
                                <w:tcPr>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r>
                            <w:tr>
                              <w:trPr>
                                <w:trHeight w:val="2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Demolice, suť dle DOB1Q4</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Dočasné přemístění pojištěných věcí movitého charakteru dle</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50 000 Kč</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60 000 000 Kč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r>
                          </w:tbl>
                          <w:p>
                            <w:pPr>
                              <w:widowControl w:val="0"/>
                              <w:spacing w:line="1" w:lineRule="exact"/>
                            </w:pP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74.25pt;margin-top:0;width:472.69999999999999pt;height:142.55000000000001pt;z-index:-125829375;mso-wrap-distance-left:0;mso-wrap-distance-right:0;mso-wrap-distance-bottom:45.050000000000004pt;mso-position-horizontal-relative:page" filled="f" stroked="f">
                <v:textbox inset="0,0,0,0">
                  <w:txbxContent>
                    <w:tbl>
                      <w:tblPr>
                        <w:tblOverlap w:val="never"/>
                        <w:jc w:val="left"/>
                        <w:tblLayout w:type="fixed"/>
                      </w:tblPr>
                      <w:tblGrid>
                        <w:gridCol w:w="458"/>
                        <w:gridCol w:w="2639"/>
                        <w:gridCol w:w="1488"/>
                        <w:gridCol w:w="1286"/>
                        <w:gridCol w:w="1291"/>
                        <w:gridCol w:w="1214"/>
                        <w:gridCol w:w="1079"/>
                      </w:tblGrid>
                      <w:tr>
                        <w:trPr>
                          <w:tblHeader/>
                          <w:trHeight w:val="708" w:hRule="exact"/>
                        </w:trPr>
                        <w:tc>
                          <w:tcPr>
                            <w:tcBorders/>
                            <w:shd w:val="clear" w:color="auto" w:fill="FFFFFF"/>
                            <w:vAlign w:val="bottom"/>
                          </w:tcPr>
                          <w:p>
                            <w:pPr>
                              <w:pStyle w:val="Style2"/>
                              <w:keepNext w:val="0"/>
                              <w:keepLines w:val="0"/>
                              <w:widowControl w:val="0"/>
                              <w:shd w:val="clear" w:color="auto" w:fill="auto"/>
                              <w:bidi w:val="0"/>
                              <w:spacing w:before="0" w:after="0" w:line="295" w:lineRule="auto"/>
                              <w:ind w:left="0" w:right="0" w:firstLine="0"/>
                              <w:jc w:val="left"/>
                            </w:pPr>
                            <w:r>
                              <w:rPr>
                                <w:b/>
                                <w:bCs/>
                                <w:color w:val="000000"/>
                                <w:spacing w:val="0"/>
                                <w:w w:val="100"/>
                                <w:position w:val="0"/>
                                <w:shd w:val="clear" w:color="auto" w:fill="auto"/>
                                <w:lang w:val="cs-CZ" w:eastAsia="cs-CZ" w:bidi="cs-CZ"/>
                              </w:rPr>
                              <w:t>Poř. číslo</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520"/>
                              <w:jc w:val="left"/>
                            </w:pPr>
                            <w:r>
                              <w:rPr>
                                <w:b/>
                                <w:bCs/>
                                <w:color w:val="000000"/>
                                <w:spacing w:val="0"/>
                                <w:w w:val="100"/>
                                <w:position w:val="0"/>
                                <w:shd w:val="clear" w:color="auto" w:fill="auto"/>
                                <w:lang w:val="cs-CZ" w:eastAsia="cs-CZ" w:bidi="cs-CZ"/>
                              </w:rPr>
                              <w:t>Předmět pojištění</w:t>
                            </w:r>
                          </w:p>
                        </w:tc>
                        <w:tc>
                          <w:tcPr>
                            <w:tcBorders/>
                            <w:shd w:val="clear" w:color="auto" w:fill="FFFFFF"/>
                            <w:vAlign w:val="bottom"/>
                          </w:tcPr>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Pojistná částka</w:t>
                            </w:r>
                            <w:r>
                              <w:rPr>
                                <w:b/>
                                <w:bCs/>
                                <w:color w:val="000000"/>
                                <w:spacing w:val="0"/>
                                <w:w w:val="100"/>
                                <w:position w:val="0"/>
                                <w:shd w:val="clear" w:color="auto" w:fill="auto"/>
                                <w:vertAlign w:val="superscript"/>
                                <w:lang w:val="cs-CZ" w:eastAsia="cs-CZ" w:bidi="cs-CZ"/>
                              </w:rPr>
                              <w:t>105</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Spoluúčast</w:t>
                            </w:r>
                          </w:p>
                        </w:tc>
                        <w:tc>
                          <w:tcPr>
                            <w:tcBorders/>
                            <w:shd w:val="clear" w:color="auto" w:fill="FFFFFF"/>
                            <w:vAlign w:val="bottom"/>
                          </w:tcPr>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Pojištění se sjednává na cenu*</w:t>
                            </w:r>
                            <w:r>
                              <w:rPr>
                                <w:b/>
                                <w:bCs/>
                                <w:color w:val="000000"/>
                                <w:spacing w:val="0"/>
                                <w:w w:val="100"/>
                                <w:position w:val="0"/>
                                <w:shd w:val="clear" w:color="auto" w:fill="auto"/>
                                <w:vertAlign w:val="superscript"/>
                                <w:lang w:val="cs-CZ" w:eastAsia="cs-CZ" w:bidi="cs-CZ"/>
                              </w:rPr>
                              <w:t>15</w:t>
                            </w:r>
                          </w:p>
                        </w:tc>
                        <w:tc>
                          <w:tcPr>
                            <w:tcBorders/>
                            <w:shd w:val="clear" w:color="auto" w:fill="FFFFFF"/>
                            <w:vAlign w:val="bottom"/>
                          </w:tcPr>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První riziko</w:t>
                            </w:r>
                            <w:r>
                              <w:rPr>
                                <w:b/>
                                <w:bCs/>
                                <w:color w:val="000000"/>
                                <w:spacing w:val="0"/>
                                <w:w w:val="100"/>
                                <w:position w:val="0"/>
                                <w:shd w:val="clear" w:color="auto" w:fill="auto"/>
                                <w:vertAlign w:val="superscript"/>
                                <w:lang w:val="cs-CZ" w:eastAsia="cs-CZ" w:bidi="cs-CZ"/>
                              </w:rPr>
                              <w:t>25</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p>
                        </w:tc>
                      </w:tr>
                      <w:tr>
                        <w:trPr>
                          <w:trHeight w:val="679" w:hRule="exact"/>
                        </w:trPr>
                        <w:tc>
                          <w:tcPr>
                            <w:vMerge w:val="restart"/>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Soubor vlastních a cizích oprávněně užívaných budov a ostatních staveb vč. ramp,</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2 291 487 641</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Nesjednává</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Nesjednává</w:t>
                            </w:r>
                          </w:p>
                        </w:tc>
                      </w:tr>
                      <w:tr>
                        <w:trPr>
                          <w:trHeight w:val="226" w:hRule="exact"/>
                        </w:trPr>
                        <w:tc>
                          <w:tcPr>
                            <w:vMerge/>
                            <w:tcBorders/>
                            <w:shd w:val="clear" w:color="auto" w:fill="FFFFFF"/>
                            <w:vAlign w:val="bottom"/>
                          </w:tcPr>
                          <w:p>
                            <w:pPr/>
                          </w:p>
                        </w:tc>
                        <w:tc>
                          <w:tcPr>
                            <w:vMerge w:val="restart"/>
                            <w:tcBorders/>
                            <w:shd w:val="clear" w:color="auto" w:fill="FFFFFF"/>
                            <w:vAlign w:val="bottom"/>
                          </w:tcPr>
                          <w:p>
                            <w:pPr>
                              <w:pStyle w:val="Style2"/>
                              <w:keepNext w:val="0"/>
                              <w:keepLines w:val="0"/>
                              <w:widowControl w:val="0"/>
                              <w:shd w:val="clear" w:color="auto" w:fill="auto"/>
                              <w:tabs>
                                <w:tab w:leader="underscore" w:pos="2422" w:val="left"/>
                              </w:tabs>
                              <w:bidi w:val="0"/>
                              <w:spacing w:before="0" w:after="0" w:line="276" w:lineRule="auto"/>
                              <w:ind w:left="0" w:right="0" w:firstLine="0"/>
                              <w:jc w:val="left"/>
                            </w:pPr>
                            <w:r>
                              <w:rPr>
                                <w:color w:val="000000"/>
                                <w:spacing w:val="0"/>
                                <w:w w:val="100"/>
                                <w:position w:val="0"/>
                                <w:shd w:val="clear" w:color="auto" w:fill="auto"/>
                                <w:lang w:val="cs-CZ" w:eastAsia="cs-CZ" w:bidi="cs-CZ"/>
                              </w:rPr>
                              <w:t>stavebních součástí, oplocení, systémů zabezpečení, klima, osvětlení</w:t>
                              <w:tab/>
                            </w:r>
                          </w:p>
                        </w:tc>
                        <w:tc>
                          <w:tcPr>
                            <w:vMerge w:val="restart"/>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rPr>
                                <w:sz w:val="18"/>
                                <w:szCs w:val="18"/>
                              </w:rPr>
                            </w:pPr>
                            <w:r>
                              <w:rPr>
                                <w:color w:val="000000"/>
                                <w:spacing w:val="0"/>
                                <w:w w:val="100"/>
                                <w:position w:val="0"/>
                                <w:sz w:val="18"/>
                                <w:szCs w:val="18"/>
                                <w:shd w:val="clear" w:color="auto" w:fill="auto"/>
                                <w:lang w:val="cs-CZ" w:eastAsia="cs-CZ" w:bidi="cs-CZ"/>
                              </w:rPr>
                              <w:t>Kč</w:t>
                            </w:r>
                          </w:p>
                        </w:tc>
                        <w:tc>
                          <w:tcPr>
                            <w:vMerge w:val="restart"/>
                            <w:tcBorders/>
                            <w:shd w:val="clear" w:color="auto" w:fill="FFFFFF"/>
                            <w:vAlign w:val="top"/>
                          </w:tcPr>
                          <w:p>
                            <w:pPr>
                              <w:widowControl w:val="0"/>
                              <w:rPr>
                                <w:sz w:val="10"/>
                                <w:szCs w:val="10"/>
                              </w:rPr>
                            </w:pPr>
                          </w:p>
                        </w:tc>
                        <w:tc>
                          <w:tcPr>
                            <w:vMerge w:val="restart"/>
                            <w:tcBorders/>
                            <w:shd w:val="clear" w:color="auto" w:fill="FFFFFF"/>
                            <w:vAlign w:val="top"/>
                          </w:tcPr>
                          <w:p>
                            <w:pPr>
                              <w:widowControl w:val="0"/>
                              <w:rPr>
                                <w:sz w:val="10"/>
                                <w:szCs w:val="10"/>
                              </w:rPr>
                            </w:pPr>
                          </w:p>
                        </w:tc>
                        <w:tc>
                          <w:tcPr>
                            <w:vMerge w:val="restart"/>
                            <w:tcBorders/>
                            <w:shd w:val="clear" w:color="auto" w:fill="FFFFFF"/>
                            <w:vAlign w:val="top"/>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se</w:t>
                            </w:r>
                          </w:p>
                        </w:tc>
                        <w:tc>
                          <w:tcPr>
                            <w:vMerge w:val="restart"/>
                            <w:tcBorders/>
                            <w:shd w:val="clear" w:color="auto" w:fill="FFFFFF"/>
                            <w:vAlign w:val="top"/>
                          </w:tcPr>
                          <w:p>
                            <w:pPr>
                              <w:pStyle w:val="Style2"/>
                              <w:keepNext w:val="0"/>
                              <w:keepLines w:val="0"/>
                              <w:widowControl w:val="0"/>
                              <w:shd w:val="clear" w:color="auto" w:fill="auto"/>
                              <w:bidi w:val="0"/>
                              <w:spacing w:before="0" w:after="0" w:line="240" w:lineRule="auto"/>
                              <w:ind w:left="0" w:right="380" w:firstLine="0"/>
                              <w:jc w:val="right"/>
                            </w:pPr>
                            <w:r>
                              <w:rPr>
                                <w:color w:val="000000"/>
                                <w:spacing w:val="0"/>
                                <w:w w:val="100"/>
                                <w:position w:val="0"/>
                                <w:shd w:val="clear" w:color="auto" w:fill="auto"/>
                                <w:lang w:val="cs-CZ" w:eastAsia="cs-CZ" w:bidi="cs-CZ"/>
                              </w:rPr>
                              <w:t>se</w:t>
                            </w:r>
                          </w:p>
                        </w:tc>
                      </w:tr>
                      <w:tr>
                        <w:trPr>
                          <w:trHeight w:val="226" w:hRule="exact"/>
                        </w:trPr>
                        <w:tc>
                          <w:tcPr>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r>
                      <w:tr>
                        <w:trPr>
                          <w:trHeight w:val="226" w:hRule="exact"/>
                        </w:trPr>
                        <w:tc>
                          <w:tcPr>
                            <w:tcBorders/>
                            <w:shd w:val="clear" w:color="auto" w:fill="FFFFFF"/>
                            <w:vAlign w:val="top"/>
                          </w:tcPr>
                          <w:p>
                            <w:pPr>
                              <w:widowControl w:val="0"/>
                              <w:rPr>
                                <w:sz w:val="10"/>
                                <w:szCs w:val="10"/>
                              </w:rPr>
                            </w:pPr>
                          </w:p>
                        </w:tc>
                        <w:tc>
                          <w:tcPr>
                            <w:vMerge/>
                            <w:tcBorders/>
                            <w:shd w:val="clear" w:color="auto" w:fill="FFFFFF"/>
                            <w:vAlign w:val="bottom"/>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c>
                          <w:tcPr>
                            <w:vMerge/>
                            <w:tcBorders/>
                            <w:shd w:val="clear" w:color="auto" w:fill="FFFFFF"/>
                            <w:vAlign w:val="top"/>
                          </w:tcPr>
                          <w:p>
                            <w:pPr/>
                          </w:p>
                        </w:tc>
                      </w:tr>
                      <w:tr>
                        <w:trPr>
                          <w:trHeight w:val="226"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Demolice, suť dle DOB1Q4</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559" w:hRule="exact"/>
                        </w:trPr>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top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Dočasné přemístění pojištěných věcí movitého charakteru dle</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50 000 Kč</w:t>
                            </w:r>
                          </w:p>
                        </w:tc>
                        <w:tc>
                          <w:tcPr>
                            <w:tcBorders/>
                            <w:shd w:val="clear" w:color="auto" w:fill="FFFFFF"/>
                            <w:vAlign w:val="top"/>
                          </w:tcPr>
                          <w:p>
                            <w:pPr>
                              <w:widowControl w:val="0"/>
                              <w:rPr>
                                <w:sz w:val="10"/>
                                <w:szCs w:val="10"/>
                              </w:rPr>
                            </w:pPr>
                          </w:p>
                        </w:tc>
                        <w:tc>
                          <w:tcPr>
                            <w:tcBorders/>
                            <w:shd w:val="clear" w:color="auto" w:fill="FFFFFF"/>
                            <w:vAlign w:val="bottom"/>
                          </w:tcPr>
                          <w:p>
                            <w:pPr>
                              <w:pStyle w:val="Style2"/>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cs-CZ" w:eastAsia="cs-CZ" w:bidi="cs-CZ"/>
                              </w:rPr>
                              <w:t>60 000 000 Kč</w:t>
                            </w:r>
                          </w:p>
                        </w:tc>
                        <w:tc>
                          <w:tcPr>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r>
                    </w:tbl>
                    <w:p>
                      <w:pPr>
                        <w:widowControl w:val="0"/>
                        <w:spacing w:line="1" w:lineRule="exact"/>
                      </w:pPr>
                    </w:p>
                  </w:txbxContent>
                </v:textbox>
                <w10:wrap type="topAndBottom"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1264285</wp:posOffset>
                </wp:positionH>
                <wp:positionV relativeFrom="paragraph">
                  <wp:posOffset>1736725</wp:posOffset>
                </wp:positionV>
                <wp:extent cx="452755" cy="183515"/>
                <wp:wrapNone/>
                <wp:docPr id="5" name="Shape 5"/>
                <a:graphic xmlns:a="http://schemas.openxmlformats.org/drawingml/2006/main">
                  <a:graphicData uri="http://schemas.microsoft.com/office/word/2010/wordprocessingShape">
                    <wps:wsp>
                      <wps:cNvSpPr txBox="1"/>
                      <wps:spPr>
                        <a:xfrm>
                          <a:ext cx="452755" cy="18351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DOB108</w:t>
                            </w:r>
                          </w:p>
                        </w:txbxContent>
                      </wps:txbx>
                      <wps:bodyPr lIns="0" tIns="0" rIns="0" bIns="0">
                        <a:noAutoFit/>
                      </wps:bodyPr>
                    </wps:wsp>
                  </a:graphicData>
                </a:graphic>
              </wp:anchor>
            </w:drawing>
          </mc:Choice>
          <mc:Fallback>
            <w:pict>
              <v:shape id="_x0000_s1031" type="#_x0000_t202" style="position:absolute;margin-left:99.549999999999997pt;margin-top:136.75pt;width:35.649999999999999pt;height:14.450000000000001pt;z-index:251657729;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shd w:val="clear" w:color="auto" w:fill="auto"/>
                          <w:lang w:val="cs-CZ" w:eastAsia="cs-CZ" w:bidi="cs-CZ"/>
                        </w:rPr>
                        <w:t>DOB108</w:t>
                      </w:r>
                    </w:p>
                  </w:txbxContent>
                </v:textbox>
                <w10:wrap anchorx="page"/>
              </v:shape>
            </w:pict>
          </mc:Fallback>
        </mc:AlternateContent>
      </w:r>
      <w:r>
        <w:drawing>
          <wp:anchor distT="256540" distB="440690" distL="0" distR="0" simplePos="0" relativeHeight="125829380" behindDoc="0" locked="0" layoutInCell="1" allowOverlap="1">
            <wp:simplePos x="0" y="0"/>
            <wp:positionH relativeFrom="page">
              <wp:posOffset>3900170</wp:posOffset>
            </wp:positionH>
            <wp:positionV relativeFrom="paragraph">
              <wp:posOffset>256540</wp:posOffset>
            </wp:positionV>
            <wp:extent cx="3116580" cy="1685290"/>
            <wp:wrapTopAndBottom/>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7"/>
                    <a:stretch/>
                  </pic:blipFill>
                  <pic:spPr>
                    <a:xfrm>
                      <a:ext cx="3116580" cy="1685290"/>
                    </a:xfrm>
                    <a:prstGeom prst="rect"/>
                  </pic:spPr>
                </pic:pic>
              </a:graphicData>
            </a:graphic>
          </wp:anchor>
        </w:drawing>
      </w:r>
      <w:r>
        <mc:AlternateContent>
          <mc:Choice Requires="wps">
            <w:drawing>
              <wp:anchor distT="1917700" distB="0" distL="0" distR="0" simplePos="0" relativeHeight="125829381" behindDoc="0" locked="0" layoutInCell="1" allowOverlap="1">
                <wp:simplePos x="0" y="0"/>
                <wp:positionH relativeFrom="page">
                  <wp:posOffset>829945</wp:posOffset>
                </wp:positionH>
                <wp:positionV relativeFrom="paragraph">
                  <wp:posOffset>1917700</wp:posOffset>
                </wp:positionV>
                <wp:extent cx="6030595" cy="464820"/>
                <wp:wrapTopAndBottom/>
                <wp:docPr id="9" name="Shape 9"/>
                <a:graphic xmlns:a="http://schemas.openxmlformats.org/drawingml/2006/main">
                  <a:graphicData uri="http://schemas.microsoft.com/office/word/2010/wordprocessingShape">
                    <wps:wsp>
                      <wps:cNvSpPr txBox="1"/>
                      <wps:spPr>
                        <a:xfrm>
                          <a:ext cx="6030595" cy="464820"/>
                        </a:xfrm>
                        <a:prstGeom prst="rect"/>
                        <a:noFill/>
                      </wps:spPr>
                      <wps:txbx>
                        <w:txbxContent>
                          <w:p>
                            <w:pPr>
                              <w:pStyle w:val="Style9"/>
                              <w:keepNext w:val="0"/>
                              <w:keepLines w:val="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cs-CZ" w:eastAsia="cs-CZ" w:bidi="cs-CZ"/>
                              </w:rPr>
                              <w:t>Poznámky:</w:t>
                            </w:r>
                          </w:p>
                          <w:p>
                            <w:pPr>
                              <w:pStyle w:val="Style9"/>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Spoluúčast</w:t>
                            </w:r>
                            <w:r>
                              <w:rPr>
                                <w:color w:val="000000"/>
                                <w:spacing w:val="0"/>
                                <w:w w:val="100"/>
                                <w:position w:val="0"/>
                                <w:shd w:val="clear" w:color="auto" w:fill="auto"/>
                                <w:vertAlign w:val="superscript"/>
                                <w:lang w:val="cs-CZ" w:eastAsia="cs-CZ" w:bidi="cs-CZ"/>
                              </w:rPr>
                              <w:t>55</w:t>
                            </w:r>
                            <w:r>
                              <w:rPr>
                                <w:color w:val="000000"/>
                                <w:spacing w:val="0"/>
                                <w:w w:val="100"/>
                                <w:position w:val="0"/>
                                <w:shd w:val="clear" w:color="auto" w:fill="auto"/>
                                <w:lang w:val="cs-CZ" w:eastAsia="cs-CZ" w:bidi="cs-CZ"/>
                              </w:rPr>
                              <w:t>: Požární nebezpečí 100 000 Kč; Sesuv a zemětřesení 500 000 Kč; Povodeň nebo záplava 50 000 Kč; DZ113 atmosférické srážky 10 % min. však 5 000 Kč; DZ114 nepřímý úder blesku 50 000 Kč; Ostatní pojistná nebezpečí 20 000 Kč.</w:t>
                            </w:r>
                          </w:p>
                        </w:txbxContent>
                      </wps:txbx>
                      <wps:bodyPr lIns="0" tIns="0" rIns="0" bIns="0">
                        <a:noAutoFit/>
                      </wps:bodyPr>
                    </wps:wsp>
                  </a:graphicData>
                </a:graphic>
              </wp:anchor>
            </w:drawing>
          </mc:Choice>
          <mc:Fallback>
            <w:pict>
              <v:shape id="_x0000_s1035" type="#_x0000_t202" style="position:absolute;margin-left:65.349999999999994pt;margin-top:151.pt;width:474.85000000000002pt;height:36.600000000000001pt;z-index:-125829372;mso-wrap-distance-left:0;mso-wrap-distance-top:151.pt;mso-wrap-distance-right:0;mso-position-horizontal-relative:page" filled="f" stroked="f">
                <v:textbox inset="0,0,0,0">
                  <w:txbxContent>
                    <w:p>
                      <w:pPr>
                        <w:pStyle w:val="Style9"/>
                        <w:keepNext w:val="0"/>
                        <w:keepLines w:val="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cs-CZ" w:eastAsia="cs-CZ" w:bidi="cs-CZ"/>
                        </w:rPr>
                        <w:t>Poznámky:</w:t>
                      </w:r>
                    </w:p>
                    <w:p>
                      <w:pPr>
                        <w:pStyle w:val="Style9"/>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Spoluúčast</w:t>
                      </w:r>
                      <w:r>
                        <w:rPr>
                          <w:color w:val="000000"/>
                          <w:spacing w:val="0"/>
                          <w:w w:val="100"/>
                          <w:position w:val="0"/>
                          <w:shd w:val="clear" w:color="auto" w:fill="auto"/>
                          <w:vertAlign w:val="superscript"/>
                          <w:lang w:val="cs-CZ" w:eastAsia="cs-CZ" w:bidi="cs-CZ"/>
                        </w:rPr>
                        <w:t>55</w:t>
                      </w:r>
                      <w:r>
                        <w:rPr>
                          <w:color w:val="000000"/>
                          <w:spacing w:val="0"/>
                          <w:w w:val="100"/>
                          <w:position w:val="0"/>
                          <w:shd w:val="clear" w:color="auto" w:fill="auto"/>
                          <w:lang w:val="cs-CZ" w:eastAsia="cs-CZ" w:bidi="cs-CZ"/>
                        </w:rPr>
                        <w:t>: Požární nebezpečí 100 000 Kč; Sesuv a zemětřesení 500 000 Kč; Povodeň nebo záplava 50 000 Kč; DZ113 atmosférické srážky 10 % min. však 5 000 Kč; DZ114 nepřímý úder blesku 50 000 Kč; Ostatní pojistná nebezpečí 20 000 Kč.</w:t>
                      </w:r>
                    </w:p>
                  </w:txbxContent>
                </v:textbox>
                <w10:wrap type="topAndBottom" anchorx="page"/>
              </v:shape>
            </w:pict>
          </mc:Fallback>
        </mc:AlternateContent>
      </w:r>
    </w:p>
    <w:p>
      <w:pPr>
        <w:pStyle w:val="Style9"/>
        <w:keepNext w:val="0"/>
        <w:keepLines w:val="0"/>
        <w:widowControl w:val="0"/>
        <w:shd w:val="clear" w:color="auto" w:fill="auto"/>
        <w:bidi w:val="0"/>
        <w:spacing w:before="0" w:after="0" w:line="271" w:lineRule="auto"/>
        <w:ind w:left="160" w:right="0" w:firstLine="0"/>
        <w:jc w:val="left"/>
      </w:pPr>
      <w:r>
        <w:rPr>
          <w:color w:val="000000"/>
          <w:spacing w:val="0"/>
          <w:w w:val="100"/>
          <w:position w:val="0"/>
          <w:shd w:val="clear" w:color="auto" w:fill="auto"/>
          <w:lang w:val="cs-CZ" w:eastAsia="cs-CZ" w:bidi="cs-CZ"/>
        </w:rPr>
        <w:t>Odchylně od ZPP P-150/14, či. 1., odst. 6), bodu h) se pojištění vztahuje též na ostatní stavby na vodních tocích, avšak za podmínky výslovného uvedení konkrétní ostatní stavby v přehledu pojištěných míst, nemovitostí - příloha č.2 této pojistné smlouvy.</w:t>
      </w:r>
    </w:p>
    <w:p>
      <w:pPr>
        <w:pStyle w:val="Style9"/>
        <w:keepNext w:val="0"/>
        <w:keepLines w:val="0"/>
        <w:widowControl w:val="0"/>
        <w:shd w:val="clear" w:color="auto" w:fill="auto"/>
        <w:bidi w:val="0"/>
        <w:spacing w:before="0" w:after="0" w:line="269" w:lineRule="auto"/>
        <w:ind w:left="240" w:right="0" w:firstLine="20"/>
        <w:jc w:val="left"/>
      </w:pPr>
      <w:r>
        <w:rPr>
          <w:color w:val="000000"/>
          <w:spacing w:val="0"/>
          <w:w w:val="100"/>
          <w:position w:val="0"/>
          <w:shd w:val="clear" w:color="auto" w:fill="auto"/>
          <w:lang w:val="cs-CZ" w:eastAsia="cs-CZ" w:bidi="cs-CZ"/>
        </w:rPr>
        <w:t xml:space="preserve">Pojištění poř. č. 1 se vztahuje též na technologie </w:t>
      </w:r>
      <w:r>
        <w:rPr>
          <w:b/>
          <w:bCs/>
          <w:color w:val="000000"/>
          <w:spacing w:val="0"/>
          <w:w w:val="100"/>
          <w:position w:val="0"/>
          <w:shd w:val="clear" w:color="auto" w:fill="auto"/>
          <w:lang w:val="cs-CZ" w:eastAsia="cs-CZ" w:bidi="cs-CZ"/>
        </w:rPr>
        <w:t xml:space="preserve">fotovoltaícké elektrárny umístěné na budově/stavbě </w:t>
      </w:r>
      <w:r>
        <w:rPr>
          <w:color w:val="000000"/>
          <w:spacing w:val="0"/>
          <w:w w:val="100"/>
          <w:position w:val="0"/>
          <w:shd w:val="clear" w:color="auto" w:fill="auto"/>
          <w:lang w:val="cs-CZ" w:eastAsia="cs-CZ" w:bidi="cs-CZ"/>
        </w:rPr>
        <w:t xml:space="preserve">(dále „FVE") včetně elektroinstalace a konstrukčního upevnění, v nové ceně </w:t>
      </w:r>
      <w:r>
        <w:rPr>
          <w:b/>
          <w:bCs/>
          <w:color w:val="000000"/>
          <w:spacing w:val="0"/>
          <w:w w:val="100"/>
          <w:position w:val="0"/>
          <w:shd w:val="clear" w:color="auto" w:fill="auto"/>
          <w:lang w:val="cs-CZ" w:eastAsia="cs-CZ" w:bidi="cs-CZ"/>
        </w:rPr>
        <w:t xml:space="preserve">20.304.571 Kč, </w:t>
      </w:r>
      <w:r>
        <w:rPr>
          <w:color w:val="000000"/>
          <w:spacing w:val="0"/>
          <w:w w:val="100"/>
          <w:position w:val="0"/>
          <w:shd w:val="clear" w:color="auto" w:fill="auto"/>
          <w:lang w:val="cs-CZ" w:eastAsia="cs-CZ" w:bidi="cs-CZ"/>
        </w:rPr>
        <w:t>uvedené v příloze č.2 této pojistné smlouvy, v místě:</w:t>
      </w:r>
    </w:p>
    <w:p>
      <w:pPr>
        <w:pStyle w:val="Style9"/>
        <w:keepNext w:val="0"/>
        <w:keepLines w:val="0"/>
        <w:widowControl w:val="0"/>
        <w:shd w:val="clear" w:color="auto" w:fill="auto"/>
        <w:tabs>
          <w:tab w:pos="7980" w:val="left"/>
        </w:tabs>
        <w:bidi w:val="0"/>
        <w:spacing w:before="0" w:after="0" w:line="269" w:lineRule="auto"/>
        <w:ind w:left="0" w:right="0" w:firstLine="400"/>
        <w:jc w:val="left"/>
      </w:pPr>
      <w:r>
        <w:rPr>
          <w:color w:val="000000"/>
          <w:spacing w:val="0"/>
          <w:w w:val="100"/>
          <w:position w:val="0"/>
          <w:shd w:val="clear" w:color="auto" w:fill="auto"/>
          <w:lang w:val="cs-CZ" w:eastAsia="cs-CZ" w:bidi="cs-CZ"/>
        </w:rPr>
        <w:t>* Pražská 319, pare. č. 429/1, 429/2, 427, 430/1, v k.ú. Terezín , 411 55 ČR</w:t>
      </w:r>
      <w:r>
        <w:rPr>
          <w:u w:val="single"/>
        </w:rPr>
        <w:t xml:space="preserve"> </w:t>
        <w:tab/>
      </w:r>
      <w:r>
        <w:rPr>
          <w:color w:val="000000"/>
          <w:spacing w:val="0"/>
          <w:w w:val="100"/>
          <w:position w:val="0"/>
          <w:shd w:val="clear" w:color="auto" w:fill="auto"/>
          <w:lang w:val="cs-CZ" w:eastAsia="cs-CZ" w:bidi="cs-CZ"/>
        </w:rPr>
        <w:t xml:space="preserve"> NC: 2.930.031 Kč</w:t>
      </w:r>
    </w:p>
    <w:tbl>
      <w:tblPr>
        <w:tblOverlap w:val="never"/>
        <w:jc w:val="center"/>
        <w:tblLayout w:type="fixed"/>
      </w:tblPr>
      <w:tblGrid>
        <w:gridCol w:w="7190"/>
        <w:gridCol w:w="2475"/>
      </w:tblGrid>
      <w:tr>
        <w:trPr>
          <w:trHeight w:val="1642" w:hRule="exact"/>
        </w:trPr>
        <w:tc>
          <w:tcPr>
            <w:tcBorders/>
            <w:shd w:val="clear" w:color="auto" w:fill="FFFFFF"/>
            <w:vAlign w:val="top"/>
          </w:tcPr>
          <w:p>
            <w:pPr>
              <w:pStyle w:val="Style2"/>
              <w:keepNext w:val="0"/>
              <w:keepLines w:val="0"/>
              <w:widowControl w:val="0"/>
              <w:numPr>
                <w:ilvl w:val="0"/>
                <w:numId w:val="5"/>
              </w:numPr>
              <w:shd w:val="clear" w:color="auto" w:fill="auto"/>
              <w:tabs>
                <w:tab w:pos="540" w:val="left"/>
                <w:tab w:leader="dot" w:pos="633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Mostecká 50, Otovíce , 362 32 ČR</w:t>
              <w:tab/>
            </w:r>
          </w:p>
          <w:p>
            <w:pPr>
              <w:pStyle w:val="Style2"/>
              <w:keepNext w:val="0"/>
              <w:keepLines w:val="0"/>
              <w:widowControl w:val="0"/>
              <w:numPr>
                <w:ilvl w:val="0"/>
                <w:numId w:val="5"/>
              </w:numPr>
              <w:shd w:val="clear" w:color="auto" w:fill="auto"/>
              <w:tabs>
                <w:tab w:pos="535" w:val="left"/>
                <w:tab w:leader="dot" w:pos="6362" w:val="left"/>
              </w:tabs>
              <w:bidi w:val="0"/>
              <w:spacing w:before="0" w:after="0" w:line="240" w:lineRule="auto"/>
              <w:ind w:left="0" w:right="0" w:firstLine="400"/>
              <w:jc w:val="both"/>
            </w:pPr>
            <w:r>
              <w:rPr>
                <w:color w:val="000000"/>
                <w:spacing w:val="0"/>
                <w:w w:val="100"/>
                <w:position w:val="0"/>
                <w:shd w:val="clear" w:color="auto" w:fill="auto"/>
                <w:lang w:val="cs-CZ" w:eastAsia="cs-CZ" w:bidi="cs-CZ"/>
              </w:rPr>
              <w:t>Tršnická 133 /17 , Cheb , 350 02 ČR</w:t>
              <w:tab/>
            </w:r>
          </w:p>
          <w:p>
            <w:pPr>
              <w:pStyle w:val="Style2"/>
              <w:keepNext w:val="0"/>
              <w:keepLines w:val="0"/>
              <w:widowControl w:val="0"/>
              <w:numPr>
                <w:ilvl w:val="0"/>
                <w:numId w:val="5"/>
              </w:numPr>
              <w:shd w:val="clear" w:color="auto" w:fill="auto"/>
              <w:tabs>
                <w:tab w:pos="540" w:val="left"/>
                <w:tab w:leader="dot" w:pos="633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VD Fláje , Fláje , 436 01 ČR</w:t>
              <w:tab/>
            </w:r>
          </w:p>
          <w:p>
            <w:pPr>
              <w:pStyle w:val="Style2"/>
              <w:keepNext w:val="0"/>
              <w:keepLines w:val="0"/>
              <w:widowControl w:val="0"/>
              <w:numPr>
                <w:ilvl w:val="0"/>
                <w:numId w:val="5"/>
              </w:numPr>
              <w:shd w:val="clear" w:color="auto" w:fill="auto"/>
              <w:tabs>
                <w:tab w:pos="544" w:val="left"/>
                <w:tab w:leader="dot" w:pos="6372"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PD Česká Lípa, Litoměřická 91, 470 01 ČR (pův. 2010)</w:t>
              <w:tab/>
            </w:r>
          </w:p>
          <w:p>
            <w:pPr>
              <w:pStyle w:val="Style2"/>
              <w:keepNext w:val="0"/>
              <w:keepLines w:val="0"/>
              <w:widowControl w:val="0"/>
              <w:numPr>
                <w:ilvl w:val="0"/>
                <w:numId w:val="5"/>
              </w:numPr>
              <w:shd w:val="clear" w:color="auto" w:fill="auto"/>
              <w:tabs>
                <w:tab w:pos="544" w:val="left"/>
                <w:tab w:leader="dot" w:pos="6372"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PD Česká Lípa, Litoměřická 91, 470 01 ČR (nová 2023)</w:t>
              <w:tab/>
            </w:r>
          </w:p>
          <w:p>
            <w:pPr>
              <w:pStyle w:val="Style2"/>
              <w:keepNext w:val="0"/>
              <w:keepLines w:val="0"/>
              <w:widowControl w:val="0"/>
              <w:numPr>
                <w:ilvl w:val="0"/>
                <w:numId w:val="5"/>
              </w:numPr>
              <w:shd w:val="clear" w:color="auto" w:fill="auto"/>
              <w:tabs>
                <w:tab w:pos="540" w:val="left"/>
                <w:tab w:leader="dot" w:pos="6348" w:val="left"/>
              </w:tabs>
              <w:bidi w:val="0"/>
              <w:spacing w:before="0" w:after="0" w:line="240" w:lineRule="auto"/>
              <w:ind w:left="0" w:right="0" w:firstLine="400"/>
              <w:jc w:val="both"/>
            </w:pPr>
            <w:r>
              <w:rPr>
                <w:color w:val="000000"/>
                <w:spacing w:val="0"/>
                <w:w w:val="100"/>
                <w:position w:val="0"/>
                <w:shd w:val="clear" w:color="auto" w:fill="auto"/>
                <w:lang w:val="cs-CZ" w:eastAsia="cs-CZ" w:bidi="cs-CZ"/>
              </w:rPr>
              <w:t>Horova 12, Karlovy Vary, 360 01 ČR</w:t>
              <w:tab/>
            </w:r>
          </w:p>
          <w:p>
            <w:pPr>
              <w:pStyle w:val="Style2"/>
              <w:keepNext w:val="0"/>
              <w:keepLines w:val="0"/>
              <w:widowControl w:val="0"/>
              <w:numPr>
                <w:ilvl w:val="0"/>
                <w:numId w:val="5"/>
              </w:numPr>
              <w:shd w:val="clear" w:color="auto" w:fill="auto"/>
              <w:tabs>
                <w:tab w:pos="540" w:val="left"/>
                <w:tab w:leader="dot" w:pos="6362" w:val="left"/>
              </w:tabs>
              <w:bidi w:val="0"/>
              <w:spacing w:before="0" w:after="0" w:line="240" w:lineRule="auto"/>
              <w:ind w:left="0" w:right="0" w:firstLine="400"/>
              <w:jc w:val="both"/>
            </w:pPr>
            <w:r>
              <w:rPr>
                <w:color w:val="000000"/>
                <w:spacing w:val="0"/>
                <w:w w:val="100"/>
                <w:position w:val="0"/>
                <w:shd w:val="clear" w:color="auto" w:fill="auto"/>
                <w:lang w:val="cs-CZ" w:eastAsia="cs-CZ" w:bidi="cs-CZ"/>
              </w:rPr>
              <w:t>Bezručova 4219, Chomutov, 430 03 ČR (nová 2024)</w:t>
              <w:tab/>
            </w:r>
          </w:p>
        </w:tc>
        <w:tc>
          <w:tcPr>
            <w:tcBorders/>
            <w:shd w:val="clear" w:color="auto" w:fill="FFFFFF"/>
            <w:vAlign w:val="top"/>
          </w:tcPr>
          <w:p>
            <w:pPr>
              <w:pStyle w:val="Style2"/>
              <w:keepNext w:val="0"/>
              <w:keepLines w:val="0"/>
              <w:widowControl w:val="0"/>
              <w:shd w:val="clear" w:color="auto" w:fill="auto"/>
              <w:bidi w:val="0"/>
              <w:spacing w:before="0" w:after="0" w:line="276" w:lineRule="auto"/>
              <w:ind w:left="0" w:right="0" w:firstLine="800"/>
              <w:jc w:val="left"/>
            </w:pPr>
            <w:r>
              <w:rPr>
                <w:color w:val="000000"/>
                <w:spacing w:val="0"/>
                <w:w w:val="100"/>
                <w:position w:val="0"/>
                <w:shd w:val="clear" w:color="auto" w:fill="auto"/>
                <w:lang w:val="cs-CZ" w:eastAsia="cs-CZ" w:bidi="cs-CZ"/>
              </w:rPr>
              <w:t>.NC: 1.446.471 Kč</w:t>
            </w:r>
          </w:p>
          <w:p>
            <w:pPr>
              <w:pStyle w:val="Style2"/>
              <w:keepNext w:val="0"/>
              <w:keepLines w:val="0"/>
              <w:widowControl w:val="0"/>
              <w:shd w:val="clear" w:color="auto" w:fill="auto"/>
              <w:bidi w:val="0"/>
              <w:spacing w:before="0" w:after="0" w:line="276" w:lineRule="auto"/>
              <w:ind w:left="0" w:right="0" w:firstLine="800"/>
              <w:jc w:val="left"/>
            </w:pPr>
            <w:r>
              <w:rPr>
                <w:color w:val="000000"/>
                <w:spacing w:val="0"/>
                <w:w w:val="100"/>
                <w:position w:val="0"/>
                <w:shd w:val="clear" w:color="auto" w:fill="auto"/>
                <w:lang w:val="cs-CZ" w:eastAsia="cs-CZ" w:bidi="cs-CZ"/>
              </w:rPr>
              <w:t>.NC: 1.483.560</w:t>
            </w:r>
          </w:p>
          <w:p>
            <w:pPr>
              <w:pStyle w:val="Style2"/>
              <w:keepNext w:val="0"/>
              <w:keepLines w:val="0"/>
              <w:widowControl w:val="0"/>
              <w:shd w:val="clear" w:color="auto" w:fill="auto"/>
              <w:bidi w:val="0"/>
              <w:spacing w:before="0" w:after="0" w:line="276" w:lineRule="auto"/>
              <w:ind w:left="800" w:right="0" w:firstLine="20"/>
              <w:jc w:val="left"/>
            </w:pPr>
            <w:r>
              <w:rPr>
                <w:color w:val="000000"/>
                <w:spacing w:val="0"/>
                <w:w w:val="100"/>
                <w:position w:val="0"/>
                <w:shd w:val="clear" w:color="auto" w:fill="auto"/>
                <w:lang w:val="cs-CZ" w:eastAsia="cs-CZ" w:bidi="cs-CZ"/>
              </w:rPr>
              <w:t xml:space="preserve">Kč ..NC7:04.691 Kč </w:t>
            </w:r>
            <w:r>
              <w:rPr>
                <w:color w:val="000000"/>
                <w:spacing w:val="0"/>
                <w:w w:val="100"/>
                <w:position w:val="0"/>
                <w:shd w:val="clear" w:color="auto" w:fill="auto"/>
                <w:vertAlign w:val="subscript"/>
                <w:lang w:val="cs-CZ" w:eastAsia="cs-CZ" w:bidi="cs-CZ"/>
              </w:rPr>
              <w:t>NC:</w:t>
            </w:r>
            <w:r>
              <w:rPr>
                <w:color w:val="000000"/>
                <w:spacing w:val="0"/>
                <w:w w:val="100"/>
                <w:position w:val="0"/>
                <w:shd w:val="clear" w:color="auto" w:fill="auto"/>
                <w:lang w:val="cs-CZ" w:eastAsia="cs-CZ" w:bidi="cs-CZ"/>
              </w:rPr>
              <w:t xml:space="preserve"> 704 691 Kč .NC: 2.983.081 Kč .NC: 296.712 Kč .NC: 9.755.334 Kč</w:t>
            </w:r>
          </w:p>
        </w:tc>
      </w:tr>
    </w:tbl>
    <w:p>
      <w:pPr>
        <w:pStyle w:val="Style6"/>
        <w:keepNext w:val="0"/>
        <w:keepLines w:val="0"/>
        <w:widowControl w:val="0"/>
        <w:shd w:val="clear" w:color="auto" w:fill="auto"/>
        <w:bidi w:val="0"/>
        <w:spacing w:before="0" w:after="0"/>
        <w:ind w:left="0" w:right="0" w:firstLine="0"/>
        <w:jc w:val="left"/>
      </w:pPr>
      <w:r>
        <w:rPr>
          <w:b w:val="0"/>
          <w:bCs w:val="0"/>
          <w:color w:val="000000"/>
          <w:spacing w:val="0"/>
          <w:w w:val="100"/>
          <w:position w:val="0"/>
          <w:shd w:val="clear" w:color="auto" w:fill="auto"/>
          <w:lang w:val="cs-CZ" w:eastAsia="cs-CZ" w:bidi="cs-CZ"/>
        </w:rPr>
        <w:t>Odchylně od ZPP P-150/14, čl. 2., odst. 2), bodu e) se pojištění vztahuje též na případ poškození/zničení pojištěné fotovoltaícké elektrárny tíhou sněhu či námrazy.</w:t>
      </w:r>
    </w:p>
    <w:p>
      <w:pPr>
        <w:widowControl w:val="0"/>
        <w:spacing w:after="199" w:line="1" w:lineRule="exact"/>
      </w:pPr>
    </w:p>
    <w:p>
      <w:pPr>
        <w:pStyle w:val="Style9"/>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 xml:space="preserve">Pojištění poř. č. 1 se vztahuje též na </w:t>
      </w:r>
      <w:r>
        <w:rPr>
          <w:b/>
          <w:bCs/>
          <w:color w:val="000000"/>
          <w:spacing w:val="0"/>
          <w:w w:val="100"/>
          <w:position w:val="0"/>
          <w:shd w:val="clear" w:color="auto" w:fill="auto"/>
          <w:lang w:val="cs-CZ" w:eastAsia="cs-CZ" w:bidi="cs-CZ"/>
        </w:rPr>
        <w:t xml:space="preserve">otočné kamery </w:t>
      </w:r>
      <w:r>
        <w:rPr>
          <w:color w:val="000000"/>
          <w:spacing w:val="0"/>
          <w:w w:val="100"/>
          <w:position w:val="0"/>
          <w:shd w:val="clear" w:color="auto" w:fill="auto"/>
          <w:lang w:val="cs-CZ" w:eastAsia="cs-CZ" w:bidi="cs-CZ"/>
        </w:rPr>
        <w:t>(včetně elektroinstalace a konstrukčního upevnění):</w:t>
      </w:r>
    </w:p>
    <w:p>
      <w:pPr>
        <w:pStyle w:val="Style9"/>
        <w:keepNext w:val="0"/>
        <w:keepLines w:val="0"/>
        <w:widowControl w:val="0"/>
        <w:numPr>
          <w:ilvl w:val="0"/>
          <w:numId w:val="7"/>
        </w:numPr>
        <w:shd w:val="clear" w:color="auto" w:fill="auto"/>
        <w:tabs>
          <w:tab w:pos="267" w:val="left"/>
        </w:tabs>
        <w:bidi w:val="0"/>
        <w:spacing w:before="0" w:after="0" w:line="266" w:lineRule="auto"/>
        <w:ind w:left="240" w:right="0" w:hanging="240"/>
        <w:jc w:val="left"/>
      </w:pPr>
      <w:bookmarkStart w:id="55" w:name="bookmark55"/>
      <w:bookmarkEnd w:id="55"/>
      <w:r>
        <w:rPr>
          <w:color w:val="000000"/>
          <w:spacing w:val="0"/>
          <w:w w:val="100"/>
          <w:position w:val="0"/>
          <w:shd w:val="clear" w:color="auto" w:fill="auto"/>
          <w:lang w:val="cs-CZ" w:eastAsia="cs-CZ" w:bidi="cs-CZ"/>
        </w:rPr>
        <w:t>SpeedDome IP Kamera 2MPx, trvale umístěna na 5m vysokém sloupu veřejného osvětlení na koruně hráze VD Březová, v nové ceně 55.107 Kč bez DPH.</w:t>
      </w:r>
    </w:p>
    <w:p>
      <w:pPr>
        <w:pStyle w:val="Style9"/>
        <w:keepNext w:val="0"/>
        <w:keepLines w:val="0"/>
        <w:widowControl w:val="0"/>
        <w:numPr>
          <w:ilvl w:val="0"/>
          <w:numId w:val="7"/>
        </w:numPr>
        <w:shd w:val="clear" w:color="auto" w:fill="auto"/>
        <w:tabs>
          <w:tab w:pos="267" w:val="left"/>
        </w:tabs>
        <w:bidi w:val="0"/>
        <w:spacing w:before="0" w:after="0" w:line="266" w:lineRule="auto"/>
        <w:ind w:left="240" w:right="0" w:hanging="240"/>
        <w:jc w:val="left"/>
      </w:pPr>
      <w:bookmarkStart w:id="56" w:name="bookmark56"/>
      <w:bookmarkEnd w:id="56"/>
      <w:r>
        <w:rPr>
          <w:color w:val="000000"/>
          <w:spacing w:val="0"/>
          <w:w w:val="100"/>
          <w:position w:val="0"/>
          <w:shd w:val="clear" w:color="auto" w:fill="auto"/>
          <w:lang w:val="cs-CZ" w:eastAsia="cs-CZ" w:bidi="cs-CZ"/>
        </w:rPr>
        <w:t>SONY SNC.RZ-30P trvale umístěné ve stropu přemostění výtoku koryta VD Nechráníce ve výšce ca 4,5m, v nové ceně 110.867 Kč bez DPH.</w:t>
      </w:r>
    </w:p>
    <w:p>
      <w:pPr>
        <w:pStyle w:val="Style9"/>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Odchylně od výše uvedeného se pro uvedené kamery sjednává spoluúčast</w:t>
      </w:r>
      <w:r>
        <w:rPr>
          <w:color w:val="000000"/>
          <w:spacing w:val="0"/>
          <w:w w:val="100"/>
          <w:position w:val="0"/>
          <w:shd w:val="clear" w:color="auto" w:fill="auto"/>
          <w:vertAlign w:val="superscript"/>
          <w:lang w:val="cs-CZ" w:eastAsia="cs-CZ" w:bidi="cs-CZ"/>
        </w:rPr>
        <w:t>55</w:t>
      </w:r>
      <w:r>
        <w:rPr>
          <w:color w:val="000000"/>
          <w:spacing w:val="0"/>
          <w:w w:val="100"/>
          <w:position w:val="0"/>
          <w:shd w:val="clear" w:color="auto" w:fill="auto"/>
          <w:lang w:val="cs-CZ" w:eastAsia="cs-CZ" w:bidi="cs-CZ"/>
        </w:rPr>
        <w:t xml:space="preserve"> ve výši:</w:t>
      </w:r>
    </w:p>
    <w:p>
      <w:pPr>
        <w:pStyle w:val="Style9"/>
        <w:keepNext w:val="0"/>
        <w:keepLines w:val="0"/>
        <w:widowControl w:val="0"/>
        <w:shd w:val="clear" w:color="auto" w:fill="auto"/>
        <w:bidi w:val="0"/>
        <w:spacing w:before="0" w:after="200" w:line="266" w:lineRule="auto"/>
        <w:ind w:left="0" w:right="0" w:firstLine="0"/>
        <w:jc w:val="left"/>
      </w:pPr>
      <w:r>
        <w:rPr>
          <w:color w:val="000000"/>
          <w:spacing w:val="0"/>
          <w:w w:val="100"/>
          <w:position w:val="0"/>
          <w:shd w:val="clear" w:color="auto" w:fill="auto"/>
          <w:lang w:val="cs-CZ" w:eastAsia="cs-CZ" w:bidi="cs-CZ"/>
        </w:rPr>
        <w:t>„Povodeň nebo záplava" 50 000 Kč; DZ114 nepřímý úder blesku 5 000 Kč; Ostatní pojistná nebezpečí 5 000 Kč</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Ujednává se, že se ustanovení či. 3 odst. 3) ZPP P-150/14 ruší a nově zní:</w:t>
      </w:r>
    </w:p>
    <w:p>
      <w:pPr>
        <w:pStyle w:val="Style9"/>
        <w:keepNext w:val="0"/>
        <w:keepLines w:val="0"/>
        <w:widowControl w:val="0"/>
        <w:shd w:val="clear" w:color="auto" w:fill="auto"/>
        <w:bidi w:val="0"/>
        <w:spacing w:before="0" w:after="200" w:line="259"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„Z </w:t>
      </w:r>
      <w:r>
        <w:rPr>
          <w:i/>
          <w:iCs/>
          <w:color w:val="000000"/>
          <w:spacing w:val="0"/>
          <w:w w:val="100"/>
          <w:position w:val="0"/>
          <w:sz w:val="17"/>
          <w:szCs w:val="17"/>
          <w:shd w:val="clear" w:color="auto" w:fill="auto"/>
          <w:lang w:val="cs-CZ" w:eastAsia="cs-CZ" w:bidi="cs-CZ"/>
        </w:rPr>
        <w:t>pojištění nevzniká právo na plnění pojistitele za škody vzniklé na pojištěné věci během její přepravy jako nákladu.</w:t>
      </w:r>
      <w:r>
        <w:rPr>
          <w:color w:val="000000"/>
          <w:spacing w:val="0"/>
          <w:w w:val="100"/>
          <w:position w:val="0"/>
          <w:sz w:val="14"/>
          <w:szCs w:val="14"/>
          <w:shd w:val="clear" w:color="auto" w:fill="auto"/>
          <w:lang w:val="cs-CZ" w:eastAsia="cs-CZ" w:bidi="cs-CZ"/>
        </w:rPr>
        <w:t xml:space="preserve"> *) není-li uvedeno, sjednává se pojištění s pojistnou hodnotou uvedenou v příslušných pojistných podmínkách</w:t>
      </w:r>
      <w:r>
        <w:br w:type="page"/>
      </w:r>
    </w:p>
    <w:p>
      <w:pPr>
        <w:pStyle w:val="Style31"/>
        <w:keepNext/>
        <w:keepLines/>
        <w:widowControl w:val="0"/>
        <w:numPr>
          <w:ilvl w:val="1"/>
          <w:numId w:val="3"/>
        </w:numPr>
        <w:shd w:val="clear" w:color="auto" w:fill="auto"/>
        <w:tabs>
          <w:tab w:pos="494" w:val="left"/>
        </w:tabs>
        <w:bidi w:val="0"/>
        <w:spacing w:before="0" w:after="0" w:line="240" w:lineRule="auto"/>
        <w:ind w:left="0" w:right="0" w:firstLine="0"/>
        <w:jc w:val="left"/>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Pojištění pro případ odcizení</w:t>
      </w:r>
      <w:bookmarkEnd w:id="57"/>
      <w:bookmarkEnd w:id="58"/>
      <w:bookmarkEnd w:id="60"/>
    </w:p>
    <w:p>
      <w:pPr>
        <w:pStyle w:val="Style9"/>
        <w:keepNext w:val="0"/>
        <w:keepLines w:val="0"/>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Pojištění se sjednává pro předměty pojištění v rozsahu a na místech pojištění uvedených v následující tabulce:</w:t>
      </w:r>
    </w:p>
    <w:p>
      <w:pPr>
        <w:pStyle w:val="Style31"/>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2.2.1 Pojištění pro případ odcizení</w:t>
      </w:r>
      <w:bookmarkEnd w:id="61"/>
      <w:bookmarkEnd w:id="62"/>
      <w:bookmarkEnd w:id="63"/>
    </w:p>
    <w:tbl>
      <w:tblPr>
        <w:tblpPr w:leftFromText="0" w:rightFromText="0" w:topFromText="0" w:bottomFromText="0" w:horzAnchor="page" w:tblpX="1212" w:vertAnchor="text" w:tblpY="620"/>
        <w:jc w:val="left"/>
        <w:tblLayout w:type="fixed"/>
      </w:tblPr>
      <w:tblGrid>
        <w:gridCol w:w="797"/>
        <w:gridCol w:w="2635"/>
        <w:gridCol w:w="1238"/>
        <w:gridCol w:w="1234"/>
        <w:gridCol w:w="1234"/>
        <w:gridCol w:w="1219"/>
        <w:gridCol w:w="1224"/>
      </w:tblGrid>
      <w:tr>
        <w:trPr>
          <w:tblHeader/>
          <w:trHeight w:val="73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88" w:lineRule="auto"/>
              <w:ind w:left="0" w:right="0" w:firstLine="0"/>
              <w:jc w:val="center"/>
            </w:pPr>
            <w:r>
              <w:rPr>
                <w:b/>
                <w:bCs/>
                <w:color w:val="000000"/>
                <w:spacing w:val="0"/>
                <w:w w:val="100"/>
                <w:position w:val="0"/>
                <w:shd w:val="clear" w:color="auto" w:fill="auto"/>
                <w:lang w:val="cs-CZ" w:eastAsia="cs-CZ" w:bidi="cs-CZ"/>
              </w:rPr>
              <w:t>Poř. číslo</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pojištění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Pojistná</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částka</w:t>
            </w:r>
            <w:r>
              <w:rPr>
                <w:b/>
                <w:bCs/>
                <w:color w:val="000000"/>
                <w:spacing w:val="0"/>
                <w:w w:val="100"/>
                <w:position w:val="0"/>
                <w:shd w:val="clear" w:color="auto" w:fill="auto"/>
                <w:vertAlign w:val="superscript"/>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18" w:lineRule="auto"/>
              <w:ind w:left="0" w:right="0" w:firstLine="0"/>
              <w:jc w:val="center"/>
            </w:pPr>
            <w:r>
              <w:rPr>
                <w:b/>
                <w:bCs/>
                <w:color w:val="000000"/>
                <w:spacing w:val="0"/>
                <w:w w:val="100"/>
                <w:position w:val="0"/>
                <w:shd w:val="clear" w:color="auto" w:fill="auto"/>
                <w:lang w:val="cs-CZ" w:eastAsia="cs-CZ" w:bidi="cs-CZ"/>
              </w:rPr>
              <w:t>Spoluúčast</w:t>
            </w:r>
            <w:r>
              <w:rPr>
                <w:b/>
                <w:bCs/>
                <w:color w:val="000000"/>
                <w:spacing w:val="0"/>
                <w:w w:val="100"/>
                <w:position w:val="0"/>
                <w:shd w:val="clear" w:color="auto" w:fill="auto"/>
                <w:vertAlign w:val="superscript"/>
                <w:lang w:val="cs-CZ" w:eastAsia="cs-CZ" w:bidi="cs-CZ"/>
              </w:rPr>
              <w:t xml:space="preserve">5 </w:t>
            </w:r>
            <w:r>
              <w:rPr>
                <w:b/>
                <w:bCs/>
                <w:color w:val="000000"/>
                <w:spacing w:val="0"/>
                <w:w w:val="100"/>
                <w:position w:val="0"/>
                <w:shd w:val="clear" w:color="auto" w:fill="auto"/>
                <w:lang w:val="cs-CZ" w:eastAsia="cs-CZ" w:bidi="cs-CZ"/>
              </w:rPr>
              <w:t>)</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86" w:lineRule="auto"/>
              <w:ind w:left="0" w:right="0" w:firstLine="0"/>
              <w:jc w:val="center"/>
            </w:pPr>
            <w:r>
              <w:rPr>
                <w:b/>
                <w:bCs/>
                <w:color w:val="000000"/>
                <w:spacing w:val="0"/>
                <w:w w:val="100"/>
                <w:position w:val="0"/>
                <w:shd w:val="clear" w:color="auto" w:fill="auto"/>
                <w:lang w:val="cs-CZ" w:eastAsia="cs-CZ" w:bidi="cs-CZ"/>
              </w:rPr>
              <w:t>Pojištění se sjednává na cenu*</w:t>
            </w:r>
            <w:r>
              <w:rPr>
                <w:b/>
                <w:bCs/>
                <w:color w:val="000000"/>
                <w:spacing w:val="0"/>
                <w:w w:val="100"/>
                <w:position w:val="0"/>
                <w:shd w:val="clear" w:color="auto" w:fill="auto"/>
                <w:vertAlign w:val="superscript"/>
                <w:lang w:val="cs-CZ" w:eastAsia="cs-CZ" w:bidi="cs-CZ"/>
              </w:rPr>
              <w:t>tí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w:t>
            </w:r>
            <w:r>
              <w:rPr>
                <w:b/>
                <w:bCs/>
                <w:color w:val="000000"/>
                <w:spacing w:val="0"/>
                <w:w w:val="100"/>
                <w:position w:val="0"/>
                <w:shd w:val="clear" w:color="auto" w:fill="auto"/>
                <w:lang w:val="cs-CZ" w:eastAsia="cs-CZ" w:bidi="cs-CZ"/>
              </w:rPr>
              <w:t xml:space="preserve"> První</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riziko</w:t>
            </w:r>
            <w:r>
              <w:rPr>
                <w:b/>
                <w:bCs/>
                <w:color w:val="000000"/>
                <w:spacing w:val="0"/>
                <w:w w:val="100"/>
                <w:position w:val="0"/>
                <w:shd w:val="clear" w:color="auto" w:fill="auto"/>
                <w:vertAlign w:val="superscript"/>
                <w:lang w:val="cs-CZ" w:eastAsia="cs-CZ" w:bidi="cs-CZ"/>
              </w:rPr>
              <w:t>2)</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w:t>
            </w:r>
          </w:p>
        </w:tc>
      </w:tr>
      <w:tr>
        <w:trPr>
          <w:trHeight w:val="941"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Vyjmenovaná zařízení vlastních a cizí oprávněná, včetně elektroinstalace a konstrukčního upevnění.</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5 000 Kč</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50 000 Kč</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r>
    </w:tbl>
    <w:p>
      <w:pPr>
        <w:pStyle w:val="Style9"/>
        <w:keepNext w:val="0"/>
        <w:keepLines w:val="0"/>
        <w:widowControl w:val="0"/>
        <w:pBdr>
          <w:top w:val="single" w:sz="4" w:space="0" w:color="auto"/>
        </w:pBdr>
        <w:shd w:val="clear" w:color="auto" w:fill="auto"/>
        <w:tabs>
          <w:tab w:pos="8597" w:val="left"/>
        </w:tabs>
        <w:bidi w:val="0"/>
        <w:spacing w:before="0" w:after="1600" w:line="240" w:lineRule="auto"/>
        <w:ind w:left="0" w:right="0" w:firstLine="0"/>
        <w:jc w:val="left"/>
      </w:pPr>
      <w:r>
        <w:rPr>
          <w:b/>
          <w:bCs/>
          <w:color w:val="000000"/>
          <w:spacing w:val="0"/>
          <w:w w:val="100"/>
          <w:position w:val="0"/>
          <w:shd w:val="clear" w:color="auto" w:fill="auto"/>
          <w:lang w:val="cs-CZ" w:eastAsia="cs-CZ" w:bidi="cs-CZ"/>
        </w:rPr>
        <w:t xml:space="preserve">Místo pojištění: </w:t>
      </w:r>
      <w:r>
        <w:rPr>
          <w:color w:val="000000"/>
          <w:spacing w:val="0"/>
          <w:w w:val="100"/>
          <w:position w:val="0"/>
          <w:shd w:val="clear" w:color="auto" w:fill="auto"/>
          <w:lang w:val="cs-CZ" w:eastAsia="cs-CZ" w:bidi="cs-CZ"/>
        </w:rPr>
        <w:t xml:space="preserve">specifikováno výše bodem 1.2., odstavce 1., článku II této pojistné smlouvy </w:t>
      </w:r>
      <w:r>
        <w:rPr>
          <w:u w:val="single"/>
        </w:rPr>
        <w:t xml:space="preserve"> </w:t>
        <w:tab/>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 xml:space="preserve">Rozsah pojištění: </w:t>
      </w:r>
      <w:r>
        <w:rPr>
          <w:color w:val="000000"/>
          <w:spacing w:val="0"/>
          <w:w w:val="100"/>
          <w:position w:val="0"/>
          <w:shd w:val="clear" w:color="auto" w:fill="auto"/>
          <w:lang w:val="cs-CZ" w:eastAsia="cs-CZ" w:bidi="cs-CZ"/>
        </w:rPr>
        <w:t xml:space="preserve">pojištění pro případ odcizení (s výjimkou loupeže přepravovaných peněz nebo cenin) </w:t>
      </w:r>
      <w:r>
        <w:rPr>
          <w:b/>
          <w:bCs/>
          <w:color w:val="000000"/>
          <w:spacing w:val="0"/>
          <w:w w:val="100"/>
          <w:position w:val="0"/>
          <w:shd w:val="clear" w:color="auto" w:fill="auto"/>
          <w:lang w:val="cs-CZ" w:eastAsia="cs-CZ" w:bidi="cs-CZ"/>
        </w:rPr>
        <w:t xml:space="preserve">Pojištění se řídí: </w:t>
      </w:r>
      <w:r>
        <w:rPr>
          <w:color w:val="000000"/>
          <w:spacing w:val="0"/>
          <w:w w:val="100"/>
          <w:position w:val="0"/>
          <w:shd w:val="clear" w:color="auto" w:fill="auto"/>
          <w:lang w:val="cs-CZ" w:eastAsia="cs-CZ" w:bidi="cs-CZ"/>
        </w:rPr>
        <w:t>VPP P-100/14, ZPP P-200/14 a doložkami DOB101, DOB1Q3, DOZ101, DOZ1Q5, DFVE104</w:t>
      </w:r>
    </w:p>
    <w:p>
      <w:pPr>
        <w:pStyle w:val="Style9"/>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 xml:space="preserve">Poznámky: </w:t>
      </w:r>
      <w:r>
        <w:rPr>
          <w:color w:val="000000"/>
          <w:spacing w:val="0"/>
          <w:w w:val="100"/>
          <w:position w:val="0"/>
          <w:shd w:val="clear" w:color="auto" w:fill="auto"/>
          <w:lang w:val="cs-CZ" w:eastAsia="cs-CZ" w:bidi="cs-CZ"/>
        </w:rPr>
        <w:t>Pojištění poř. č.l se vztahuje pouze na :</w:t>
      </w:r>
    </w:p>
    <w:p>
      <w:pPr>
        <w:pStyle w:val="Style9"/>
        <w:keepNext w:val="0"/>
        <w:keepLines w:val="0"/>
        <w:widowControl w:val="0"/>
        <w:shd w:val="clear" w:color="auto" w:fill="auto"/>
        <w:bidi w:val="0"/>
        <w:spacing w:before="0" w:after="0" w:line="276" w:lineRule="auto"/>
        <w:ind w:left="0" w:right="0" w:firstLine="0"/>
        <w:jc w:val="left"/>
      </w:pPr>
      <w:r>
        <w:rPr>
          <w:b/>
          <w:bCs/>
          <w:color w:val="000000"/>
          <w:spacing w:val="0"/>
          <w:w w:val="100"/>
          <w:position w:val="0"/>
          <w:shd w:val="clear" w:color="auto" w:fill="auto"/>
          <w:lang w:val="cs-CZ" w:eastAsia="cs-CZ" w:bidi="cs-CZ"/>
        </w:rPr>
        <w:t xml:space="preserve">- Otočné kamery </w:t>
      </w:r>
      <w:r>
        <w:rPr>
          <w:color w:val="000000"/>
          <w:spacing w:val="0"/>
          <w:w w:val="100"/>
          <w:position w:val="0"/>
          <w:shd w:val="clear" w:color="auto" w:fill="auto"/>
          <w:lang w:val="cs-CZ" w:eastAsia="cs-CZ" w:bidi="cs-CZ"/>
        </w:rPr>
        <w:t>(včetně elektroinstalace a konstrukčního upevnění):</w:t>
      </w:r>
    </w:p>
    <w:p>
      <w:pPr>
        <w:pStyle w:val="Style9"/>
        <w:keepNext w:val="0"/>
        <w:keepLines w:val="0"/>
        <w:widowControl w:val="0"/>
        <w:numPr>
          <w:ilvl w:val="0"/>
          <w:numId w:val="7"/>
        </w:numPr>
        <w:shd w:val="clear" w:color="auto" w:fill="auto"/>
        <w:tabs>
          <w:tab w:pos="262" w:val="left"/>
        </w:tabs>
        <w:bidi w:val="0"/>
        <w:spacing w:before="0" w:after="0" w:line="276" w:lineRule="auto"/>
        <w:ind w:left="280" w:right="0" w:hanging="280"/>
        <w:jc w:val="left"/>
      </w:pPr>
      <w:bookmarkStart w:id="64" w:name="bookmark64"/>
      <w:bookmarkEnd w:id="64"/>
      <w:r>
        <w:rPr>
          <w:color w:val="000000"/>
          <w:spacing w:val="0"/>
          <w:w w:val="100"/>
          <w:position w:val="0"/>
          <w:shd w:val="clear" w:color="auto" w:fill="auto"/>
          <w:lang w:val="cs-CZ" w:eastAsia="cs-CZ" w:bidi="cs-CZ"/>
        </w:rPr>
        <w:t>SpeedDome IP Kamera 2MPx, trvale umístěna na 5m vysokém sloupu veřejného osvětlení na koruně hráze VD Březová, v nové ceně 55.107 Kč bez DPH.</w:t>
      </w:r>
    </w:p>
    <w:p>
      <w:pPr>
        <w:pStyle w:val="Style9"/>
        <w:keepNext w:val="0"/>
        <w:keepLines w:val="0"/>
        <w:widowControl w:val="0"/>
        <w:numPr>
          <w:ilvl w:val="0"/>
          <w:numId w:val="7"/>
        </w:numPr>
        <w:shd w:val="clear" w:color="auto" w:fill="auto"/>
        <w:tabs>
          <w:tab w:pos="262" w:val="left"/>
        </w:tabs>
        <w:bidi w:val="0"/>
        <w:spacing w:before="0" w:after="300" w:line="276" w:lineRule="auto"/>
        <w:ind w:left="280" w:right="0" w:hanging="280"/>
        <w:jc w:val="left"/>
      </w:pPr>
      <w:bookmarkStart w:id="65" w:name="bookmark65"/>
      <w:bookmarkEnd w:id="65"/>
      <w:r>
        <w:rPr>
          <w:color w:val="000000"/>
          <w:spacing w:val="0"/>
          <w:w w:val="100"/>
          <w:position w:val="0"/>
          <w:shd w:val="clear" w:color="auto" w:fill="auto"/>
          <w:lang w:val="cs-CZ" w:eastAsia="cs-CZ" w:bidi="cs-CZ"/>
        </w:rPr>
        <w:t>SONY SNC.RZ-30P trvale umístěné ve stropu přemostění výtoku koryta VD Nechráníce ve výšce ca 4,5m, v nové ceně 110.867 Kč bez DPH.</w:t>
      </w:r>
    </w:p>
    <w:p>
      <w:pPr>
        <w:pStyle w:val="Style9"/>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Došlo-li k odcizení krádeží pojištěné věci pod poř. č. 1, pojistitel poskytne plnění i v případě, že došlo k odcizení krádeží překonáním jejího konstrukčního upevnění </w:t>
      </w:r>
      <w:r>
        <w:rPr>
          <w:b/>
          <w:bCs/>
          <w:color w:val="000000"/>
          <w:spacing w:val="0"/>
          <w:w w:val="100"/>
          <w:position w:val="0"/>
          <w:shd w:val="clear" w:color="auto" w:fill="auto"/>
          <w:lang w:val="cs-CZ" w:eastAsia="cs-CZ" w:bidi="cs-CZ"/>
        </w:rPr>
        <w:t xml:space="preserve">(krádež s překonáním překážky). </w:t>
      </w:r>
      <w:r>
        <w:rPr>
          <w:color w:val="000000"/>
          <w:spacing w:val="0"/>
          <w:w w:val="100"/>
          <w:position w:val="0"/>
          <w:shd w:val="clear" w:color="auto" w:fill="auto"/>
          <w:lang w:val="cs-CZ" w:eastAsia="cs-CZ" w:bidi="cs-CZ"/>
        </w:rPr>
        <w:t>Další ujednání pro konstrukční upevnění uvedeno v bodu 8) článku 9 ZPP P-200/14.</w:t>
      </w:r>
    </w:p>
    <w:p>
      <w:pPr>
        <w:pStyle w:val="Style37"/>
        <w:keepNext w:val="0"/>
        <w:keepLines w:val="0"/>
        <w:widowControl w:val="0"/>
        <w:shd w:val="clear" w:color="auto" w:fill="auto"/>
        <w:bidi w:val="0"/>
        <w:spacing w:before="0" w:line="240" w:lineRule="auto"/>
        <w:ind w:left="0" w:right="0" w:firstLine="0"/>
        <w:jc w:val="left"/>
        <w:sectPr>
          <w:footerReference w:type="default" r:id="rId9"/>
          <w:footerReference w:type="even" r:id="rId10"/>
          <w:footerReference w:type="first" r:id="rId11"/>
          <w:footnotePr>
            <w:pos w:val="pageBottom"/>
            <w:numFmt w:val="decimal"/>
            <w:numRestart w:val="continuous"/>
          </w:footnotePr>
          <w:pgSz w:w="11909" w:h="16838"/>
          <w:pgMar w:top="1370" w:left="922" w:right="834" w:bottom="1780" w:header="0" w:footer="3" w:gutter="0"/>
          <w:pgNumType w:start="1"/>
          <w:cols w:space="720"/>
          <w:noEndnote/>
          <w:titlePg/>
          <w:rtlGutter w:val="0"/>
          <w:docGrid w:linePitch="360"/>
        </w:sectPr>
      </w:pPr>
      <w:r>
        <w:rPr>
          <w:color w:val="000000"/>
          <w:spacing w:val="0"/>
          <w:w w:val="100"/>
          <w:position w:val="0"/>
          <w:shd w:val="clear" w:color="auto" w:fill="auto"/>
          <w:lang w:val="cs-CZ" w:eastAsia="cs-CZ" w:bidi="cs-CZ"/>
        </w:rPr>
        <w:t>*) není-li uvedeno, sjednává se pojištění s pojistnou hodnotou uvedenou v příslušných pojistných podmínkách</w:t>
      </w:r>
    </w:p>
    <w:p>
      <w:pPr>
        <w:pStyle w:val="Style31"/>
        <w:keepNext/>
        <w:keepLines/>
        <w:widowControl w:val="0"/>
        <w:shd w:val="clear" w:color="auto" w:fill="auto"/>
        <w:bidi w:val="0"/>
        <w:spacing w:before="0" w:after="0" w:line="240" w:lineRule="auto"/>
        <w:ind w:left="0" w:right="0" w:firstLine="380"/>
        <w:jc w:val="left"/>
      </w:pPr>
      <w:bookmarkStart w:id="66" w:name="bookmark66"/>
      <w:bookmarkStart w:id="67" w:name="bookmark67"/>
      <w:bookmarkStart w:id="68" w:name="bookmark68"/>
      <w:r>
        <w:rPr>
          <w:color w:val="000000"/>
          <w:spacing w:val="0"/>
          <w:w w:val="100"/>
          <w:position w:val="0"/>
          <w:shd w:val="clear" w:color="auto" w:fill="auto"/>
          <w:lang w:val="cs-CZ" w:eastAsia="cs-CZ" w:bidi="cs-CZ"/>
        </w:rPr>
        <w:t>Pojištění elektronických zařízení</w:t>
      </w:r>
      <w:bookmarkEnd w:id="66"/>
      <w:bookmarkEnd w:id="67"/>
      <w:bookmarkEnd w:id="68"/>
    </w:p>
    <w:p>
      <w:pPr>
        <w:pStyle w:val="Style9"/>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Pojištění se sjednává pro předměty pojištění v rozsahu a na místech pojištění uvedených v následující tabulce: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2.3.1 Pojištění elektronických zařízení</w:t>
      </w:r>
    </w:p>
    <w:tbl>
      <w:tblPr>
        <w:tblOverlap w:val="never"/>
        <w:jc w:val="center"/>
        <w:tblLayout w:type="fixed"/>
      </w:tblPr>
      <w:tblGrid>
        <w:gridCol w:w="830"/>
        <w:gridCol w:w="2347"/>
        <w:gridCol w:w="1507"/>
        <w:gridCol w:w="1368"/>
        <w:gridCol w:w="1512"/>
        <w:gridCol w:w="2064"/>
      </w:tblGrid>
      <w:tr>
        <w:trPr>
          <w:trHeight w:val="269" w:hRule="exact"/>
        </w:trPr>
        <w:tc>
          <w:tcPr>
            <w:gridSpan w:val="6"/>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Místo pojištění: </w:t>
            </w:r>
            <w:r>
              <w:rPr>
                <w:color w:val="000000"/>
                <w:spacing w:val="0"/>
                <w:w w:val="100"/>
                <w:position w:val="0"/>
                <w:shd w:val="clear" w:color="auto" w:fill="auto"/>
                <w:lang w:val="cs-CZ" w:eastAsia="cs-CZ" w:bidi="cs-CZ"/>
              </w:rPr>
              <w:t>specifikováno výše bodem 1.2., odstavce 1., článku II této pojistné smlouvy</w:t>
            </w:r>
          </w:p>
        </w:tc>
      </w:tr>
      <w:tr>
        <w:trPr>
          <w:trHeight w:val="245" w:hRule="exact"/>
        </w:trPr>
        <w:tc>
          <w:tcPr>
            <w:gridSpan w:val="3"/>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Pojištění se řídí: </w:t>
            </w:r>
            <w:r>
              <w:rPr>
                <w:color w:val="000000"/>
                <w:spacing w:val="0"/>
                <w:w w:val="100"/>
                <w:position w:val="0"/>
                <w:shd w:val="clear" w:color="auto" w:fill="auto"/>
                <w:lang w:val="cs-CZ" w:eastAsia="cs-CZ" w:bidi="cs-CZ"/>
              </w:rPr>
              <w:t>VPP P-100/14, ZPP P-320/14 a dolož</w:t>
            </w:r>
          </w:p>
        </w:tc>
        <w:tc>
          <w:tcPr>
            <w:gridSpan w:val="3"/>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&lt;amt DOB103, DFVE104</w:t>
            </w:r>
          </w:p>
        </w:tc>
      </w:tr>
      <w:tr>
        <w:trPr>
          <w:trHeight w:val="70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Poř. číslo</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Předmět pojištění</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Pojistná částka</w:t>
            </w:r>
            <w:r>
              <w:rPr>
                <w:b/>
                <w:bCs/>
                <w:color w:val="000000"/>
                <w:spacing w:val="0"/>
                <w:w w:val="100"/>
                <w:position w:val="0"/>
                <w:shd w:val="clear" w:color="auto" w:fill="auto"/>
                <w:vertAlign w:val="superscript"/>
                <w:lang w:val="cs-CZ" w:eastAsia="cs-CZ" w:bidi="cs-CZ"/>
              </w:rPr>
              <w:t>10)</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Spoluúčast</w:t>
            </w:r>
            <w:r>
              <w:rPr>
                <w:b/>
                <w:bCs/>
                <w:color w:val="000000"/>
                <w:spacing w:val="0"/>
                <w:w w:val="100"/>
                <w:position w:val="0"/>
                <w:shd w:val="clear" w:color="auto" w:fill="auto"/>
                <w:vertAlign w:val="superscript"/>
                <w:lang w:val="cs-CZ" w:eastAsia="cs-CZ" w:bidi="cs-CZ"/>
              </w:rPr>
              <w:t>55</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Pojištění se sjednává na cenu*</w:t>
            </w:r>
            <w:r>
              <w:rPr>
                <w:b/>
                <w:bCs/>
                <w:color w:val="000000"/>
                <w:spacing w:val="0"/>
                <w:w w:val="100"/>
                <w:position w:val="0"/>
                <w:shd w:val="clear" w:color="auto" w:fill="auto"/>
                <w:vertAlign w:val="superscript"/>
                <w:lang w:val="cs-CZ" w:eastAsia="cs-CZ" w:bidi="cs-CZ"/>
              </w:rPr>
              <w:t>15</w:t>
            </w:r>
          </w:p>
        </w:tc>
        <w:tc>
          <w:tcPr>
            <w:tcBorders>
              <w:top w:val="single" w:sz="4"/>
              <w:left w:val="single" w:sz="4"/>
              <w:right w:val="single" w:sz="4"/>
            </w:tcBorders>
            <w:shd w:val="clear" w:color="auto" w:fill="FFFFFF"/>
            <w:vAlign w:val="top"/>
          </w:tcPr>
          <w:p>
            <w:pPr>
              <w:pStyle w:val="Style2"/>
              <w:keepNext w:val="0"/>
              <w:keepLines w:val="0"/>
              <w:widowControl w:val="0"/>
              <w:shd w:val="clear" w:color="auto" w:fill="auto"/>
              <w:bidi w:val="0"/>
              <w:spacing w:before="120" w:after="0" w:line="240" w:lineRule="auto"/>
              <w:ind w:left="0" w:right="0" w:firstLine="0"/>
              <w:jc w:val="center"/>
            </w:pPr>
            <w:r>
              <w:rPr>
                <w:b/>
                <w:bCs/>
                <w:color w:val="000000"/>
                <w:spacing w:val="0"/>
                <w:w w:val="100"/>
                <w:position w:val="0"/>
                <w:shd w:val="clear" w:color="auto" w:fill="auto"/>
                <w:lang w:val="cs-CZ" w:eastAsia="cs-CZ" w:bidi="cs-CZ"/>
              </w:rPr>
              <w:t>MRLP</w:t>
            </w:r>
            <w:r>
              <w:rPr>
                <w:b/>
                <w:bCs/>
                <w:color w:val="000000"/>
                <w:spacing w:val="0"/>
                <w:w w:val="100"/>
                <w:position w:val="0"/>
                <w:shd w:val="clear" w:color="auto" w:fill="auto"/>
                <w:vertAlign w:val="superscript"/>
                <w:lang w:val="cs-CZ" w:eastAsia="cs-CZ" w:bidi="cs-CZ"/>
              </w:rPr>
              <w:t>35</w:t>
            </w:r>
          </w:p>
        </w:tc>
      </w:tr>
      <w:tr>
        <w:trPr>
          <w:trHeight w:val="139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76" w:lineRule="auto"/>
              <w:ind w:left="0" w:right="0" w:firstLine="0"/>
              <w:jc w:val="center"/>
            </w:pPr>
            <w:r>
              <w:rPr>
                <w:color w:val="000000"/>
                <w:spacing w:val="0"/>
                <w:w w:val="100"/>
                <w:position w:val="0"/>
                <w:shd w:val="clear" w:color="auto" w:fill="auto"/>
                <w:lang w:val="cs-CZ" w:eastAsia="cs-CZ" w:bidi="cs-CZ"/>
              </w:rPr>
              <w:t>Vyjmenované celky vlastních elektronických zařízení tvořících součást vlastních a cizích oprávněně užívaných budov a ostatních staveb.</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20 470 545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20 000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12"/>
                <w:szCs w:val="12"/>
              </w:rPr>
            </w:pPr>
            <w:r>
              <w:rPr>
                <w:color w:val="000000"/>
                <w:spacing w:val="0"/>
                <w:w w:val="100"/>
                <w:position w:val="0"/>
                <w:sz w:val="12"/>
                <w:szCs w:val="12"/>
                <w:shd w:val="clear" w:color="auto" w:fill="auto"/>
                <w:lang w:val="cs-CZ" w:eastAsia="cs-CZ" w:bidi="cs-CZ"/>
              </w:rPr>
              <w:t>*)</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5 100 000 Kč</w:t>
            </w:r>
          </w:p>
        </w:tc>
      </w:tr>
      <w:tr>
        <w:trPr>
          <w:trHeight w:val="5006" w:hRule="exact"/>
        </w:trPr>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100"/>
              <w:ind w:left="0" w:right="0" w:firstLine="0"/>
              <w:jc w:val="left"/>
            </w:pPr>
            <w:r>
              <w:rPr>
                <w:b/>
                <w:bCs/>
                <w:color w:val="000000"/>
                <w:spacing w:val="0"/>
                <w:w w:val="100"/>
                <w:position w:val="0"/>
                <w:shd w:val="clear" w:color="auto" w:fill="auto"/>
                <w:lang w:val="cs-CZ" w:eastAsia="cs-CZ" w:bidi="cs-CZ"/>
              </w:rPr>
              <w:t xml:space="preserve">Poznám </w:t>
            </w:r>
            <w:r>
              <w:rPr>
                <w:color w:val="000000"/>
                <w:spacing w:val="0"/>
                <w:w w:val="100"/>
                <w:position w:val="0"/>
                <w:shd w:val="clear" w:color="auto" w:fill="auto"/>
                <w:lang w:val="cs-CZ" w:eastAsia="cs-CZ" w:bidi="cs-CZ"/>
              </w:rPr>
              <w:t>právo na</w:t>
            </w:r>
          </w:p>
          <w:p>
            <w:pPr>
              <w:pStyle w:val="Style2"/>
              <w:keepNext w:val="0"/>
              <w:keepLines w:val="0"/>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Pojištěni</w:t>
            </w:r>
          </w:p>
          <w:p>
            <w:pPr>
              <w:pStyle w:val="Style2"/>
              <w:keepNext w:val="0"/>
              <w:keepLines w:val="0"/>
              <w:widowControl w:val="0"/>
              <w:shd w:val="clear" w:color="auto" w:fill="auto"/>
              <w:bidi w:val="0"/>
              <w:spacing w:before="0" w:after="0" w:line="266" w:lineRule="auto"/>
              <w:ind w:left="0" w:right="0" w:firstLine="0"/>
              <w:jc w:val="right"/>
            </w:pPr>
            <w:r>
              <w:rPr>
                <w:b/>
                <w:bCs/>
                <w:color w:val="000000"/>
                <w:spacing w:val="0"/>
                <w:w w:val="100"/>
                <w:position w:val="0"/>
                <w:shd w:val="clear" w:color="auto" w:fill="auto"/>
                <w:lang w:val="cs-CZ" w:eastAsia="cs-CZ" w:bidi="cs-CZ"/>
              </w:rPr>
              <w:t xml:space="preserve">- Techno </w:t>
            </w:r>
            <w:r>
              <w:rPr>
                <w:color w:val="000000"/>
                <w:spacing w:val="0"/>
                <w:w w:val="100"/>
                <w:position w:val="0"/>
                <w:shd w:val="clear" w:color="auto" w:fill="auto"/>
                <w:lang w:val="cs-CZ" w:eastAsia="cs-CZ" w:bidi="cs-CZ"/>
              </w:rPr>
              <w:t>uveder</w:t>
            </w:r>
          </w:p>
          <w:p>
            <w:pPr>
              <w:pStyle w:val="Style2"/>
              <w:keepNext w:val="0"/>
              <w:keepLines w:val="0"/>
              <w:widowControl w:val="0"/>
              <w:numPr>
                <w:ilvl w:val="0"/>
                <w:numId w:val="9"/>
              </w:numPr>
              <w:shd w:val="clear" w:color="auto" w:fill="auto"/>
              <w:tabs>
                <w:tab w:pos="384" w:val="left"/>
              </w:tabs>
              <w:bidi w:val="0"/>
              <w:spacing w:before="0" w:after="0" w:line="266" w:lineRule="auto"/>
              <w:ind w:left="0" w:right="0" w:firstLine="240"/>
              <w:jc w:val="both"/>
            </w:pPr>
            <w:r>
              <w:rPr>
                <w:color w:val="000000"/>
                <w:spacing w:val="0"/>
                <w:w w:val="100"/>
                <w:position w:val="0"/>
                <w:shd w:val="clear" w:color="auto" w:fill="auto"/>
                <w:lang w:val="cs-CZ" w:eastAsia="cs-CZ" w:bidi="cs-CZ"/>
              </w:rPr>
              <w:t>Pražs</w:t>
            </w:r>
          </w:p>
          <w:p>
            <w:pPr>
              <w:pStyle w:val="Style2"/>
              <w:keepNext w:val="0"/>
              <w:keepLines w:val="0"/>
              <w:widowControl w:val="0"/>
              <w:numPr>
                <w:ilvl w:val="0"/>
                <w:numId w:val="9"/>
              </w:numPr>
              <w:shd w:val="clear" w:color="auto" w:fill="auto"/>
              <w:tabs>
                <w:tab w:pos="379" w:val="left"/>
              </w:tabs>
              <w:bidi w:val="0"/>
              <w:spacing w:before="0" w:after="0" w:line="266" w:lineRule="auto"/>
              <w:ind w:left="0" w:right="0" w:firstLine="240"/>
              <w:jc w:val="both"/>
            </w:pPr>
            <w:r>
              <w:rPr>
                <w:color w:val="000000"/>
                <w:spacing w:val="0"/>
                <w:w w:val="100"/>
                <w:position w:val="0"/>
                <w:shd w:val="clear" w:color="auto" w:fill="auto"/>
                <w:lang w:val="cs-CZ" w:eastAsia="cs-CZ" w:bidi="cs-CZ"/>
              </w:rPr>
              <w:t>Most</w:t>
            </w:r>
          </w:p>
          <w:p>
            <w:pPr>
              <w:pStyle w:val="Style2"/>
              <w:keepNext w:val="0"/>
              <w:keepLines w:val="0"/>
              <w:widowControl w:val="0"/>
              <w:numPr>
                <w:ilvl w:val="0"/>
                <w:numId w:val="9"/>
              </w:numPr>
              <w:shd w:val="clear" w:color="auto" w:fill="auto"/>
              <w:tabs>
                <w:tab w:pos="374" w:val="left"/>
              </w:tabs>
              <w:bidi w:val="0"/>
              <w:spacing w:before="0" w:after="0" w:line="266" w:lineRule="auto"/>
              <w:ind w:left="0" w:right="0" w:firstLine="240"/>
              <w:jc w:val="both"/>
            </w:pPr>
            <w:r>
              <w:rPr>
                <w:color w:val="000000"/>
                <w:spacing w:val="0"/>
                <w:w w:val="100"/>
                <w:position w:val="0"/>
                <w:shd w:val="clear" w:color="auto" w:fill="auto"/>
                <w:lang w:val="cs-CZ" w:eastAsia="cs-CZ" w:bidi="cs-CZ"/>
              </w:rPr>
              <w:t>Tršni</w:t>
            </w:r>
          </w:p>
          <w:p>
            <w:pPr>
              <w:pStyle w:val="Style2"/>
              <w:keepNext w:val="0"/>
              <w:keepLines w:val="0"/>
              <w:widowControl w:val="0"/>
              <w:numPr>
                <w:ilvl w:val="0"/>
                <w:numId w:val="9"/>
              </w:numPr>
              <w:shd w:val="clear" w:color="auto" w:fill="auto"/>
              <w:tabs>
                <w:tab w:pos="379" w:val="left"/>
              </w:tabs>
              <w:bidi w:val="0"/>
              <w:spacing w:before="0" w:after="0" w:line="266" w:lineRule="auto"/>
              <w:ind w:left="0" w:right="0" w:firstLine="240"/>
              <w:jc w:val="both"/>
            </w:pPr>
            <w:r>
              <w:rPr>
                <w:color w:val="000000"/>
                <w:spacing w:val="0"/>
                <w:w w:val="100"/>
                <w:position w:val="0"/>
                <w:shd w:val="clear" w:color="auto" w:fill="auto"/>
                <w:lang w:val="cs-CZ" w:eastAsia="cs-CZ" w:bidi="cs-CZ"/>
              </w:rPr>
              <w:t>VDF</w:t>
            </w:r>
          </w:p>
          <w:p>
            <w:pPr>
              <w:pStyle w:val="Style2"/>
              <w:keepNext w:val="0"/>
              <w:keepLines w:val="0"/>
              <w:widowControl w:val="0"/>
              <w:numPr>
                <w:ilvl w:val="0"/>
                <w:numId w:val="9"/>
              </w:numPr>
              <w:shd w:val="clear" w:color="auto" w:fill="auto"/>
              <w:tabs>
                <w:tab w:pos="384" w:val="left"/>
              </w:tabs>
              <w:bidi w:val="0"/>
              <w:spacing w:before="0" w:after="0" w:line="266" w:lineRule="auto"/>
              <w:ind w:left="0" w:right="0" w:firstLine="240"/>
              <w:jc w:val="both"/>
            </w:pPr>
            <w:r>
              <w:rPr>
                <w:color w:val="000000"/>
                <w:spacing w:val="0"/>
                <w:w w:val="100"/>
                <w:position w:val="0"/>
                <w:shd w:val="clear" w:color="auto" w:fill="auto"/>
                <w:lang w:val="cs-CZ" w:eastAsia="cs-CZ" w:bidi="cs-CZ"/>
              </w:rPr>
              <w:t>PD Č</w:t>
            </w:r>
          </w:p>
          <w:p>
            <w:pPr>
              <w:pStyle w:val="Style2"/>
              <w:keepNext w:val="0"/>
              <w:keepLines w:val="0"/>
              <w:widowControl w:val="0"/>
              <w:numPr>
                <w:ilvl w:val="0"/>
                <w:numId w:val="9"/>
              </w:numPr>
              <w:shd w:val="clear" w:color="auto" w:fill="auto"/>
              <w:tabs>
                <w:tab w:pos="379" w:val="left"/>
              </w:tabs>
              <w:bidi w:val="0"/>
              <w:spacing w:before="0" w:after="0" w:line="266" w:lineRule="auto"/>
              <w:ind w:left="0" w:right="0" w:firstLine="240"/>
              <w:jc w:val="both"/>
            </w:pPr>
            <w:r>
              <w:rPr>
                <w:color w:val="000000"/>
                <w:spacing w:val="0"/>
                <w:w w:val="100"/>
                <w:position w:val="0"/>
                <w:shd w:val="clear" w:color="auto" w:fill="auto"/>
                <w:lang w:val="cs-CZ" w:eastAsia="cs-CZ" w:bidi="cs-CZ"/>
              </w:rPr>
              <w:t>PD Č</w:t>
            </w:r>
          </w:p>
          <w:p>
            <w:pPr>
              <w:pStyle w:val="Style2"/>
              <w:keepNext w:val="0"/>
              <w:keepLines w:val="0"/>
              <w:widowControl w:val="0"/>
              <w:numPr>
                <w:ilvl w:val="0"/>
                <w:numId w:val="9"/>
              </w:numPr>
              <w:shd w:val="clear" w:color="auto" w:fill="auto"/>
              <w:tabs>
                <w:tab w:pos="384" w:val="left"/>
              </w:tabs>
              <w:bidi w:val="0"/>
              <w:spacing w:before="0" w:after="0" w:line="266" w:lineRule="auto"/>
              <w:ind w:left="0" w:right="0" w:firstLine="240"/>
              <w:jc w:val="both"/>
            </w:pPr>
            <w:r>
              <w:rPr>
                <w:color w:val="000000"/>
                <w:spacing w:val="0"/>
                <w:w w:val="100"/>
                <w:position w:val="0"/>
                <w:shd w:val="clear" w:color="auto" w:fill="auto"/>
                <w:lang w:val="cs-CZ" w:eastAsia="cs-CZ" w:bidi="cs-CZ"/>
              </w:rPr>
              <w:t>Horo</w:t>
            </w:r>
          </w:p>
          <w:p>
            <w:pPr>
              <w:pStyle w:val="Style2"/>
              <w:keepNext w:val="0"/>
              <w:keepLines w:val="0"/>
              <w:widowControl w:val="0"/>
              <w:numPr>
                <w:ilvl w:val="0"/>
                <w:numId w:val="9"/>
              </w:numPr>
              <w:shd w:val="clear" w:color="auto" w:fill="auto"/>
              <w:tabs>
                <w:tab w:pos="384" w:val="left"/>
              </w:tabs>
              <w:bidi w:val="0"/>
              <w:spacing w:before="0" w:after="100" w:line="266" w:lineRule="auto"/>
              <w:ind w:left="0" w:right="0" w:firstLine="240"/>
              <w:jc w:val="both"/>
            </w:pPr>
            <w:r>
              <w:rPr>
                <w:color w:val="000000"/>
                <w:spacing w:val="0"/>
                <w:w w:val="100"/>
                <w:position w:val="0"/>
                <w:shd w:val="clear" w:color="auto" w:fill="auto"/>
                <w:lang w:val="cs-CZ" w:eastAsia="cs-CZ" w:bidi="cs-CZ"/>
              </w:rPr>
              <w:t>Bezrc</w:t>
            </w:r>
          </w:p>
          <w:p>
            <w:pPr>
              <w:pStyle w:val="Style2"/>
              <w:keepNext w:val="0"/>
              <w:keepLines w:val="0"/>
              <w:widowControl w:val="0"/>
              <w:shd w:val="clear" w:color="auto" w:fill="auto"/>
              <w:bidi w:val="0"/>
              <w:spacing w:before="0" w:after="0" w:line="266" w:lineRule="auto"/>
              <w:ind w:left="0" w:right="0" w:firstLine="0"/>
              <w:jc w:val="left"/>
            </w:pPr>
            <w:r>
              <w:rPr>
                <w:b/>
                <w:bCs/>
                <w:color w:val="000000"/>
                <w:spacing w:val="0"/>
                <w:w w:val="100"/>
                <w:position w:val="0"/>
                <w:shd w:val="clear" w:color="auto" w:fill="auto"/>
                <w:lang w:val="cs-CZ" w:eastAsia="cs-CZ" w:bidi="cs-CZ"/>
              </w:rPr>
              <w:t>- Otočné</w:t>
            </w:r>
          </w:p>
          <w:p>
            <w:pPr>
              <w:pStyle w:val="Style2"/>
              <w:keepNext w:val="0"/>
              <w:keepLines w:val="0"/>
              <w:widowControl w:val="0"/>
              <w:numPr>
                <w:ilvl w:val="0"/>
                <w:numId w:val="9"/>
              </w:numPr>
              <w:shd w:val="clear" w:color="auto" w:fill="auto"/>
              <w:tabs>
                <w:tab w:pos="139" w:val="left"/>
              </w:tabs>
              <w:bidi w:val="0"/>
              <w:spacing w:before="0" w:after="0" w:line="266" w:lineRule="auto"/>
              <w:ind w:left="0" w:right="0" w:firstLine="0"/>
              <w:jc w:val="right"/>
            </w:pPr>
            <w:r>
              <w:rPr>
                <w:color w:val="000000"/>
                <w:spacing w:val="0"/>
                <w:w w:val="100"/>
                <w:position w:val="0"/>
                <w:shd w:val="clear" w:color="auto" w:fill="auto"/>
                <w:lang w:val="cs-CZ" w:eastAsia="cs-CZ" w:bidi="cs-CZ"/>
              </w:rPr>
              <w:t>SpeedC Březov.</w:t>
            </w:r>
          </w:p>
          <w:p>
            <w:pPr>
              <w:pStyle w:val="Style2"/>
              <w:keepNext w:val="0"/>
              <w:keepLines w:val="0"/>
              <w:widowControl w:val="0"/>
              <w:numPr>
                <w:ilvl w:val="0"/>
                <w:numId w:val="9"/>
              </w:numPr>
              <w:shd w:val="clear" w:color="auto" w:fill="auto"/>
              <w:tabs>
                <w:tab w:pos="139" w:val="left"/>
              </w:tabs>
              <w:bidi w:val="0"/>
              <w:spacing w:before="0" w:after="0" w:line="266" w:lineRule="auto"/>
              <w:ind w:left="0" w:right="0" w:firstLine="0"/>
              <w:jc w:val="right"/>
            </w:pPr>
            <w:r>
              <w:rPr>
                <w:color w:val="000000"/>
                <w:spacing w:val="0"/>
                <w:w w:val="100"/>
                <w:position w:val="0"/>
                <w:shd w:val="clear" w:color="auto" w:fill="auto"/>
                <w:lang w:val="cs-CZ" w:eastAsia="cs-CZ" w:bidi="cs-CZ"/>
              </w:rPr>
              <w:t>SONY S</w:t>
            </w:r>
          </w:p>
          <w:p>
            <w:pPr>
              <w:pStyle w:val="Style2"/>
              <w:keepNext w:val="0"/>
              <w:keepLines w:val="0"/>
              <w:widowControl w:val="0"/>
              <w:shd w:val="clear" w:color="auto" w:fill="auto"/>
              <w:bidi w:val="0"/>
              <w:spacing w:before="0" w:after="100" w:line="266" w:lineRule="auto"/>
              <w:ind w:left="0" w:right="0" w:firstLine="240"/>
              <w:jc w:val="left"/>
            </w:pPr>
            <w:r>
              <w:rPr>
                <w:color w:val="000000"/>
                <w:spacing w:val="0"/>
                <w:w w:val="100"/>
                <w:position w:val="0"/>
                <w:shd w:val="clear" w:color="auto" w:fill="auto"/>
                <w:lang w:val="cs-CZ" w:eastAsia="cs-CZ" w:bidi="cs-CZ"/>
              </w:rPr>
              <w:t>v nové</w:t>
            </w:r>
          </w:p>
          <w:p>
            <w:pPr>
              <w:pStyle w:val="Style2"/>
              <w:keepNext w:val="0"/>
              <w:keepLines w:val="0"/>
              <w:widowControl w:val="0"/>
              <w:shd w:val="clear" w:color="auto" w:fill="auto"/>
              <w:bidi w:val="0"/>
              <w:spacing w:before="0" w:after="100" w:line="466" w:lineRule="auto"/>
              <w:ind w:left="0" w:right="0" w:firstLine="0"/>
              <w:jc w:val="both"/>
            </w:pPr>
            <w:r>
              <w:rPr>
                <w:color w:val="000000"/>
                <w:spacing w:val="0"/>
                <w:w w:val="100"/>
                <w:position w:val="0"/>
                <w:shd w:val="clear" w:color="auto" w:fill="auto"/>
                <w:lang w:val="cs-CZ" w:eastAsia="cs-CZ" w:bidi="cs-CZ"/>
              </w:rPr>
              <w:t>Odchylně Úmyslné</w:t>
            </w:r>
          </w:p>
        </w:tc>
        <w:tc>
          <w:tcPr>
            <w:gridSpan w:val="5"/>
            <w:tcBorders>
              <w:top w:val="single" w:sz="4"/>
              <w:left w:val="single" w:sz="4"/>
              <w:bottom w:val="single" w:sz="4"/>
              <w:right w:val="single" w:sz="4"/>
            </w:tcBorders>
            <w:shd w:val="clear" w:color="auto" w:fill="FFFFFF"/>
            <w:vAlign w:val="top"/>
          </w:tcPr>
          <w:p>
            <w:pPr>
              <w:pStyle w:val="Style2"/>
              <w:keepNext w:val="0"/>
              <w:keepLines w:val="0"/>
              <w:widowControl w:val="0"/>
              <w:shd w:val="clear" w:color="auto" w:fill="auto"/>
              <w:bidi w:val="0"/>
              <w:spacing w:before="0" w:after="80"/>
              <w:ind w:left="0" w:right="0" w:firstLine="0"/>
              <w:jc w:val="left"/>
            </w:pPr>
            <w:r>
              <w:rPr>
                <w:b/>
                <w:bCs/>
                <w:color w:val="000000"/>
                <w:spacing w:val="0"/>
                <w:w w:val="100"/>
                <w:position w:val="0"/>
                <w:shd w:val="clear" w:color="auto" w:fill="auto"/>
                <w:lang w:val="cs-CZ" w:eastAsia="cs-CZ" w:bidi="cs-CZ"/>
              </w:rPr>
              <w:t xml:space="preserve">cy: </w:t>
            </w:r>
            <w:r>
              <w:rPr>
                <w:color w:val="000000"/>
                <w:spacing w:val="0"/>
                <w:w w:val="100"/>
                <w:position w:val="0"/>
                <w:shd w:val="clear" w:color="auto" w:fill="auto"/>
                <w:lang w:val="cs-CZ" w:eastAsia="cs-CZ" w:bidi="cs-CZ"/>
              </w:rPr>
              <w:t>Ujednává se, že se ustanovení čl. 3 odst. 2) písm. h) ZPP P-320/14 ruší a nově zní: „Z pojištění nevzniká plnění pojistitele za škody vzniklé na pojištěném zařízení během jeho přepravy jako nákladu."</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se vztahuje na :</w:t>
            </w:r>
          </w:p>
          <w:p>
            <w:pPr>
              <w:pStyle w:val="Style2"/>
              <w:keepNext w:val="0"/>
              <w:keepLines w:val="0"/>
              <w:widowControl w:val="0"/>
              <w:shd w:val="clear" w:color="auto" w:fill="auto"/>
              <w:bidi w:val="0"/>
              <w:spacing w:before="0" w:after="0" w:line="271" w:lineRule="auto"/>
              <w:ind w:left="0" w:right="0" w:firstLine="0"/>
              <w:jc w:val="left"/>
            </w:pPr>
            <w:r>
              <w:rPr>
                <w:b/>
                <w:bCs/>
                <w:color w:val="000000"/>
                <w:spacing w:val="0"/>
                <w:w w:val="100"/>
                <w:position w:val="0"/>
                <w:shd w:val="clear" w:color="auto" w:fill="auto"/>
                <w:lang w:val="cs-CZ" w:eastAsia="cs-CZ" w:bidi="cs-CZ"/>
              </w:rPr>
              <w:t xml:space="preserve">logie fotovoltaícké elektrárny umístěné na budově / stavbě </w:t>
            </w:r>
            <w:r>
              <w:rPr>
                <w:color w:val="000000"/>
                <w:spacing w:val="0"/>
                <w:w w:val="100"/>
                <w:position w:val="0"/>
                <w:shd w:val="clear" w:color="auto" w:fill="auto"/>
                <w:lang w:val="cs-CZ" w:eastAsia="cs-CZ" w:bidi="cs-CZ"/>
              </w:rPr>
              <w:t xml:space="preserve">(dále „FVE“), v nové ceně </w:t>
            </w:r>
            <w:r>
              <w:rPr>
                <w:b/>
                <w:bCs/>
                <w:color w:val="000000"/>
                <w:spacing w:val="0"/>
                <w:w w:val="100"/>
                <w:position w:val="0"/>
                <w:shd w:val="clear" w:color="auto" w:fill="auto"/>
                <w:lang w:val="cs-CZ" w:eastAsia="cs-CZ" w:bidi="cs-CZ"/>
              </w:rPr>
              <w:t>20.304.571 Kč,</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é v příloze č.2 této pojistné smlouvy, v místě:</w:t>
            </w:r>
          </w:p>
          <w:p>
            <w:pPr>
              <w:pStyle w:val="Style2"/>
              <w:keepNext w:val="0"/>
              <w:keepLines w:val="0"/>
              <w:widowControl w:val="0"/>
              <w:shd w:val="clear" w:color="auto" w:fill="auto"/>
              <w:tabs>
                <w:tab w:leader="dot" w:pos="7008" w:val="left"/>
              </w:tabs>
              <w:bidi w:val="0"/>
              <w:spacing w:before="0" w:after="0" w:line="271" w:lineRule="auto"/>
              <w:ind w:left="0" w:right="0" w:firstLine="0"/>
              <w:jc w:val="left"/>
            </w:pPr>
            <w:r>
              <w:rPr>
                <w:color w:val="000000"/>
                <w:spacing w:val="0"/>
                <w:w w:val="100"/>
                <w:position w:val="0"/>
                <w:shd w:val="clear" w:color="auto" w:fill="auto"/>
                <w:lang w:val="cs-CZ" w:eastAsia="cs-CZ" w:bidi="cs-CZ"/>
              </w:rPr>
              <w:t>ká 319, pare. č. 429/1, 429/2, 427, 430/1, v k.ú. Terezín , 411 55 ČR</w:t>
              <w:tab/>
              <w:t>NC: 2.930.031 Kč</w:t>
            </w:r>
          </w:p>
          <w:p>
            <w:pPr>
              <w:pStyle w:val="Style2"/>
              <w:keepNext w:val="0"/>
              <w:keepLines w:val="0"/>
              <w:widowControl w:val="0"/>
              <w:shd w:val="clear" w:color="auto" w:fill="auto"/>
              <w:tabs>
                <w:tab w:leader="dot" w:pos="7018" w:val="left"/>
              </w:tabs>
              <w:bidi w:val="0"/>
              <w:spacing w:before="0" w:after="0" w:line="271" w:lineRule="auto"/>
              <w:ind w:left="0" w:right="0" w:firstLine="0"/>
              <w:jc w:val="left"/>
            </w:pPr>
            <w:r>
              <w:rPr>
                <w:color w:val="000000"/>
                <w:spacing w:val="0"/>
                <w:w w:val="100"/>
                <w:position w:val="0"/>
                <w:shd w:val="clear" w:color="auto" w:fill="auto"/>
                <w:lang w:val="cs-CZ" w:eastAsia="cs-CZ" w:bidi="cs-CZ"/>
              </w:rPr>
              <w:t>ecká 50, Otovice , 362 32 ČR</w:t>
              <w:tab/>
              <w:t>NC: 1.446.471 Kč</w:t>
            </w:r>
          </w:p>
          <w:p>
            <w:pPr>
              <w:pStyle w:val="Style2"/>
              <w:keepNext w:val="0"/>
              <w:keepLines w:val="0"/>
              <w:widowControl w:val="0"/>
              <w:shd w:val="clear" w:color="auto" w:fill="auto"/>
              <w:tabs>
                <w:tab w:leader="dot" w:pos="7008" w:val="left"/>
              </w:tabs>
              <w:bidi w:val="0"/>
              <w:spacing w:before="0" w:after="0" w:line="271" w:lineRule="auto"/>
              <w:ind w:left="0" w:right="0" w:firstLine="0"/>
              <w:jc w:val="left"/>
            </w:pPr>
            <w:r>
              <w:rPr>
                <w:color w:val="000000"/>
                <w:spacing w:val="0"/>
                <w:w w:val="100"/>
                <w:position w:val="0"/>
                <w:shd w:val="clear" w:color="auto" w:fill="auto"/>
                <w:lang w:val="cs-CZ" w:eastAsia="cs-CZ" w:bidi="cs-CZ"/>
              </w:rPr>
              <w:t>cká 133 /17 , Cheb , 350 02 ČR</w:t>
              <w:tab/>
              <w:t xml:space="preserve"> NC: 1.483.560 Kč</w:t>
            </w:r>
          </w:p>
          <w:p>
            <w:pPr>
              <w:pStyle w:val="Style2"/>
              <w:keepNext w:val="0"/>
              <w:keepLines w:val="0"/>
              <w:widowControl w:val="0"/>
              <w:shd w:val="clear" w:color="auto" w:fill="auto"/>
              <w:tabs>
                <w:tab w:leader="dot" w:pos="7046" w:val="left"/>
              </w:tabs>
              <w:bidi w:val="0"/>
              <w:spacing w:before="0" w:after="0" w:line="271" w:lineRule="auto"/>
              <w:ind w:left="0" w:right="0" w:firstLine="0"/>
              <w:jc w:val="left"/>
            </w:pPr>
            <w:r>
              <w:rPr>
                <w:color w:val="000000"/>
                <w:spacing w:val="0"/>
                <w:w w:val="100"/>
                <w:position w:val="0"/>
                <w:shd w:val="clear" w:color="auto" w:fill="auto"/>
                <w:lang w:val="cs-CZ" w:eastAsia="cs-CZ" w:bidi="cs-CZ"/>
              </w:rPr>
              <w:t>láje , Fláje , 436 01 ČR</w:t>
              <w:tab/>
              <w:t>NC: 704.691 Kč</w:t>
            </w:r>
          </w:p>
          <w:p>
            <w:pPr>
              <w:pStyle w:val="Style2"/>
              <w:keepNext w:val="0"/>
              <w:keepLines w:val="0"/>
              <w:widowControl w:val="0"/>
              <w:shd w:val="clear" w:color="auto" w:fill="auto"/>
              <w:tabs>
                <w:tab w:leader="dot" w:pos="7013" w:val="left"/>
              </w:tabs>
              <w:bidi w:val="0"/>
              <w:spacing w:before="0" w:after="0" w:line="271" w:lineRule="auto"/>
              <w:ind w:left="0" w:right="0" w:firstLine="0"/>
              <w:jc w:val="left"/>
            </w:pPr>
            <w:r>
              <w:rPr>
                <w:color w:val="000000"/>
                <w:spacing w:val="0"/>
                <w:w w:val="100"/>
                <w:position w:val="0"/>
                <w:shd w:val="clear" w:color="auto" w:fill="auto"/>
                <w:lang w:val="cs-CZ" w:eastAsia="cs-CZ" w:bidi="cs-CZ"/>
              </w:rPr>
              <w:t>eska Lípa, Litoměřická 91, 470 01 ČR (pův. 2010)</w:t>
              <w:tab/>
              <w:t>NC: 704 691 Kč</w:t>
            </w:r>
          </w:p>
          <w:p>
            <w:pPr>
              <w:pStyle w:val="Style2"/>
              <w:keepNext w:val="0"/>
              <w:keepLines w:val="0"/>
              <w:widowControl w:val="0"/>
              <w:shd w:val="clear" w:color="auto" w:fill="auto"/>
              <w:tabs>
                <w:tab w:leader="dot" w:pos="7013" w:val="left"/>
              </w:tabs>
              <w:bidi w:val="0"/>
              <w:spacing w:before="0" w:after="0" w:line="271" w:lineRule="auto"/>
              <w:ind w:left="0" w:right="0" w:firstLine="0"/>
              <w:jc w:val="left"/>
            </w:pPr>
            <w:r>
              <w:rPr>
                <w:color w:val="000000"/>
                <w:spacing w:val="0"/>
                <w:w w:val="100"/>
                <w:position w:val="0"/>
                <w:shd w:val="clear" w:color="auto" w:fill="auto"/>
                <w:lang w:val="cs-CZ" w:eastAsia="cs-CZ" w:bidi="cs-CZ"/>
              </w:rPr>
              <w:t>eská Lípa, Litoměřická 91, 470 01 ČR (nová 2023)</w:t>
              <w:tab/>
              <w:t>NC: 2.983.081 Kč</w:t>
            </w:r>
          </w:p>
          <w:p>
            <w:pPr>
              <w:pStyle w:val="Style2"/>
              <w:keepNext w:val="0"/>
              <w:keepLines w:val="0"/>
              <w:widowControl w:val="0"/>
              <w:shd w:val="clear" w:color="auto" w:fill="auto"/>
              <w:tabs>
                <w:tab w:leader="dot" w:pos="7037" w:val="left"/>
              </w:tabs>
              <w:bidi w:val="0"/>
              <w:spacing w:before="0" w:after="0" w:line="271" w:lineRule="auto"/>
              <w:ind w:left="0" w:right="0" w:firstLine="0"/>
              <w:jc w:val="left"/>
            </w:pPr>
            <w:r>
              <w:rPr>
                <w:color w:val="000000"/>
                <w:spacing w:val="0"/>
                <w:w w:val="100"/>
                <w:position w:val="0"/>
                <w:shd w:val="clear" w:color="auto" w:fill="auto"/>
                <w:lang w:val="cs-CZ" w:eastAsia="cs-CZ" w:bidi="cs-CZ"/>
              </w:rPr>
              <w:t>va 12, Karlovy Vary, 360 01 ČR</w:t>
              <w:tab/>
              <w:t>NC: 296.712 Kč</w:t>
            </w:r>
          </w:p>
          <w:p>
            <w:pPr>
              <w:pStyle w:val="Style2"/>
              <w:keepNext w:val="0"/>
              <w:keepLines w:val="0"/>
              <w:widowControl w:val="0"/>
              <w:shd w:val="clear" w:color="auto" w:fill="auto"/>
              <w:tabs>
                <w:tab w:leader="dot" w:pos="7032" w:val="left"/>
              </w:tabs>
              <w:bidi w:val="0"/>
              <w:spacing w:before="0" w:after="80" w:line="271" w:lineRule="auto"/>
              <w:ind w:left="0" w:right="0" w:firstLine="0"/>
              <w:jc w:val="left"/>
            </w:pPr>
            <w:r>
              <w:rPr>
                <w:color w:val="000000"/>
                <w:spacing w:val="0"/>
                <w:w w:val="100"/>
                <w:position w:val="0"/>
                <w:shd w:val="clear" w:color="auto" w:fill="auto"/>
                <w:lang w:val="cs-CZ" w:eastAsia="cs-CZ" w:bidi="cs-CZ"/>
              </w:rPr>
              <w:t>ičova 4219, Chomutov, 430 03 ČR (nová 2024)</w:t>
              <w:tab/>
              <w:t>NC: 9.755.334 Kč</w:t>
            </w:r>
          </w:p>
          <w:p>
            <w:pPr>
              <w:pStyle w:val="Style2"/>
              <w:keepNext w:val="0"/>
              <w:keepLines w:val="0"/>
              <w:widowControl w:val="0"/>
              <w:shd w:val="clear" w:color="auto" w:fill="auto"/>
              <w:bidi w:val="0"/>
              <w:spacing w:before="0" w:after="0" w:line="271" w:lineRule="auto"/>
              <w:ind w:left="0" w:right="0" w:firstLine="0"/>
              <w:jc w:val="left"/>
            </w:pPr>
            <w:r>
              <w:rPr>
                <w:b/>
                <w:bCs/>
                <w:color w:val="000000"/>
                <w:spacing w:val="0"/>
                <w:w w:val="100"/>
                <w:position w:val="0"/>
                <w:shd w:val="clear" w:color="auto" w:fill="auto"/>
                <w:lang w:val="cs-CZ" w:eastAsia="cs-CZ" w:bidi="cs-CZ"/>
              </w:rPr>
              <w:t xml:space="preserve">kamery </w:t>
            </w:r>
            <w:r>
              <w:rPr>
                <w:color w:val="000000"/>
                <w:spacing w:val="0"/>
                <w:w w:val="100"/>
                <w:position w:val="0"/>
                <w:shd w:val="clear" w:color="auto" w:fill="auto"/>
                <w:lang w:val="cs-CZ" w:eastAsia="cs-CZ" w:bidi="cs-CZ"/>
              </w:rPr>
              <w:t>(včetně elektroinstalace a konstrukčního upevnění):</w:t>
            </w:r>
          </w:p>
          <w:p>
            <w:pPr>
              <w:pStyle w:val="Style2"/>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ome IP Kamera 2MPx, trvale umístěna na 5m vysokém sloupu veřejného osvětlení na koruně hráze VD á, v nové ceně 55.107 Kč bez DPH.</w:t>
            </w:r>
          </w:p>
          <w:p>
            <w:pPr>
              <w:pStyle w:val="Style2"/>
              <w:keepNext w:val="0"/>
              <w:keepLines w:val="0"/>
              <w:widowControl w:val="0"/>
              <w:shd w:val="clear" w:color="auto" w:fill="auto"/>
              <w:bidi w:val="0"/>
              <w:spacing w:before="0" w:after="80" w:line="271" w:lineRule="auto"/>
              <w:ind w:left="0" w:right="0" w:firstLine="0"/>
              <w:jc w:val="left"/>
            </w:pPr>
            <w:r>
              <w:rPr>
                <w:color w:val="000000"/>
                <w:spacing w:val="0"/>
                <w:w w:val="100"/>
                <w:position w:val="0"/>
                <w:shd w:val="clear" w:color="auto" w:fill="auto"/>
                <w:lang w:val="cs-CZ" w:eastAsia="cs-CZ" w:bidi="cs-CZ"/>
              </w:rPr>
              <w:t>&gt;NC.RZ-30P trvale umístěné ve stropu přemostění výtoku koryta VD Nechráníce ve výšce ca 4,5m, ceně 110.867 Kč bez DPH.</w:t>
            </w:r>
          </w:p>
          <w:p>
            <w:pPr>
              <w:pStyle w:val="Style2"/>
              <w:keepNext w:val="0"/>
              <w:keepLines w:val="0"/>
              <w:widowControl w:val="0"/>
              <w:shd w:val="clear" w:color="auto" w:fill="auto"/>
              <w:bidi w:val="0"/>
              <w:spacing w:before="0" w:after="160" w:line="271" w:lineRule="auto"/>
              <w:ind w:left="0" w:right="0" w:firstLine="0"/>
              <w:jc w:val="left"/>
            </w:pPr>
            <w:r>
              <w:rPr>
                <w:color w:val="000000"/>
                <w:spacing w:val="0"/>
                <w:w w:val="100"/>
                <w:position w:val="0"/>
                <w:shd w:val="clear" w:color="auto" w:fill="auto"/>
                <w:lang w:val="cs-CZ" w:eastAsia="cs-CZ" w:bidi="cs-CZ"/>
              </w:rPr>
              <w:t>od výše uvedeného se pro uvedené kamery sjednává spoluúčast</w:t>
            </w:r>
            <w:r>
              <w:rPr>
                <w:color w:val="000000"/>
                <w:spacing w:val="0"/>
                <w:w w:val="100"/>
                <w:position w:val="0"/>
                <w:shd w:val="clear" w:color="auto" w:fill="auto"/>
                <w:vertAlign w:val="superscript"/>
                <w:lang w:val="cs-CZ" w:eastAsia="cs-CZ" w:bidi="cs-CZ"/>
              </w:rPr>
              <w:t>55</w:t>
            </w:r>
            <w:r>
              <w:rPr>
                <w:color w:val="000000"/>
                <w:spacing w:val="0"/>
                <w:w w:val="100"/>
                <w:position w:val="0"/>
                <w:shd w:val="clear" w:color="auto" w:fill="auto"/>
                <w:lang w:val="cs-CZ" w:eastAsia="cs-CZ" w:bidi="cs-CZ"/>
              </w:rPr>
              <w:t xml:space="preserve"> ve výši 5 000 Kč.</w:t>
            </w:r>
          </w:p>
          <w:p>
            <w:pPr>
              <w:pStyle w:val="Style2"/>
              <w:keepNext w:val="0"/>
              <w:keepLines w:val="0"/>
              <w:widowControl w:val="0"/>
              <w:shd w:val="clear" w:color="auto" w:fill="auto"/>
              <w:bidi w:val="0"/>
              <w:spacing w:before="0" w:after="80" w:line="271" w:lineRule="auto"/>
              <w:ind w:left="0" w:right="0" w:firstLine="0"/>
              <w:jc w:val="left"/>
            </w:pPr>
            <w:r>
              <w:rPr>
                <w:color w:val="000000"/>
                <w:spacing w:val="0"/>
                <w:w w:val="100"/>
                <w:position w:val="0"/>
                <w:shd w:val="clear" w:color="auto" w:fill="auto"/>
                <w:lang w:val="cs-CZ" w:eastAsia="cs-CZ" w:bidi="cs-CZ"/>
              </w:rPr>
              <w:t>poškození nebo úmyslné zničení pojištěné věci v souladu se ZPP P-320/14 článek 3. odst. 2) bod k).</w:t>
            </w:r>
          </w:p>
        </w:tc>
      </w:tr>
    </w:tbl>
    <w:p>
      <w:pPr>
        <w:pStyle w:val="Style6"/>
        <w:keepNext w:val="0"/>
        <w:keepLines w:val="0"/>
        <w:widowControl w:val="0"/>
        <w:shd w:val="clear" w:color="auto" w:fill="auto"/>
        <w:bidi w:val="0"/>
        <w:spacing w:before="0" w:after="0" w:line="240" w:lineRule="auto"/>
        <w:ind w:left="0" w:right="0" w:firstLine="0"/>
        <w:jc w:val="left"/>
        <w:rPr>
          <w:sz w:val="14"/>
          <w:szCs w:val="14"/>
        </w:rPr>
        <w:sectPr>
          <w:footerReference w:type="default" r:id="rId12"/>
          <w:footerReference w:type="even" r:id="rId13"/>
          <w:footnotePr>
            <w:pos w:val="pageBottom"/>
            <w:numFmt w:val="decimal"/>
            <w:numRestart w:val="continuous"/>
          </w:footnotePr>
          <w:pgSz w:w="11909" w:h="16838"/>
          <w:pgMar w:top="1370" w:left="922" w:right="834" w:bottom="1780" w:header="942" w:footer="3" w:gutter="0"/>
          <w:cols w:space="720"/>
          <w:noEndnote/>
          <w:rtlGutter w:val="0"/>
          <w:docGrid w:linePitch="360"/>
        </w:sectPr>
      </w:pPr>
      <w:r>
        <w:rPr>
          <w:b w:val="0"/>
          <w:bCs w:val="0"/>
          <w:color w:val="000000"/>
          <w:spacing w:val="0"/>
          <w:w w:val="100"/>
          <w:position w:val="0"/>
          <w:sz w:val="14"/>
          <w:szCs w:val="14"/>
          <w:shd w:val="clear" w:color="auto" w:fill="auto"/>
          <w:lang w:val="cs-CZ" w:eastAsia="cs-CZ" w:bidi="cs-CZ"/>
        </w:rPr>
        <w:t>*) není-li uvedeno, sjednává se pojištění s pojistnou hodnotou uvedenou v příslušných pojistných podmínkách</w:t>
      </w:r>
    </w:p>
    <w:p>
      <w:pPr>
        <w:pStyle w:val="Style31"/>
        <w:keepNext/>
        <w:keepLines/>
        <w:widowControl w:val="0"/>
        <w:shd w:val="clear" w:color="auto" w:fill="auto"/>
        <w:bidi w:val="0"/>
        <w:spacing w:before="180" w:after="0" w:line="240" w:lineRule="auto"/>
        <w:ind w:left="0" w:right="0" w:firstLine="0"/>
        <w:jc w:val="left"/>
      </w:pPr>
      <w:bookmarkStart w:id="69" w:name="bookmark69"/>
      <w:bookmarkStart w:id="70" w:name="bookmark70"/>
      <w:bookmarkStart w:id="71" w:name="bookmark71"/>
      <w:r>
        <w:rPr>
          <w:color w:val="000000"/>
          <w:spacing w:val="0"/>
          <w:w w:val="100"/>
          <w:position w:val="0"/>
          <w:shd w:val="clear" w:color="auto" w:fill="auto"/>
          <w:lang w:val="cs-CZ" w:eastAsia="cs-CZ" w:bidi="cs-CZ"/>
        </w:rPr>
        <w:t>2.4.Pojištění odpovědnosti za újmu</w:t>
      </w:r>
      <w:bookmarkEnd w:id="69"/>
      <w:bookmarkEnd w:id="70"/>
      <w:bookmarkEnd w:id="71"/>
    </w:p>
    <w:p>
      <w:pPr>
        <w:pStyle w:val="Style9"/>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Pojištění se sjednává v rozsahu a za podmínek uvedených v následující tabulce/následujících tabulkách:</w:t>
      </w:r>
    </w:p>
    <w:p>
      <w:pPr>
        <w:pStyle w:val="Style6"/>
        <w:keepNext w:val="0"/>
        <w:keepLines w:val="0"/>
        <w:widowControl w:val="0"/>
        <w:shd w:val="clear" w:color="auto" w:fill="auto"/>
        <w:bidi w:val="0"/>
        <w:spacing w:before="0" w:after="0" w:line="240" w:lineRule="auto"/>
        <w:ind w:left="0" w:right="0" w:firstLine="0"/>
        <w:jc w:val="left"/>
      </w:pPr>
      <w:bookmarkStart w:id="72" w:name="bookmark72"/>
      <w:r>
        <w:rPr>
          <w:color w:val="000000"/>
          <w:spacing w:val="0"/>
          <w:w w:val="100"/>
          <w:position w:val="0"/>
          <w:shd w:val="clear" w:color="auto" w:fill="auto"/>
          <w:lang w:val="cs-CZ" w:eastAsia="cs-CZ" w:bidi="cs-CZ"/>
        </w:rPr>
        <w:t>2.4.1 Pojištění odpovědnosti za új</w:t>
      </w:r>
      <w:bookmarkEnd w:id="72"/>
    </w:p>
    <w:p>
      <w:pPr>
        <w:pStyle w:val="Style6"/>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 xml:space="preserve">Pojištění se řídí: </w:t>
      </w:r>
      <w:r>
        <w:rPr>
          <w:b w:val="0"/>
          <w:bCs w:val="0"/>
          <w:color w:val="000000"/>
          <w:spacing w:val="0"/>
          <w:w w:val="100"/>
          <w:position w:val="0"/>
          <w:shd w:val="clear" w:color="auto" w:fill="auto"/>
          <w:lang w:val="cs-CZ" w:eastAsia="cs-CZ" w:bidi="cs-CZ"/>
        </w:rPr>
        <w:t>VPP P-100/14, ZPP P-600/14 a doložkami DOB101, DODP102, DODP103, DODP104, DODP105, DODP1Q9, DODP12Q</w:t>
      </w:r>
    </w:p>
    <w:tbl>
      <w:tblPr>
        <w:tblOverlap w:val="never"/>
        <w:jc w:val="center"/>
        <w:tblLayout w:type="fixed"/>
      </w:tblPr>
      <w:tblGrid>
        <w:gridCol w:w="792"/>
        <w:gridCol w:w="3043"/>
        <w:gridCol w:w="1512"/>
        <w:gridCol w:w="1507"/>
        <w:gridCol w:w="1363"/>
        <w:gridCol w:w="1493"/>
      </w:tblGrid>
      <w:tr>
        <w:trPr>
          <w:trHeight w:val="720" w:hRule="exact"/>
        </w:trPr>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100" w:after="0" w:line="288" w:lineRule="auto"/>
              <w:ind w:left="0" w:right="0" w:firstLine="0"/>
              <w:jc w:val="center"/>
            </w:pPr>
            <w:r>
              <w:rPr>
                <w:b/>
                <w:bCs/>
                <w:color w:val="000000"/>
                <w:spacing w:val="0"/>
                <w:w w:val="100"/>
                <w:position w:val="0"/>
                <w:shd w:val="clear" w:color="auto" w:fill="auto"/>
                <w:lang w:val="cs-CZ" w:eastAsia="cs-CZ" w:bidi="cs-CZ"/>
              </w:rPr>
              <w:t>Poř. číslo</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Rozsah pojištění</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cs-CZ" w:eastAsia="cs-CZ" w:bidi="cs-CZ"/>
              </w:rPr>
              <w:t>Limit pojistného plnění</w:t>
            </w:r>
            <w:r>
              <w:rPr>
                <w:b/>
                <w:bCs/>
                <w:color w:val="000000"/>
                <w:spacing w:val="0"/>
                <w:w w:val="100"/>
                <w:position w:val="0"/>
                <w:shd w:val="clear" w:color="auto" w:fill="auto"/>
                <w:vertAlign w:val="superscript"/>
                <w:lang w:val="cs-CZ" w:eastAsia="cs-CZ" w:bidi="cs-CZ"/>
              </w:rPr>
              <w:t>65</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cs-CZ" w:eastAsia="cs-CZ" w:bidi="cs-CZ"/>
              </w:rPr>
              <w:t>Sublimit pojistného plnění</w:t>
            </w:r>
            <w:r>
              <w:rPr>
                <w:b/>
                <w:bCs/>
                <w:color w:val="000000"/>
                <w:spacing w:val="0"/>
                <w:w w:val="100"/>
                <w:position w:val="0"/>
                <w:shd w:val="clear" w:color="auto" w:fill="auto"/>
                <w:vertAlign w:val="superscript"/>
                <w:lang w:val="cs-CZ" w:eastAsia="cs-CZ" w:bidi="cs-CZ"/>
              </w:rPr>
              <w:t>7)</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Spoluúčast</w:t>
            </w:r>
            <w:r>
              <w:rPr>
                <w:b/>
                <w:bCs/>
                <w:color w:val="000000"/>
                <w:spacing w:val="0"/>
                <w:w w:val="100"/>
                <w:position w:val="0"/>
                <w:shd w:val="clear" w:color="auto" w:fill="auto"/>
                <w:vertAlign w:val="superscript"/>
                <w:lang w:val="cs-CZ" w:eastAsia="cs-CZ" w:bidi="cs-CZ"/>
              </w:rPr>
              <w:t>55</w:t>
            </w:r>
          </w:p>
        </w:tc>
        <w:tc>
          <w:tcPr>
            <w:tcBorders>
              <w:top w:val="single" w:sz="4"/>
              <w:left w:val="single" w:sz="4"/>
              <w:right w:val="single" w:sz="4"/>
            </w:tcBorders>
            <w:shd w:val="clear" w:color="auto" w:fill="FFFFFF"/>
            <w:vAlign w:val="bottom"/>
          </w:tcPr>
          <w:p>
            <w:pPr>
              <w:pStyle w:val="Style2"/>
              <w:keepNext w:val="0"/>
              <w:keepLines w:val="0"/>
              <w:widowControl w:val="0"/>
              <w:shd w:val="clear" w:color="auto" w:fill="auto"/>
              <w:bidi w:val="0"/>
              <w:spacing w:before="0" w:after="0" w:line="276" w:lineRule="auto"/>
              <w:ind w:left="0" w:right="0" w:firstLine="0"/>
              <w:jc w:val="center"/>
            </w:pPr>
            <w:r>
              <w:rPr>
                <w:b/>
                <w:bCs/>
                <w:color w:val="000000"/>
                <w:spacing w:val="0"/>
                <w:w w:val="100"/>
                <w:position w:val="0"/>
                <w:shd w:val="clear" w:color="auto" w:fill="auto"/>
                <w:lang w:val="cs-CZ" w:eastAsia="cs-CZ" w:bidi="cs-CZ"/>
              </w:rPr>
              <w:t>Územní platnost pojištění</w:t>
            </w:r>
          </w:p>
        </w:tc>
      </w:tr>
      <w:tr>
        <w:trPr>
          <w:trHeight w:val="931"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1.</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Obecná odpovědnost za újmu a odpovědnost za újmu způsobenou vadou výrobku a vadou práce po předání - DODP102</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30 000 000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10 000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792"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2.</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Cizí věci převzaté DODP103 (vyjma motorových vozidel) Cizí věci užívané DODP104</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500 000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10 000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706"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3.</w:t>
            </w:r>
          </w:p>
        </w:tc>
        <w:tc>
          <w:tcPr>
            <w:tcBorders>
              <w:top w:val="single" w:sz="4"/>
              <w:left w:val="single" w:sz="4"/>
            </w:tcBorders>
            <w:shd w:val="clear" w:color="auto" w:fill="FFFFFF"/>
            <w:vAlign w:val="top"/>
          </w:tcPr>
          <w:p>
            <w:pPr>
              <w:pStyle w:val="Style2"/>
              <w:keepNext w:val="0"/>
              <w:keepLines w:val="0"/>
              <w:widowControl w:val="0"/>
              <w:shd w:val="clear" w:color="auto" w:fill="auto"/>
              <w:bidi w:val="0"/>
              <w:spacing w:before="0" w:after="0" w:line="288" w:lineRule="auto"/>
              <w:ind w:left="0" w:right="0" w:firstLine="0"/>
              <w:jc w:val="left"/>
            </w:pPr>
            <w:r>
              <w:rPr>
                <w:color w:val="000000"/>
                <w:spacing w:val="0"/>
                <w:w w:val="100"/>
                <w:position w:val="0"/>
                <w:shd w:val="clear" w:color="auto" w:fill="auto"/>
                <w:lang w:val="cs-CZ" w:eastAsia="cs-CZ" w:bidi="cs-CZ"/>
              </w:rPr>
              <w:t>Náklady zdravotní pojišťovny a regresy dávek nemocenského pojištění DODP105</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5 000 000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20 000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47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4.</w:t>
            </w:r>
          </w:p>
        </w:tc>
        <w:tc>
          <w:tcPr>
            <w:tcBorders>
              <w:top w:val="single" w:sz="4"/>
              <w:left w:val="single" w:sz="4"/>
            </w:tcBorders>
            <w:shd w:val="clear" w:color="auto" w:fill="FFFFFF"/>
            <w:vAlign w:val="bottom"/>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 pracovních strojů</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DODP109</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Nesjednává se</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500 000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10 000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r>
        <w:trPr>
          <w:trHeight w:val="960"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300"/>
              <w:jc w:val="left"/>
            </w:pPr>
            <w:r>
              <w:rPr>
                <w:color w:val="000000"/>
                <w:spacing w:val="0"/>
                <w:w w:val="100"/>
                <w:position w:val="0"/>
                <w:shd w:val="clear" w:color="auto" w:fill="auto"/>
                <w:lang w:val="cs-CZ" w:eastAsia="cs-CZ" w:bidi="cs-CZ"/>
              </w:rPr>
              <w:t>5.</w:t>
            </w:r>
          </w:p>
        </w:tc>
        <w:tc>
          <w:tcPr>
            <w:tcBorders>
              <w:top w:val="single" w:sz="4"/>
              <w:left w:val="single" w:sz="4"/>
              <w:bottom w:val="single" w:sz="4"/>
            </w:tcBorders>
            <w:shd w:val="clear" w:color="auto" w:fill="FFFFFF"/>
            <w:vAlign w:val="top"/>
          </w:tcPr>
          <w:p>
            <w:pPr>
              <w:pStyle w:val="Style2"/>
              <w:keepNext w:val="0"/>
              <w:keepLines w:val="0"/>
              <w:widowControl w:val="0"/>
              <w:shd w:val="clear" w:color="auto" w:fill="auto"/>
              <w:bidi w:val="0"/>
              <w:spacing w:before="0" w:after="0" w:line="286" w:lineRule="auto"/>
              <w:ind w:left="0" w:right="0" w:firstLine="0"/>
              <w:jc w:val="left"/>
            </w:pPr>
            <w:r>
              <w:rPr>
                <w:color w:val="000000"/>
                <w:spacing w:val="0"/>
                <w:w w:val="100"/>
                <w:position w:val="0"/>
                <w:shd w:val="clear" w:color="auto" w:fill="auto"/>
                <w:lang w:val="cs-CZ" w:eastAsia="cs-CZ" w:bidi="cs-CZ"/>
              </w:rPr>
              <w:t>Odpovědnost obchodní korporace za újmu členům svých orgánů v souvislosti s výkonem jejich funkce DODP120</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Nesjednává se</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30 000 000 Kč</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20 000 Kč</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republika</w:t>
            </w:r>
          </w:p>
        </w:tc>
      </w:tr>
    </w:tbl>
    <w:p>
      <w:pPr>
        <w:pStyle w:val="Style6"/>
        <w:keepNext w:val="0"/>
        <w:keepLines w:val="0"/>
        <w:widowControl w:val="0"/>
        <w:shd w:val="clear" w:color="auto" w:fill="auto"/>
        <w:bidi w:val="0"/>
        <w:spacing w:before="0" w:after="0" w:line="271" w:lineRule="auto"/>
        <w:ind w:left="0" w:right="0" w:firstLine="0"/>
        <w:jc w:val="left"/>
      </w:pPr>
      <w:r>
        <w:rPr>
          <w:color w:val="000000"/>
          <w:spacing w:val="0"/>
          <w:w w:val="100"/>
          <w:position w:val="0"/>
          <w:shd w:val="clear" w:color="auto" w:fill="auto"/>
          <w:lang w:val="cs-CZ" w:eastAsia="cs-CZ" w:bidi="cs-CZ"/>
        </w:rPr>
        <w:t>Poznámky: Pojištění se vztahuje výhradně na povinnost pojištěného nahradit újmu vyplývající z vlastnictví, držby nebo jiného oprávněného užívání nemovitosti sloužící k výkonu činnosti pojištěného.</w:t>
      </w:r>
    </w:p>
    <w:p>
      <w:pPr>
        <w:widowControl w:val="0"/>
        <w:spacing w:after="39" w:line="1" w:lineRule="exact"/>
      </w:pPr>
    </w:p>
    <w:p>
      <w:pPr>
        <w:pStyle w:val="Style9"/>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 xml:space="preserve">Odchylně od čl. 2 odst. 1) písm. b) ZPP P-600/14, se pojištění vztahuje též na povinnost pojištěného nahradit újmu způsobenou v souvislosti s vlastnictvím či provozem přístavů, přístavišť, mol a doků. SubLimit pojistného plnění ve výši </w:t>
      </w:r>
      <w:r>
        <w:rPr>
          <w:b/>
          <w:bCs/>
          <w:color w:val="000000"/>
          <w:spacing w:val="0"/>
          <w:w w:val="100"/>
          <w:position w:val="0"/>
          <w:shd w:val="clear" w:color="auto" w:fill="auto"/>
          <w:lang w:val="cs-CZ" w:eastAsia="cs-CZ" w:bidi="cs-CZ"/>
        </w:rPr>
        <w:t>10 000 000 Kč.</w:t>
      </w:r>
    </w:p>
    <w:p>
      <w:pPr>
        <w:pStyle w:val="Style9"/>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 xml:space="preserve">Odchylně od či. 2 odst. 1) písm. s) odstavce 1) článku 2 ZPP P-600/14 se pojištění vztahuje též na povinnost pojištěného nahradit újmu způsobenou v souvislosti s nakládáním se stlačenými či zkapalněnými plyny, v rámci vlastnictví, držby nebo jiného oprávněného užívání nemovitosti sloužící k výkonu činnosti pojištěného. Sublimit pojistného plnění ve výši </w:t>
      </w:r>
      <w:r>
        <w:rPr>
          <w:b/>
          <w:bCs/>
          <w:color w:val="000000"/>
          <w:spacing w:val="0"/>
          <w:w w:val="100"/>
          <w:position w:val="0"/>
          <w:shd w:val="clear" w:color="auto" w:fill="auto"/>
          <w:lang w:val="cs-CZ" w:eastAsia="cs-CZ" w:bidi="cs-CZ"/>
        </w:rPr>
        <w:t>5 000 000 Kč.</w:t>
      </w:r>
    </w:p>
    <w:p>
      <w:pPr>
        <w:pStyle w:val="Style9"/>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 xml:space="preserve">Odchylně od výše uvedeného se </w:t>
      </w:r>
      <w:r>
        <w:rPr>
          <w:b/>
          <w:bCs/>
          <w:color w:val="000000"/>
          <w:spacing w:val="0"/>
          <w:w w:val="100"/>
          <w:position w:val="0"/>
          <w:shd w:val="clear" w:color="auto" w:fill="auto"/>
          <w:lang w:val="cs-CZ" w:eastAsia="cs-CZ" w:bidi="cs-CZ"/>
        </w:rPr>
        <w:t xml:space="preserve">pojištění obecné odpovědnosti za újmu </w:t>
      </w:r>
      <w:r>
        <w:rPr>
          <w:i/>
          <w:iCs/>
          <w:color w:val="000000"/>
          <w:spacing w:val="0"/>
          <w:w w:val="100"/>
          <w:position w:val="0"/>
          <w:shd w:val="clear" w:color="auto" w:fill="auto"/>
          <w:lang w:val="cs-CZ" w:eastAsia="cs-CZ" w:bidi="cs-CZ"/>
        </w:rPr>
        <w:t>(vyjma pojištění odpovědnosti za újmu způsobenou vadou výrobku o vadou práce po předání)</w:t>
      </w:r>
      <w:r>
        <w:rPr>
          <w:color w:val="000000"/>
          <w:spacing w:val="0"/>
          <w:w w:val="100"/>
          <w:position w:val="0"/>
          <w:shd w:val="clear" w:color="auto" w:fill="auto"/>
          <w:lang w:val="cs-CZ" w:eastAsia="cs-CZ" w:bidi="cs-CZ"/>
        </w:rPr>
        <w:t xml:space="preserve"> vztahuje též na újmu způsobenou </w:t>
      </w:r>
      <w:r>
        <w:rPr>
          <w:b/>
          <w:bCs/>
          <w:color w:val="000000"/>
          <w:spacing w:val="0"/>
          <w:w w:val="100"/>
          <w:position w:val="0"/>
          <w:shd w:val="clear" w:color="auto" w:fill="auto"/>
          <w:lang w:val="cs-CZ" w:eastAsia="cs-CZ" w:bidi="cs-CZ"/>
        </w:rPr>
        <w:t xml:space="preserve">činností pojištěného, avšak výhradně činností: „Laboratorní činnosti související se zajišťováním kvality vod“. </w:t>
      </w:r>
      <w:r>
        <w:rPr>
          <w:color w:val="000000"/>
          <w:spacing w:val="0"/>
          <w:w w:val="100"/>
          <w:position w:val="0"/>
          <w:shd w:val="clear" w:color="auto" w:fill="auto"/>
          <w:lang w:val="cs-CZ" w:eastAsia="cs-CZ" w:bidi="cs-CZ"/>
        </w:rPr>
        <w:t>Sublimit pojistného plnění'</w:t>
      </w:r>
      <w:r>
        <w:rPr>
          <w:color w:val="000000"/>
          <w:spacing w:val="0"/>
          <w:w w:val="100"/>
          <w:position w:val="0"/>
          <w:shd w:val="clear" w:color="auto" w:fill="auto"/>
          <w:vertAlign w:val="superscript"/>
          <w:lang w:val="cs-CZ" w:eastAsia="cs-CZ" w:bidi="cs-CZ"/>
        </w:rPr>
        <w:t>5</w:t>
      </w:r>
      <w:r>
        <w:rPr>
          <w:color w:val="000000"/>
          <w:spacing w:val="0"/>
          <w:w w:val="100"/>
          <w:position w:val="0"/>
          <w:shd w:val="clear" w:color="auto" w:fill="auto"/>
          <w:lang w:val="cs-CZ" w:eastAsia="cs-CZ" w:bidi="cs-CZ"/>
        </w:rPr>
        <w:t xml:space="preserve"> ve výši </w:t>
      </w:r>
      <w:r>
        <w:rPr>
          <w:b/>
          <w:bCs/>
          <w:color w:val="000000"/>
          <w:spacing w:val="0"/>
          <w:w w:val="100"/>
          <w:position w:val="0"/>
          <w:shd w:val="clear" w:color="auto" w:fill="auto"/>
          <w:lang w:val="cs-CZ" w:eastAsia="cs-CZ" w:bidi="cs-CZ"/>
        </w:rPr>
        <w:t>1000 000 Kč.</w:t>
      </w:r>
    </w:p>
    <w:p>
      <w:pPr>
        <w:pStyle w:val="Style9"/>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V případě újmy způsobené vadou výrobku se za příčinu vzniku újmy považuje to, že konkrétní výrobek, který způsobil újmu, byl pojištěným úplatně nebo bezúplatně předán za účelem distribuce nebo používání nebo k němu bylo pojištěným převedeno vlastnické právo.</w:t>
      </w:r>
    </w:p>
    <w:p>
      <w:pPr>
        <w:pStyle w:val="Style9"/>
        <w:keepNext w:val="0"/>
        <w:keepLines w:val="0"/>
        <w:widowControl w:val="0"/>
        <w:shd w:val="clear" w:color="auto" w:fill="auto"/>
        <w:bidi w:val="0"/>
        <w:spacing w:before="0" w:after="160" w:line="276" w:lineRule="auto"/>
        <w:ind w:left="0" w:right="0" w:firstLine="0"/>
        <w:jc w:val="left"/>
      </w:pPr>
      <w:r>
        <w:rPr>
          <w:color w:val="000000"/>
          <w:spacing w:val="0"/>
          <w:w w:val="100"/>
          <w:position w:val="0"/>
          <w:shd w:val="clear" w:color="auto" w:fill="auto"/>
          <w:lang w:val="cs-CZ" w:eastAsia="cs-CZ" w:bidi="cs-CZ"/>
        </w:rPr>
        <w:t>Pojistitel poskytne pojistné plnění za podmínek a v rozsahu pojištění účinných v okamžiku, kdy nastala příčina vzniku újmy; tím nejsou dotčena ujednání uvedená v čl. 5 ZPP P-600/14.</w:t>
      </w:r>
    </w:p>
    <w:p>
      <w:pPr>
        <w:pStyle w:val="Style9"/>
        <w:keepNext w:val="0"/>
        <w:keepLines w:val="0"/>
        <w:widowControl w:val="0"/>
        <w:shd w:val="clear" w:color="auto" w:fill="auto"/>
        <w:bidi w:val="0"/>
        <w:spacing w:before="0" w:after="160" w:line="266" w:lineRule="auto"/>
        <w:ind w:left="0" w:right="0" w:firstLine="0"/>
        <w:jc w:val="left"/>
      </w:pPr>
      <w:r>
        <w:rPr>
          <w:color w:val="000000"/>
          <w:spacing w:val="0"/>
          <w:w w:val="100"/>
          <w:position w:val="0"/>
          <w:shd w:val="clear" w:color="auto" w:fill="auto"/>
          <w:lang w:val="cs-CZ" w:eastAsia="cs-CZ" w:bidi="cs-CZ"/>
        </w:rPr>
        <w:t>Odchylně od čl. 8 odst. 1) věty druhé ZPP P-600/14 poskytne pojistitel na úhradu všech takových pojistných událostí, jejichž příčiny vzniku újem nastaly během jednoho pojistného roku, pojistné plnění v souhrnu maximálně do výše limitu pojistného plnění účinného v tom pojistném roce, kdy nastaly příčiny vzniku újem všech těchto pojistných událostí.</w:t>
      </w:r>
    </w:p>
    <w:p>
      <w:pPr>
        <w:pStyle w:val="Style9"/>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Ujednává se, že se ustanovení čl. 9 odst. 1) ZPP P-600/14 ruší a nově zní:</w:t>
      </w:r>
    </w:p>
    <w:p>
      <w:pPr>
        <w:pStyle w:val="Style9"/>
        <w:keepNext w:val="0"/>
        <w:keepLines w:val="0"/>
        <w:widowControl w:val="0"/>
        <w:shd w:val="clear" w:color="auto" w:fill="auto"/>
        <w:bidi w:val="0"/>
        <w:spacing w:before="0" w:after="0" w:line="276" w:lineRule="auto"/>
        <w:ind w:left="0" w:right="0" w:firstLine="0"/>
        <w:jc w:val="left"/>
      </w:pPr>
      <w:r>
        <w:rPr>
          <w:color w:val="000000"/>
          <w:spacing w:val="0"/>
          <w:w w:val="100"/>
          <w:position w:val="0"/>
          <w:shd w:val="clear" w:color="auto" w:fill="auto"/>
          <w:lang w:val="cs-CZ" w:eastAsia="cs-CZ" w:bidi="cs-CZ"/>
        </w:rPr>
        <w:t xml:space="preserve">„1) </w:t>
      </w:r>
      <w:r>
        <w:rPr>
          <w:b/>
          <w:bCs/>
          <w:color w:val="000000"/>
          <w:spacing w:val="0"/>
          <w:w w:val="100"/>
          <w:position w:val="0"/>
          <w:shd w:val="clear" w:color="auto" w:fill="auto"/>
          <w:lang w:val="cs-CZ" w:eastAsia="cs-CZ" w:bidi="cs-CZ"/>
        </w:rPr>
        <w:t xml:space="preserve">Motorovým vozidlem </w:t>
      </w:r>
      <w:r>
        <w:rPr>
          <w:color w:val="000000"/>
          <w:spacing w:val="0"/>
          <w:w w:val="100"/>
          <w:position w:val="0"/>
          <w:shd w:val="clear" w:color="auto" w:fill="auto"/>
          <w:lang w:val="cs-CZ" w:eastAsia="cs-CZ" w:bidi="cs-CZ"/>
        </w:rPr>
        <w:t>se rozumí:</w:t>
      </w:r>
    </w:p>
    <w:p>
      <w:pPr>
        <w:pStyle w:val="Style9"/>
        <w:keepNext w:val="0"/>
        <w:keepLines w:val="0"/>
        <w:widowControl w:val="0"/>
        <w:numPr>
          <w:ilvl w:val="0"/>
          <w:numId w:val="11"/>
        </w:numPr>
        <w:shd w:val="clear" w:color="auto" w:fill="auto"/>
        <w:tabs>
          <w:tab w:pos="349" w:val="left"/>
        </w:tabs>
        <w:bidi w:val="0"/>
        <w:spacing w:before="0" w:after="0" w:line="276" w:lineRule="auto"/>
        <w:ind w:left="0" w:right="0" w:firstLine="0"/>
        <w:jc w:val="left"/>
      </w:pPr>
      <w:bookmarkStart w:id="73" w:name="bookmark73"/>
      <w:bookmarkEnd w:id="73"/>
      <w:r>
        <w:rPr>
          <w:color w:val="000000"/>
          <w:spacing w:val="0"/>
          <w:w w:val="100"/>
          <w:position w:val="0"/>
          <w:shd w:val="clear" w:color="auto" w:fill="auto"/>
          <w:lang w:val="cs-CZ" w:eastAsia="cs-CZ" w:bidi="cs-CZ"/>
        </w:rPr>
        <w:t>nekolejové vozidlo poháněné motorem (mechanickým pohonem) určené k pohybu po zemí - včetně motorových</w:t>
      </w:r>
    </w:p>
    <w:p>
      <w:pPr>
        <w:pStyle w:val="Style9"/>
        <w:keepNext w:val="0"/>
        <w:keepLines w:val="0"/>
        <w:widowControl w:val="0"/>
        <w:shd w:val="clear" w:color="auto" w:fill="auto"/>
        <w:bidi w:val="0"/>
        <w:spacing w:before="0" w:after="0" w:line="276" w:lineRule="auto"/>
        <w:ind w:left="340" w:right="0" w:firstLine="20"/>
        <w:jc w:val="left"/>
      </w:pPr>
      <w:r>
        <w:rPr>
          <w:color w:val="000000"/>
          <w:spacing w:val="0"/>
          <w:w w:val="100"/>
          <w:position w:val="0"/>
          <w:shd w:val="clear" w:color="auto" w:fill="auto"/>
          <w:lang w:val="cs-CZ" w:eastAsia="cs-CZ" w:bidi="cs-CZ"/>
        </w:rPr>
        <w:t>vozidel sloužících jako pracovní stroje (např. bagr, autojeřáb, rolba, pásový nebo kolový finišer), trolejbusů, elektrovozidel, sanitek, motorových invalidních vozíků, vozítek segway, motorových koloběžek, mopedů, elektrokol, elektrických jednokolek apod. - bez ohledu na to, jestli:</w:t>
      </w:r>
    </w:p>
    <w:p>
      <w:pPr>
        <w:pStyle w:val="Style9"/>
        <w:keepNext w:val="0"/>
        <w:keepLines w:val="0"/>
        <w:widowControl w:val="0"/>
        <w:numPr>
          <w:ilvl w:val="0"/>
          <w:numId w:val="13"/>
        </w:numPr>
        <w:shd w:val="clear" w:color="auto" w:fill="auto"/>
        <w:tabs>
          <w:tab w:pos="265" w:val="left"/>
        </w:tabs>
        <w:bidi w:val="0"/>
        <w:spacing w:before="0" w:after="0" w:line="276" w:lineRule="auto"/>
        <w:ind w:left="0" w:right="0" w:firstLine="0"/>
        <w:jc w:val="left"/>
      </w:pPr>
      <w:bookmarkStart w:id="74" w:name="bookmark74"/>
      <w:bookmarkEnd w:id="74"/>
      <w:r>
        <w:rPr>
          <w:color w:val="000000"/>
          <w:spacing w:val="0"/>
          <w:w w:val="100"/>
          <w:position w:val="0"/>
          <w:shd w:val="clear" w:color="auto" w:fill="auto"/>
          <w:lang w:val="cs-CZ" w:eastAsia="cs-CZ" w:bidi="cs-CZ"/>
        </w:rPr>
        <w:t>je takové vozidlo určeno k provozu na pozemních komunikacích,</w:t>
      </w:r>
    </w:p>
    <w:p>
      <w:pPr>
        <w:pStyle w:val="Style9"/>
        <w:keepNext w:val="0"/>
        <w:keepLines w:val="0"/>
        <w:widowControl w:val="0"/>
        <w:numPr>
          <w:ilvl w:val="0"/>
          <w:numId w:val="13"/>
        </w:numPr>
        <w:shd w:val="clear" w:color="auto" w:fill="auto"/>
        <w:tabs>
          <w:tab w:pos="265" w:val="left"/>
        </w:tabs>
        <w:bidi w:val="0"/>
        <w:spacing w:before="0" w:after="0" w:line="276" w:lineRule="auto"/>
        <w:ind w:left="0" w:right="0" w:firstLine="0"/>
        <w:jc w:val="left"/>
      </w:pPr>
      <w:bookmarkStart w:id="75" w:name="bookmark75"/>
      <w:bookmarkEnd w:id="75"/>
      <w:r>
        <w:rPr>
          <w:color w:val="000000"/>
          <w:spacing w:val="0"/>
          <w:w w:val="100"/>
          <w:position w:val="0"/>
          <w:shd w:val="clear" w:color="auto" w:fill="auto"/>
          <w:lang w:val="cs-CZ" w:eastAsia="cs-CZ" w:bidi="cs-CZ"/>
        </w:rPr>
        <w:t>byla takovému vozidlu přidělena registrační značka (státní poznávací značka),</w:t>
      </w:r>
    </w:p>
    <w:p>
      <w:pPr>
        <w:pStyle w:val="Style9"/>
        <w:keepNext w:val="0"/>
        <w:keepLines w:val="0"/>
        <w:widowControl w:val="0"/>
        <w:numPr>
          <w:ilvl w:val="0"/>
          <w:numId w:val="13"/>
        </w:numPr>
        <w:shd w:val="clear" w:color="auto" w:fill="auto"/>
        <w:tabs>
          <w:tab w:pos="265" w:val="left"/>
        </w:tabs>
        <w:bidi w:val="0"/>
        <w:spacing w:before="0" w:after="0" w:line="276" w:lineRule="auto"/>
        <w:ind w:left="0" w:right="0" w:firstLine="0"/>
        <w:jc w:val="left"/>
      </w:pPr>
      <w:bookmarkStart w:id="76" w:name="bookmark76"/>
      <w:bookmarkEnd w:id="76"/>
      <w:r>
        <w:rPr>
          <w:color w:val="000000"/>
          <w:spacing w:val="0"/>
          <w:w w:val="100"/>
          <w:position w:val="0"/>
          <w:shd w:val="clear" w:color="auto" w:fill="auto"/>
          <w:lang w:val="cs-CZ" w:eastAsia="cs-CZ" w:bidi="cs-CZ"/>
        </w:rPr>
        <w:t>bylo takové vozidlo použito jako dopravní prostředek,</w:t>
      </w:r>
    </w:p>
    <w:p>
      <w:pPr>
        <w:pStyle w:val="Style9"/>
        <w:keepNext w:val="0"/>
        <w:keepLines w:val="0"/>
        <w:widowControl w:val="0"/>
        <w:numPr>
          <w:ilvl w:val="0"/>
          <w:numId w:val="13"/>
        </w:numPr>
        <w:shd w:val="clear" w:color="auto" w:fill="auto"/>
        <w:tabs>
          <w:tab w:pos="265" w:val="left"/>
        </w:tabs>
        <w:bidi w:val="0"/>
        <w:spacing w:before="0" w:after="0" w:line="276" w:lineRule="auto"/>
        <w:ind w:left="0" w:right="0" w:firstLine="0"/>
        <w:jc w:val="left"/>
      </w:pPr>
      <w:bookmarkStart w:id="77" w:name="bookmark77"/>
      <w:bookmarkEnd w:id="77"/>
      <w:r>
        <w:rPr>
          <w:color w:val="000000"/>
          <w:spacing w:val="0"/>
          <w:w w:val="100"/>
          <w:position w:val="0"/>
          <w:shd w:val="clear" w:color="auto" w:fill="auto"/>
          <w:lang w:val="cs-CZ" w:eastAsia="cs-CZ" w:bidi="cs-CZ"/>
        </w:rPr>
        <w:t>je takové vozidlo poháněno výhradně motorem (mechanickým pohonem).</w:t>
      </w:r>
    </w:p>
    <w:p>
      <w:pPr>
        <w:pStyle w:val="Style9"/>
        <w:keepNext w:val="0"/>
        <w:keepLines w:val="0"/>
        <w:widowControl w:val="0"/>
        <w:numPr>
          <w:ilvl w:val="0"/>
          <w:numId w:val="11"/>
        </w:numPr>
        <w:shd w:val="clear" w:color="auto" w:fill="auto"/>
        <w:tabs>
          <w:tab w:pos="349" w:val="left"/>
        </w:tabs>
        <w:bidi w:val="0"/>
        <w:spacing w:before="0" w:after="160" w:line="276" w:lineRule="auto"/>
        <w:ind w:left="0" w:right="0" w:firstLine="0"/>
        <w:jc w:val="left"/>
      </w:pPr>
      <w:bookmarkStart w:id="78" w:name="bookmark78"/>
      <w:bookmarkEnd w:id="78"/>
      <w:r>
        <w:rPr>
          <w:color w:val="000000"/>
          <w:spacing w:val="0"/>
          <w:w w:val="100"/>
          <w:position w:val="0"/>
          <w:shd w:val="clear" w:color="auto" w:fill="auto"/>
          <w:lang w:val="cs-CZ" w:eastAsia="cs-CZ" w:bidi="cs-CZ"/>
        </w:rPr>
        <w:t>přípojně vozidlo určené k užití s vozidlem uvedeným v písmenu a).''</w:t>
      </w:r>
    </w:p>
    <w:p>
      <w:pPr>
        <w:pStyle w:val="Style9"/>
        <w:keepNext w:val="0"/>
        <w:keepLines w:val="0"/>
        <w:widowControl w:val="0"/>
        <w:shd w:val="clear" w:color="auto" w:fill="auto"/>
        <w:bidi w:val="0"/>
        <w:spacing w:before="0" w:after="0" w:line="259" w:lineRule="auto"/>
        <w:ind w:left="340" w:right="0" w:hanging="340"/>
        <w:jc w:val="left"/>
        <w:rPr>
          <w:sz w:val="16"/>
          <w:szCs w:val="16"/>
        </w:rPr>
      </w:pPr>
      <w:r>
        <w:rPr>
          <w:color w:val="000000"/>
          <w:spacing w:val="0"/>
          <w:w w:val="100"/>
          <w:position w:val="0"/>
          <w:sz w:val="20"/>
          <w:szCs w:val="20"/>
          <w:shd w:val="clear" w:color="auto" w:fill="auto"/>
          <w:vertAlign w:val="superscript"/>
          <w:lang w:val="cs-CZ" w:eastAsia="cs-CZ" w:bidi="cs-CZ"/>
        </w:rPr>
        <w:t>x)</w:t>
      </w:r>
      <w:r>
        <w:rPr>
          <w:color w:val="000000"/>
          <w:spacing w:val="0"/>
          <w:w w:val="100"/>
          <w:position w:val="0"/>
          <w:sz w:val="20"/>
          <w:szCs w:val="20"/>
          <w:shd w:val="clear" w:color="auto" w:fill="auto"/>
          <w:lang w:val="cs-CZ" w:eastAsia="cs-CZ" w:bidi="cs-CZ"/>
        </w:rPr>
        <w:t xml:space="preserve"> </w:t>
      </w:r>
      <w:r>
        <w:rPr>
          <w:color w:val="000000"/>
          <w:spacing w:val="0"/>
          <w:w w:val="100"/>
          <w:position w:val="0"/>
          <w:sz w:val="16"/>
          <w:szCs w:val="16"/>
          <w:shd w:val="clear" w:color="auto" w:fill="auto"/>
          <w:lang w:val="cs-CZ" w:eastAsia="cs-CZ" w:bidi="cs-CZ"/>
        </w:rPr>
        <w:t>nová cena je vyjádření pojistné hodnoty ve smyslu ustanovení čl. 21 odst. 2) písm. a) VPP P-100/14 časová cena je vyjádření pojistné hodnoty věcí ve smyslu ustanovení čl. 21 odst. 2) písm. b) VPP P-100/14 obvyklá cena je vyjádření pojistné hodnoty věcí ve smyslu ustanovení čl. 21 odst. 2) písm. c) VPP P-100/14 jiná cena je vyjádření pojistné hodnoty věci ve smyslu čl. V. Zvláštní ujednání této pojistné smlouvy</w:t>
      </w:r>
    </w:p>
    <w:p>
      <w:pPr>
        <w:pStyle w:val="Style9"/>
        <w:keepNext w:val="0"/>
        <w:keepLines w:val="0"/>
        <w:widowControl w:val="0"/>
        <w:numPr>
          <w:ilvl w:val="0"/>
          <w:numId w:val="15"/>
        </w:numPr>
        <w:shd w:val="clear" w:color="auto" w:fill="auto"/>
        <w:tabs>
          <w:tab w:pos="339" w:val="left"/>
        </w:tabs>
        <w:bidi w:val="0"/>
        <w:spacing w:before="0" w:after="0" w:line="276" w:lineRule="auto"/>
        <w:ind w:left="0" w:right="0" w:firstLine="0"/>
        <w:jc w:val="left"/>
        <w:rPr>
          <w:sz w:val="16"/>
          <w:szCs w:val="16"/>
        </w:rPr>
      </w:pPr>
      <w:bookmarkStart w:id="79" w:name="bookmark79"/>
      <w:bookmarkEnd w:id="79"/>
      <w:r>
        <w:rPr>
          <w:color w:val="000000"/>
          <w:spacing w:val="0"/>
          <w:w w:val="100"/>
          <w:position w:val="0"/>
          <w:sz w:val="16"/>
          <w:szCs w:val="16"/>
          <w:shd w:val="clear" w:color="auto" w:fill="auto"/>
          <w:lang w:val="cs-CZ" w:eastAsia="cs-CZ" w:bidi="cs-CZ"/>
        </w:rPr>
        <w:t>první riziko ve smyslu ustanovení čl. 23 odst. 1) písm. a) VPP P-100/14</w:t>
      </w:r>
    </w:p>
    <w:p>
      <w:pPr>
        <w:pStyle w:val="Style9"/>
        <w:keepNext w:val="0"/>
        <w:keepLines w:val="0"/>
        <w:widowControl w:val="0"/>
        <w:numPr>
          <w:ilvl w:val="0"/>
          <w:numId w:val="15"/>
        </w:numPr>
        <w:shd w:val="clear" w:color="auto" w:fill="auto"/>
        <w:tabs>
          <w:tab w:pos="339" w:val="left"/>
        </w:tabs>
        <w:bidi w:val="0"/>
        <w:spacing w:before="0" w:after="0" w:line="276" w:lineRule="auto"/>
        <w:ind w:left="0" w:right="0" w:firstLine="0"/>
        <w:jc w:val="left"/>
        <w:rPr>
          <w:sz w:val="16"/>
          <w:szCs w:val="16"/>
        </w:rPr>
      </w:pPr>
      <w:bookmarkStart w:id="80" w:name="bookmark80"/>
      <w:bookmarkEnd w:id="80"/>
      <w:r>
        <w:rPr>
          <w:color w:val="000000"/>
          <w:spacing w:val="0"/>
          <w:w w:val="100"/>
          <w:position w:val="0"/>
          <w:sz w:val="16"/>
          <w:szCs w:val="16"/>
          <w:shd w:val="clear" w:color="auto" w:fill="auto"/>
          <w:lang w:val="cs-CZ" w:eastAsia="cs-CZ" w:bidi="cs-CZ"/>
        </w:rPr>
        <w:t xml:space="preserve">MRLP je horní hranící pojistného plnění v souhrnu ze všech pojistných událostí vzniklých v jednom pojistném roce. Je-li pojištění sjednáno </w:t>
      </w:r>
      <w:r>
        <w:rPr>
          <w:color w:val="000000"/>
          <w:spacing w:val="0"/>
          <w:w w:val="100"/>
          <w:position w:val="0"/>
          <w:sz w:val="16"/>
          <w:szCs w:val="16"/>
          <w:shd w:val="clear" w:color="auto" w:fill="auto"/>
          <w:lang w:val="cs-CZ" w:eastAsia="cs-CZ" w:bidi="cs-CZ"/>
        </w:rPr>
        <w:t>na dobu kratší, než jeden pojistný rok je MRLP horní hranící pojistného plnění v souhrnu ze všech pojistných událostí vzniklých za dobu trvání pojištění.</w:t>
      </w:r>
    </w:p>
    <w:p>
      <w:pPr>
        <w:pStyle w:val="Style9"/>
        <w:keepNext w:val="0"/>
        <w:keepLines w:val="0"/>
        <w:widowControl w:val="0"/>
        <w:shd w:val="clear" w:color="auto" w:fill="auto"/>
        <w:bidi w:val="0"/>
        <w:spacing w:before="0" w:after="0" w:line="269" w:lineRule="auto"/>
        <w:ind w:left="0" w:right="0" w:firstLine="340"/>
        <w:jc w:val="both"/>
        <w:rPr>
          <w:sz w:val="16"/>
          <w:szCs w:val="16"/>
        </w:rPr>
      </w:pPr>
      <w:r>
        <w:rPr>
          <w:color w:val="000000"/>
          <w:spacing w:val="0"/>
          <w:w w:val="100"/>
          <w:position w:val="0"/>
          <w:sz w:val="16"/>
          <w:szCs w:val="16"/>
          <w:shd w:val="clear" w:color="auto" w:fill="auto"/>
          <w:lang w:val="cs-CZ" w:eastAsia="cs-CZ" w:bidi="cs-CZ"/>
        </w:rPr>
        <w:t>zlomkové pojištění ve smyslu čl. 23 odst. 1) písm. b) VPP P-100/14</w:t>
      </w:r>
    </w:p>
    <w:p>
      <w:pPr>
        <w:pStyle w:val="Style9"/>
        <w:keepNext w:val="0"/>
        <w:keepLines w:val="0"/>
        <w:widowControl w:val="0"/>
        <w:numPr>
          <w:ilvl w:val="0"/>
          <w:numId w:val="17"/>
        </w:numPr>
        <w:shd w:val="clear" w:color="auto" w:fill="auto"/>
        <w:tabs>
          <w:tab w:pos="373" w:val="left"/>
        </w:tabs>
        <w:bidi w:val="0"/>
        <w:spacing w:before="0" w:after="0" w:line="218" w:lineRule="auto"/>
        <w:ind w:left="0" w:right="0" w:firstLine="0"/>
        <w:jc w:val="both"/>
        <w:rPr>
          <w:sz w:val="16"/>
          <w:szCs w:val="16"/>
        </w:rPr>
      </w:pPr>
      <w:bookmarkStart w:id="81" w:name="bookmark81"/>
      <w:bookmarkEnd w:id="81"/>
      <w:r>
        <w:rPr>
          <w:color w:val="000000"/>
          <w:spacing w:val="0"/>
          <w:w w:val="100"/>
          <w:position w:val="0"/>
          <w:sz w:val="16"/>
          <w:szCs w:val="16"/>
          <w:shd w:val="clear" w:color="auto" w:fill="auto"/>
          <w:lang w:val="cs-CZ" w:eastAsia="cs-CZ" w:bidi="cs-CZ"/>
        </w:rPr>
        <w:t>spoluúčast může být vyjádřena pevnou částkou, procentem, časovým úsekem nebo jejích kombinací ve smyslu čl. 11 odst.</w:t>
      </w:r>
    </w:p>
    <w:p>
      <w:pPr>
        <w:pStyle w:val="Style9"/>
        <w:keepNext w:val="0"/>
        <w:keepLines w:val="0"/>
        <w:widowControl w:val="0"/>
        <w:numPr>
          <w:ilvl w:val="0"/>
          <w:numId w:val="15"/>
        </w:numPr>
        <w:shd w:val="clear" w:color="auto" w:fill="auto"/>
        <w:tabs>
          <w:tab w:pos="624" w:val="left"/>
        </w:tabs>
        <w:bidi w:val="0"/>
        <w:spacing w:before="0" w:after="0" w:line="271" w:lineRule="auto"/>
        <w:ind w:left="0" w:right="0" w:firstLine="340"/>
        <w:jc w:val="both"/>
        <w:rPr>
          <w:sz w:val="16"/>
          <w:szCs w:val="16"/>
        </w:rPr>
      </w:pPr>
      <w:bookmarkStart w:id="82" w:name="bookmark82"/>
      <w:bookmarkEnd w:id="82"/>
      <w:r>
        <w:rPr>
          <w:color w:val="000000"/>
          <w:spacing w:val="0"/>
          <w:w w:val="100"/>
          <w:position w:val="0"/>
          <w:sz w:val="16"/>
          <w:szCs w:val="16"/>
          <w:shd w:val="clear" w:color="auto" w:fill="auto"/>
          <w:lang w:val="cs-CZ" w:eastAsia="cs-CZ" w:bidi="cs-CZ"/>
        </w:rPr>
        <w:t>VPP P-100/14</w:t>
      </w:r>
    </w:p>
    <w:p>
      <w:pPr>
        <w:pStyle w:val="Style9"/>
        <w:keepNext w:val="0"/>
        <w:keepLines w:val="0"/>
        <w:widowControl w:val="0"/>
        <w:numPr>
          <w:ilvl w:val="0"/>
          <w:numId w:val="17"/>
        </w:numPr>
        <w:shd w:val="clear" w:color="auto" w:fill="auto"/>
        <w:tabs>
          <w:tab w:pos="373" w:val="left"/>
        </w:tabs>
        <w:bidi w:val="0"/>
        <w:spacing w:before="0" w:after="0" w:line="240" w:lineRule="auto"/>
        <w:ind w:left="340" w:right="0" w:hanging="340"/>
        <w:jc w:val="both"/>
        <w:rPr>
          <w:sz w:val="16"/>
          <w:szCs w:val="16"/>
        </w:rPr>
      </w:pPr>
      <w:bookmarkStart w:id="83" w:name="bookmark83"/>
      <w:bookmarkEnd w:id="83"/>
      <w:r>
        <w:rPr>
          <w:color w:val="000000"/>
          <w:spacing w:val="0"/>
          <w:w w:val="100"/>
          <w:position w:val="0"/>
          <w:sz w:val="16"/>
          <w:szCs w:val="16"/>
          <w:shd w:val="clear" w:color="auto" w:fill="auto"/>
          <w:lang w:val="cs-CZ" w:eastAsia="cs-CZ" w:bidi="cs-CZ"/>
        </w:rPr>
        <w:t>odchylně od čl. 8 odst. 1) věta druhá ZPP P-600/14 poskytne pojistitel na úhradu všech pojistných událostí nastalých během jednoho pojistného roku pojistné plnění v souhrnu maximálně do výše Limitu pojistného plnění</w:t>
      </w:r>
    </w:p>
    <w:p>
      <w:pPr>
        <w:pStyle w:val="Style9"/>
        <w:keepNext w:val="0"/>
        <w:keepLines w:val="0"/>
        <w:widowControl w:val="0"/>
        <w:numPr>
          <w:ilvl w:val="0"/>
          <w:numId w:val="17"/>
        </w:numPr>
        <w:shd w:val="clear" w:color="auto" w:fill="auto"/>
        <w:tabs>
          <w:tab w:pos="373" w:val="left"/>
        </w:tabs>
        <w:bidi w:val="0"/>
        <w:spacing w:before="0" w:after="0" w:line="240" w:lineRule="auto"/>
        <w:ind w:left="340" w:right="0" w:hanging="340"/>
        <w:jc w:val="both"/>
        <w:rPr>
          <w:sz w:val="16"/>
          <w:szCs w:val="16"/>
        </w:rPr>
      </w:pPr>
      <w:bookmarkStart w:id="84" w:name="bookmark84"/>
      <w:bookmarkEnd w:id="84"/>
      <w:r>
        <w:rPr>
          <w:color w:val="000000"/>
          <w:spacing w:val="0"/>
          <w:w w:val="100"/>
          <w:position w:val="0"/>
          <w:sz w:val="16"/>
          <w:szCs w:val="16"/>
          <w:shd w:val="clear" w:color="auto" w:fill="auto"/>
          <w:lang w:val="cs-CZ" w:eastAsia="cs-CZ" w:bidi="cs-CZ"/>
        </w:rPr>
        <w:t>odchylně od čl. 8 odst. 2) věta třetí ZPP P-600/14 poskytne pojistitel na úhradu všech pojistných událostí nastalých během jednoho pojistného roku pojistné plnění v souhrnu maximálně do výše sublímítu pojistného plnění</w:t>
      </w:r>
    </w:p>
    <w:p>
      <w:pPr>
        <w:pStyle w:val="Style9"/>
        <w:keepNext w:val="0"/>
        <w:keepLines w:val="0"/>
        <w:widowControl w:val="0"/>
        <w:numPr>
          <w:ilvl w:val="0"/>
          <w:numId w:val="17"/>
        </w:numPr>
        <w:shd w:val="clear" w:color="auto" w:fill="auto"/>
        <w:tabs>
          <w:tab w:pos="373" w:val="left"/>
        </w:tabs>
        <w:bidi w:val="0"/>
        <w:spacing w:before="0" w:after="0" w:line="240" w:lineRule="auto"/>
        <w:ind w:left="340" w:right="0" w:hanging="340"/>
        <w:jc w:val="both"/>
        <w:rPr>
          <w:sz w:val="16"/>
          <w:szCs w:val="16"/>
        </w:rPr>
      </w:pPr>
      <w:bookmarkStart w:id="85" w:name="bookmark85"/>
      <w:bookmarkEnd w:id="85"/>
      <w:r>
        <w:rPr>
          <w:color w:val="000000"/>
          <w:spacing w:val="0"/>
          <w:w w:val="100"/>
          <w:position w:val="0"/>
          <w:sz w:val="16"/>
          <w:szCs w:val="16"/>
          <w:shd w:val="clear" w:color="auto" w:fill="auto"/>
          <w:lang w:val="cs-CZ" w:eastAsia="cs-CZ" w:bidi="cs-CZ"/>
        </w:rPr>
        <w:t>dobou ručení se rozumí doba ve smyslu čl. 11 odst. 5) ZPP P-400/14, resp. čl. 14 odst. 2) DPP P-330/16, resp. čl. 20 odst. 4) DPP P-340/16</w:t>
      </w:r>
    </w:p>
    <w:p>
      <w:pPr>
        <w:pStyle w:val="Style9"/>
        <w:keepNext w:val="0"/>
        <w:keepLines w:val="0"/>
        <w:widowControl w:val="0"/>
        <w:numPr>
          <w:ilvl w:val="0"/>
          <w:numId w:val="17"/>
        </w:numPr>
        <w:shd w:val="clear" w:color="auto" w:fill="auto"/>
        <w:tabs>
          <w:tab w:pos="373" w:val="left"/>
        </w:tabs>
        <w:bidi w:val="0"/>
        <w:spacing w:before="0" w:after="0" w:line="252" w:lineRule="auto"/>
        <w:ind w:left="340" w:right="0" w:hanging="340"/>
        <w:jc w:val="both"/>
        <w:rPr>
          <w:sz w:val="16"/>
          <w:szCs w:val="16"/>
        </w:rPr>
      </w:pPr>
      <w:bookmarkStart w:id="86" w:name="bookmark86"/>
      <w:bookmarkEnd w:id="86"/>
      <w:r>
        <w:rPr>
          <w:color w:val="000000"/>
          <w:spacing w:val="0"/>
          <w:w w:val="100"/>
          <w:position w:val="0"/>
          <w:sz w:val="16"/>
          <w:szCs w:val="16"/>
          <w:shd w:val="clear" w:color="auto" w:fill="auto"/>
          <w:lang w:val="cs-CZ" w:eastAsia="cs-CZ" w:bidi="cs-CZ"/>
        </w:rPr>
        <w:t>integrální časová franšíza je časový úsek specifikovaný několika pracovními dny. Právo na pojistné plnění vzniká jen tehdy, je-li přerušení provozu pojištěného delší než tento počet pracovních dní. Je-li však přerušení provozu pojištěného delší než tento počet pracovních dní, nemá integrální časová franšíza vliv na výší pojistného plnění.</w:t>
      </w:r>
    </w:p>
    <w:p>
      <w:pPr>
        <w:pStyle w:val="Style9"/>
        <w:keepNext w:val="0"/>
        <w:keepLines w:val="0"/>
        <w:widowControl w:val="0"/>
        <w:numPr>
          <w:ilvl w:val="0"/>
          <w:numId w:val="17"/>
        </w:numPr>
        <w:shd w:val="clear" w:color="auto" w:fill="auto"/>
        <w:tabs>
          <w:tab w:pos="373" w:val="left"/>
        </w:tabs>
        <w:bidi w:val="0"/>
        <w:spacing w:before="0" w:after="400" w:line="240" w:lineRule="auto"/>
        <w:ind w:left="340" w:right="0" w:hanging="340"/>
        <w:jc w:val="both"/>
        <w:rPr>
          <w:sz w:val="16"/>
          <w:szCs w:val="16"/>
        </w:rPr>
      </w:pPr>
      <w:bookmarkStart w:id="87" w:name="bookmark87"/>
      <w:bookmarkEnd w:id="87"/>
      <w:r>
        <w:rPr>
          <w:color w:val="000000"/>
          <w:spacing w:val="0"/>
          <w:w w:val="100"/>
          <w:position w:val="0"/>
          <w:sz w:val="16"/>
          <w:szCs w:val="16"/>
          <w:shd w:val="clear" w:color="auto" w:fill="auto"/>
          <w:lang w:val="cs-CZ" w:eastAsia="cs-CZ" w:bidi="cs-CZ"/>
        </w:rPr>
        <w:t>agregovaná pojistná částka se sjednává v případě pojištění souboru věcí, celková pojistná částka se sjednává v případě pojištění výčtu jednotlivých věcí a součtu jejích hodnot</w:t>
      </w:r>
    </w:p>
    <w:p>
      <w:pPr>
        <w:pStyle w:val="Style31"/>
        <w:keepNext/>
        <w:keepLines/>
        <w:widowControl w:val="0"/>
        <w:shd w:val="clear" w:color="auto" w:fill="auto"/>
        <w:bidi w:val="0"/>
        <w:spacing w:before="0" w:after="80" w:line="240" w:lineRule="auto"/>
        <w:ind w:left="0" w:right="0" w:firstLine="0"/>
        <w:jc w:val="both"/>
        <w:rPr>
          <w:sz w:val="19"/>
          <w:szCs w:val="19"/>
        </w:rPr>
      </w:pPr>
      <w:bookmarkStart w:id="88" w:name="bookmark88"/>
      <w:bookmarkStart w:id="89" w:name="bookmark89"/>
      <w:bookmarkStart w:id="90" w:name="bookmark90"/>
      <w:r>
        <w:rPr>
          <w:color w:val="000000"/>
          <w:spacing w:val="0"/>
          <w:w w:val="100"/>
          <w:position w:val="0"/>
          <w:sz w:val="19"/>
          <w:szCs w:val="19"/>
          <w:shd w:val="clear" w:color="auto" w:fill="auto"/>
          <w:lang w:val="cs-CZ" w:eastAsia="cs-CZ" w:bidi="cs-CZ"/>
        </w:rPr>
        <w:t>3. Pojistné plnění</w:t>
      </w:r>
      <w:bookmarkEnd w:id="88"/>
      <w:bookmarkEnd w:id="89"/>
      <w:bookmarkEnd w:id="90"/>
    </w:p>
    <w:p>
      <w:pPr>
        <w:pStyle w:val="Style9"/>
        <w:keepNext w:val="0"/>
        <w:keepLines w:val="0"/>
        <w:widowControl w:val="0"/>
        <w:numPr>
          <w:ilvl w:val="0"/>
          <w:numId w:val="19"/>
        </w:numPr>
        <w:shd w:val="clear" w:color="auto" w:fill="auto"/>
        <w:tabs>
          <w:tab w:pos="418" w:val="left"/>
        </w:tabs>
        <w:bidi w:val="0"/>
        <w:spacing w:before="0" w:after="80" w:line="286" w:lineRule="auto"/>
        <w:ind w:left="440" w:right="0" w:hanging="440"/>
        <w:jc w:val="both"/>
      </w:pPr>
      <w:bookmarkStart w:id="91" w:name="bookmark91"/>
      <w:bookmarkEnd w:id="91"/>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požárem a jeho průvodními jevy, výbuchem, přímým úderem blesku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150 000 000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9"/>
        <w:keepNext w:val="0"/>
        <w:keepLines w:val="0"/>
        <w:widowControl w:val="0"/>
        <w:numPr>
          <w:ilvl w:val="0"/>
          <w:numId w:val="19"/>
        </w:numPr>
        <w:shd w:val="clear" w:color="auto" w:fill="auto"/>
        <w:tabs>
          <w:tab w:pos="418" w:val="left"/>
        </w:tabs>
        <w:bidi w:val="0"/>
        <w:spacing w:before="0" w:after="80" w:line="286" w:lineRule="auto"/>
        <w:ind w:left="440" w:right="0" w:hanging="440"/>
        <w:jc w:val="both"/>
      </w:pPr>
      <w:bookmarkStart w:id="92" w:name="bookmark92"/>
      <w:bookmarkEnd w:id="92"/>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povodní nebo záplavou,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30 000 000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9"/>
        <w:keepNext w:val="0"/>
        <w:keepLines w:val="0"/>
        <w:widowControl w:val="0"/>
        <w:numPr>
          <w:ilvl w:val="0"/>
          <w:numId w:val="19"/>
        </w:numPr>
        <w:shd w:val="clear" w:color="auto" w:fill="auto"/>
        <w:tabs>
          <w:tab w:pos="418" w:val="left"/>
        </w:tabs>
        <w:bidi w:val="0"/>
        <w:spacing w:before="0" w:after="80" w:line="286" w:lineRule="auto"/>
        <w:ind w:left="440" w:right="0" w:hanging="440"/>
        <w:jc w:val="both"/>
      </w:pPr>
      <w:bookmarkStart w:id="93" w:name="bookmark93"/>
      <w:bookmarkEnd w:id="93"/>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vichřicí nebo krupobitím,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25 000 000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výší.</w:t>
      </w:r>
    </w:p>
    <w:p>
      <w:pPr>
        <w:pStyle w:val="Style9"/>
        <w:keepNext w:val="0"/>
        <w:keepLines w:val="0"/>
        <w:widowControl w:val="0"/>
        <w:numPr>
          <w:ilvl w:val="0"/>
          <w:numId w:val="19"/>
        </w:numPr>
        <w:shd w:val="clear" w:color="auto" w:fill="auto"/>
        <w:tabs>
          <w:tab w:pos="418" w:val="left"/>
        </w:tabs>
        <w:bidi w:val="0"/>
        <w:spacing w:before="0" w:after="80" w:line="286" w:lineRule="auto"/>
        <w:ind w:left="440" w:right="0" w:hanging="440"/>
        <w:jc w:val="both"/>
      </w:pPr>
      <w:bookmarkStart w:id="94" w:name="bookmark94"/>
      <w:bookmarkEnd w:id="94"/>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sesouváním půdy, zřícením skal nebo zemin, sesouváním nebo zřícením lavin, zemětřesením, tíhou sněhu nebo námrazy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25 000 000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výší.</w:t>
      </w:r>
    </w:p>
    <w:p>
      <w:pPr>
        <w:pStyle w:val="Style9"/>
        <w:keepNext w:val="0"/>
        <w:keepLines w:val="0"/>
        <w:widowControl w:val="0"/>
        <w:numPr>
          <w:ilvl w:val="0"/>
          <w:numId w:val="19"/>
        </w:numPr>
        <w:shd w:val="clear" w:color="auto" w:fill="auto"/>
        <w:tabs>
          <w:tab w:pos="418" w:val="left"/>
        </w:tabs>
        <w:bidi w:val="0"/>
        <w:spacing w:before="0" w:after="80"/>
        <w:ind w:left="440" w:right="0" w:hanging="440"/>
        <w:jc w:val="both"/>
      </w:pPr>
      <w:bookmarkStart w:id="95" w:name="bookmark95"/>
      <w:bookmarkEnd w:id="95"/>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nárazem nebo pádem,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5 000 000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9"/>
        <w:keepNext w:val="0"/>
        <w:keepLines w:val="0"/>
        <w:widowControl w:val="0"/>
        <w:numPr>
          <w:ilvl w:val="0"/>
          <w:numId w:val="19"/>
        </w:numPr>
        <w:shd w:val="clear" w:color="auto" w:fill="auto"/>
        <w:tabs>
          <w:tab w:pos="418" w:val="left"/>
        </w:tabs>
        <w:bidi w:val="0"/>
        <w:spacing w:before="0" w:after="80" w:line="288" w:lineRule="auto"/>
        <w:ind w:left="440" w:right="0" w:hanging="440"/>
        <w:jc w:val="both"/>
      </w:pPr>
      <w:bookmarkStart w:id="96" w:name="bookmark96"/>
      <w:bookmarkEnd w:id="96"/>
      <w:r>
        <w:rPr>
          <w:color w:val="000000"/>
          <w:spacing w:val="0"/>
          <w:w w:val="100"/>
          <w:position w:val="0"/>
          <w:shd w:val="clear" w:color="auto" w:fill="auto"/>
          <w:lang w:val="cs-CZ" w:eastAsia="cs-CZ" w:bidi="cs-CZ"/>
        </w:rPr>
        <w:t xml:space="preserve">Pojistné plnění ze všech pojištění sjednaných touto pojistnou smlouvou, v souhrnu za všechny pojistné události </w:t>
      </w:r>
      <w:r>
        <w:rPr>
          <w:b/>
          <w:bCs/>
          <w:color w:val="000000"/>
          <w:spacing w:val="0"/>
          <w:w w:val="100"/>
          <w:position w:val="0"/>
          <w:shd w:val="clear" w:color="auto" w:fill="auto"/>
          <w:lang w:val="cs-CZ" w:eastAsia="cs-CZ" w:bidi="cs-CZ"/>
        </w:rPr>
        <w:t xml:space="preserve">způsobené vodovodním nebezpečím, </w:t>
      </w:r>
      <w:r>
        <w:rPr>
          <w:color w:val="000000"/>
          <w:spacing w:val="0"/>
          <w:w w:val="100"/>
          <w:position w:val="0"/>
          <w:shd w:val="clear" w:color="auto" w:fill="auto"/>
          <w:lang w:val="cs-CZ" w:eastAsia="cs-CZ" w:bidi="cs-CZ"/>
        </w:rPr>
        <w:t xml:space="preserve">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1 000 000 Kč; </w:t>
      </w:r>
      <w:r>
        <w:rPr>
          <w:color w:val="000000"/>
          <w:spacing w:val="0"/>
          <w:w w:val="100"/>
          <w:position w:val="0"/>
          <w:shd w:val="clear" w:color="auto" w:fill="auto"/>
          <w:lang w:val="cs-CZ" w:eastAsia="cs-CZ" w:bidi="cs-CZ"/>
        </w:rPr>
        <w:t>tím nejsou dotčena jiná ujednání, z nichž vyplývá povinnost pojistitele poskytnout pojistné plnění v nižší nebo stejné výši.</w:t>
      </w:r>
    </w:p>
    <w:p>
      <w:pPr>
        <w:pStyle w:val="Style9"/>
        <w:keepNext w:val="0"/>
        <w:keepLines w:val="0"/>
        <w:widowControl w:val="0"/>
        <w:numPr>
          <w:ilvl w:val="0"/>
          <w:numId w:val="19"/>
        </w:numPr>
        <w:shd w:val="clear" w:color="auto" w:fill="auto"/>
        <w:tabs>
          <w:tab w:pos="418" w:val="left"/>
        </w:tabs>
        <w:bidi w:val="0"/>
        <w:spacing w:before="0" w:after="80" w:line="286" w:lineRule="auto"/>
        <w:ind w:left="440" w:right="0" w:hanging="440"/>
        <w:jc w:val="both"/>
      </w:pPr>
      <w:bookmarkStart w:id="97" w:name="bookmark97"/>
      <w:bookmarkEnd w:id="97"/>
      <w:r>
        <w:rPr>
          <w:color w:val="000000"/>
          <w:spacing w:val="0"/>
          <w:w w:val="100"/>
          <w:position w:val="0"/>
          <w:shd w:val="clear" w:color="auto" w:fill="auto"/>
          <w:lang w:val="cs-CZ" w:eastAsia="cs-CZ" w:bidi="cs-CZ"/>
        </w:rPr>
        <w:t xml:space="preserve">Pojistné plnění z pojištění sjednaného doložkou </w:t>
      </w:r>
      <w:r>
        <w:rPr>
          <w:b/>
          <w:bCs/>
          <w:color w:val="000000"/>
          <w:spacing w:val="0"/>
          <w:w w:val="100"/>
          <w:position w:val="0"/>
          <w:shd w:val="clear" w:color="auto" w:fill="auto"/>
          <w:lang w:val="cs-CZ" w:eastAsia="cs-CZ" w:bidi="cs-CZ"/>
        </w:rPr>
        <w:t xml:space="preserve">DZ113 Atmosférické srážky, </w:t>
      </w:r>
      <w:r>
        <w:rPr>
          <w:color w:val="000000"/>
          <w:spacing w:val="0"/>
          <w:w w:val="100"/>
          <w:position w:val="0"/>
          <w:shd w:val="clear" w:color="auto" w:fill="auto"/>
          <w:lang w:val="cs-CZ" w:eastAsia="cs-CZ" w:bidi="cs-CZ"/>
        </w:rPr>
        <w:t xml:space="preserve">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100 000 Kč.</w:t>
      </w:r>
    </w:p>
    <w:p>
      <w:pPr>
        <w:pStyle w:val="Style9"/>
        <w:keepNext w:val="0"/>
        <w:keepLines w:val="0"/>
        <w:widowControl w:val="0"/>
        <w:numPr>
          <w:ilvl w:val="0"/>
          <w:numId w:val="19"/>
        </w:numPr>
        <w:shd w:val="clear" w:color="auto" w:fill="auto"/>
        <w:tabs>
          <w:tab w:pos="478" w:val="left"/>
        </w:tabs>
        <w:bidi w:val="0"/>
        <w:spacing w:before="0" w:after="80" w:line="288" w:lineRule="auto"/>
        <w:ind w:left="440" w:right="0" w:hanging="440"/>
        <w:jc w:val="both"/>
      </w:pPr>
      <w:bookmarkStart w:id="98" w:name="bookmark98"/>
      <w:bookmarkEnd w:id="98"/>
      <w:r>
        <w:rPr>
          <w:color w:val="000000"/>
          <w:spacing w:val="0"/>
          <w:w w:val="100"/>
          <w:position w:val="0"/>
          <w:shd w:val="clear" w:color="auto" w:fill="auto"/>
          <w:lang w:val="cs-CZ" w:eastAsia="cs-CZ" w:bidi="cs-CZ"/>
        </w:rPr>
        <w:t xml:space="preserve">Pojistné plnění z pojištění sjednaného doložkou </w:t>
      </w:r>
      <w:r>
        <w:rPr>
          <w:b/>
          <w:bCs/>
          <w:color w:val="000000"/>
          <w:spacing w:val="0"/>
          <w:w w:val="100"/>
          <w:position w:val="0"/>
          <w:shd w:val="clear" w:color="auto" w:fill="auto"/>
          <w:lang w:val="cs-CZ" w:eastAsia="cs-CZ" w:bidi="cs-CZ"/>
        </w:rPr>
        <w:t xml:space="preserve">DOB104 Demolice, suť a DOB108 Dočasné přemístění pojištěných věcí movitého charakteru </w:t>
      </w:r>
      <w:r>
        <w:rPr>
          <w:color w:val="000000"/>
          <w:spacing w:val="0"/>
          <w:w w:val="100"/>
          <w:position w:val="0"/>
          <w:shd w:val="clear" w:color="auto" w:fill="auto"/>
          <w:lang w:val="cs-CZ" w:eastAsia="cs-CZ" w:bidi="cs-CZ"/>
        </w:rPr>
        <w:t xml:space="preserve">a to bez ohledu na to, ke kolika druhům a předmětům pojištění se pojištění dle této doložky vztahuje, v souhrnu za všechny pojistné události nastalé v průběhu jednoho pojistného roku, je omezeno maximálním ročním limitem pojistného plnění ve výši </w:t>
      </w:r>
      <w:r>
        <w:rPr>
          <w:b/>
          <w:bCs/>
          <w:color w:val="000000"/>
          <w:spacing w:val="0"/>
          <w:w w:val="100"/>
          <w:position w:val="0"/>
          <w:shd w:val="clear" w:color="auto" w:fill="auto"/>
          <w:lang w:val="cs-CZ" w:eastAsia="cs-CZ" w:bidi="cs-CZ"/>
        </w:rPr>
        <w:t>60 000 000 Kč.</w:t>
      </w:r>
    </w:p>
    <w:p>
      <w:pPr>
        <w:pStyle w:val="Style9"/>
        <w:keepNext w:val="0"/>
        <w:keepLines w:val="0"/>
        <w:widowControl w:val="0"/>
        <w:numPr>
          <w:ilvl w:val="0"/>
          <w:numId w:val="19"/>
        </w:numPr>
        <w:shd w:val="clear" w:color="auto" w:fill="auto"/>
        <w:tabs>
          <w:tab w:pos="478" w:val="left"/>
        </w:tabs>
        <w:bidi w:val="0"/>
        <w:spacing w:before="0" w:after="440" w:line="288" w:lineRule="auto"/>
        <w:ind w:left="440" w:right="0" w:hanging="440"/>
        <w:jc w:val="both"/>
      </w:pPr>
      <w:bookmarkStart w:id="99" w:name="bookmark99"/>
      <w:bookmarkEnd w:id="99"/>
      <w:r>
        <w:rPr>
          <w:color w:val="000000"/>
          <w:spacing w:val="0"/>
          <w:w w:val="100"/>
          <w:position w:val="0"/>
          <w:shd w:val="clear" w:color="auto" w:fill="auto"/>
          <w:lang w:val="cs-CZ" w:eastAsia="cs-CZ" w:bidi="cs-CZ"/>
        </w:rPr>
        <w:t xml:space="preserve">Pojistné plnění z pojištění sjednaného doložkou </w:t>
      </w:r>
      <w:r>
        <w:rPr>
          <w:b/>
          <w:bCs/>
          <w:color w:val="000000"/>
          <w:spacing w:val="0"/>
          <w:w w:val="100"/>
          <w:position w:val="0"/>
          <w:shd w:val="clear" w:color="auto" w:fill="auto"/>
          <w:lang w:val="cs-CZ" w:eastAsia="cs-CZ" w:bidi="cs-CZ"/>
        </w:rPr>
        <w:t xml:space="preserve">DZ114 Nepřímý úder blesku, </w:t>
      </w:r>
      <w:r>
        <w:rPr>
          <w:color w:val="000000"/>
          <w:spacing w:val="0"/>
          <w:w w:val="100"/>
          <w:position w:val="0"/>
          <w:shd w:val="clear" w:color="auto" w:fill="auto"/>
          <w:lang w:val="cs-CZ" w:eastAsia="cs-CZ" w:bidi="cs-CZ"/>
        </w:rPr>
        <w:t xml:space="preserve">v souhrnu za všechny pojistné události nastalé v průběhu jednoho pojistného roku (resp. je-li pojištění sjednáno na dobu kratší než jeden pojistný rok, v průběhu trvání pojištění), je omezeno maximálním ročním limitem pojistného plnění ve výši </w:t>
      </w:r>
      <w:r>
        <w:rPr>
          <w:b/>
          <w:bCs/>
          <w:color w:val="000000"/>
          <w:spacing w:val="0"/>
          <w:w w:val="100"/>
          <w:position w:val="0"/>
          <w:shd w:val="clear" w:color="auto" w:fill="auto"/>
          <w:lang w:val="cs-CZ" w:eastAsia="cs-CZ" w:bidi="cs-CZ"/>
        </w:rPr>
        <w:t xml:space="preserve">1 000 000 Kč, </w:t>
      </w:r>
      <w:r>
        <w:rPr>
          <w:color w:val="000000"/>
          <w:spacing w:val="0"/>
          <w:w w:val="100"/>
          <w:position w:val="0"/>
          <w:shd w:val="clear" w:color="auto" w:fill="auto"/>
          <w:lang w:val="cs-CZ" w:eastAsia="cs-CZ" w:bidi="cs-CZ"/>
        </w:rPr>
        <w:t>a to bez ohledu na to, ke kolika druhům a předmětům pojištění se pojištění dle této doložky vztahuje.</w:t>
      </w:r>
    </w:p>
    <w:p>
      <w:pPr>
        <w:pStyle w:val="Style27"/>
        <w:keepNext/>
        <w:keepLines/>
        <w:widowControl w:val="0"/>
        <w:shd w:val="clear" w:color="auto" w:fill="auto"/>
        <w:bidi w:val="0"/>
        <w:spacing w:before="0" w:after="0" w:line="240" w:lineRule="auto"/>
        <w:ind w:left="0" w:right="0" w:firstLine="0"/>
        <w:jc w:val="center"/>
      </w:pPr>
      <w:bookmarkStart w:id="100" w:name="bookmark100"/>
      <w:bookmarkStart w:id="101" w:name="bookmark101"/>
      <w:bookmarkStart w:id="102" w:name="bookmark102"/>
      <w:r>
        <w:rPr>
          <w:color w:val="000000"/>
          <w:spacing w:val="0"/>
          <w:w w:val="100"/>
          <w:position w:val="0"/>
          <w:shd w:val="clear" w:color="auto" w:fill="auto"/>
          <w:lang w:val="cs-CZ" w:eastAsia="cs-CZ" w:bidi="cs-CZ"/>
        </w:rPr>
        <w:t>Článek III.</w:t>
      </w:r>
      <w:bookmarkEnd w:id="100"/>
      <w:bookmarkEnd w:id="101"/>
      <w:bookmarkEnd w:id="102"/>
    </w:p>
    <w:p>
      <w:pPr>
        <w:pStyle w:val="Style27"/>
        <w:keepNext/>
        <w:keepLines/>
        <w:widowControl w:val="0"/>
        <w:shd w:val="clear" w:color="auto" w:fill="auto"/>
        <w:bidi w:val="0"/>
        <w:spacing w:before="0" w:after="80" w:line="240" w:lineRule="auto"/>
        <w:ind w:left="0" w:right="0" w:firstLine="0"/>
        <w:jc w:val="center"/>
      </w:pPr>
      <w:bookmarkStart w:id="103" w:name="bookmark103"/>
      <w:bookmarkStart w:id="104" w:name="bookmark104"/>
      <w:bookmarkStart w:id="105" w:name="bookmark105"/>
      <w:r>
        <w:rPr>
          <w:color w:val="000000"/>
          <w:spacing w:val="0"/>
          <w:w w:val="100"/>
          <w:position w:val="0"/>
          <w:shd w:val="clear" w:color="auto" w:fill="auto"/>
          <w:lang w:val="cs-CZ" w:eastAsia="cs-CZ" w:bidi="cs-CZ"/>
        </w:rPr>
        <w:t>Výše a způsob placení pojistného</w:t>
      </w:r>
      <w:bookmarkEnd w:id="103"/>
      <w:bookmarkEnd w:id="104"/>
      <w:bookmarkEnd w:id="105"/>
    </w:p>
    <w:p>
      <w:pPr>
        <w:pStyle w:val="Style9"/>
        <w:keepNext w:val="0"/>
        <w:keepLines w:val="0"/>
        <w:widowControl w:val="0"/>
        <w:numPr>
          <w:ilvl w:val="0"/>
          <w:numId w:val="21"/>
        </w:numPr>
        <w:shd w:val="clear" w:color="auto" w:fill="auto"/>
        <w:tabs>
          <w:tab w:pos="451" w:val="left"/>
        </w:tabs>
        <w:bidi w:val="0"/>
        <w:spacing w:before="0" w:after="0" w:line="240" w:lineRule="auto"/>
        <w:ind w:left="0" w:right="0" w:firstLine="0"/>
        <w:jc w:val="both"/>
      </w:pPr>
      <w:bookmarkStart w:id="106" w:name="bookmark106"/>
      <w:bookmarkEnd w:id="106"/>
      <w:r>
        <w:rPr>
          <w:b/>
          <w:bCs/>
          <w:color w:val="000000"/>
          <w:spacing w:val="0"/>
          <w:w w:val="100"/>
          <w:position w:val="0"/>
          <w:shd w:val="clear" w:color="auto" w:fill="auto"/>
          <w:lang w:val="cs-CZ" w:eastAsia="cs-CZ" w:bidi="cs-CZ"/>
        </w:rPr>
        <w:t>Pojistné za jeden pojistný rok činí:</w:t>
      </w:r>
    </w:p>
    <w:p>
      <w:pPr>
        <w:pStyle w:val="Style9"/>
        <w:keepNext w:val="0"/>
        <w:keepLines w:val="0"/>
        <w:widowControl w:val="0"/>
        <w:numPr>
          <w:ilvl w:val="1"/>
          <w:numId w:val="21"/>
        </w:numPr>
        <w:shd w:val="clear" w:color="auto" w:fill="auto"/>
        <w:tabs>
          <w:tab w:pos="478" w:val="left"/>
        </w:tabs>
        <w:bidi w:val="0"/>
        <w:spacing w:before="0" w:after="0" w:line="240" w:lineRule="auto"/>
        <w:ind w:left="0" w:right="0" w:firstLine="0"/>
        <w:jc w:val="both"/>
      </w:pPr>
      <w:bookmarkStart w:id="107" w:name="bookmark107"/>
      <w:bookmarkEnd w:id="107"/>
      <w:r>
        <w:rPr>
          <w:b/>
          <w:bCs/>
          <w:color w:val="000000"/>
          <w:spacing w:val="0"/>
          <w:w w:val="100"/>
          <w:position w:val="0"/>
          <w:shd w:val="clear" w:color="auto" w:fill="auto"/>
          <w:lang w:val="cs-CZ" w:eastAsia="cs-CZ" w:bidi="cs-CZ"/>
        </w:rPr>
        <w:t>Živelní pojištění</w:t>
      </w:r>
    </w:p>
    <w:p>
      <w:pPr>
        <w:pStyle w:val="Style9"/>
        <w:keepNext w:val="0"/>
        <w:keepLines w:val="0"/>
        <w:widowControl w:val="0"/>
        <w:shd w:val="clear" w:color="auto" w:fill="auto"/>
        <w:tabs>
          <w:tab w:leader="dot" w:pos="9048" w:val="right"/>
          <w:tab w:pos="9266" w:val="left"/>
        </w:tabs>
        <w:bidi w:val="0"/>
        <w:spacing w:before="0" w:after="0" w:line="240" w:lineRule="auto"/>
        <w:ind w:left="0" w:right="0" w:firstLine="580"/>
        <w:jc w:val="both"/>
      </w:pPr>
      <w:r>
        <w:rPr>
          <w:color w:val="000000"/>
          <w:spacing w:val="0"/>
          <w:w w:val="100"/>
          <w:position w:val="0"/>
          <w:shd w:val="clear" w:color="auto" w:fill="auto"/>
          <w:lang w:val="cs-CZ" w:eastAsia="cs-CZ" w:bidi="cs-CZ"/>
        </w:rPr>
        <w:t>Pojistné se mění na nově</w:t>
        <w:tab/>
        <w:t>1.052.837,-</w:t>
        <w:tab/>
        <w:t>Kč</w:t>
      </w:r>
    </w:p>
    <w:p>
      <w:pPr>
        <w:pStyle w:val="Style9"/>
        <w:keepNext w:val="0"/>
        <w:keepLines w:val="0"/>
        <w:widowControl w:val="0"/>
        <w:shd w:val="clear" w:color="auto" w:fill="auto"/>
        <w:bidi w:val="0"/>
        <w:spacing w:before="0" w:after="80" w:line="240" w:lineRule="auto"/>
        <w:ind w:left="0" w:right="0" w:firstLine="580"/>
        <w:jc w:val="both"/>
      </w:pPr>
      <w:r>
        <w:rPr>
          <w:color w:val="000000"/>
          <w:spacing w:val="0"/>
          <w:w w:val="100"/>
          <w:position w:val="0"/>
          <w:shd w:val="clear" w:color="auto" w:fill="auto"/>
          <w:lang w:val="cs-CZ" w:eastAsia="cs-CZ" w:bidi="cs-CZ"/>
        </w:rPr>
        <w:t>(z toho za pojištění dle doložky DOB104, DOB108: 40.000,- Kč)</w:t>
      </w:r>
    </w:p>
    <w:p>
      <w:pPr>
        <w:pStyle w:val="Style9"/>
        <w:keepNext w:val="0"/>
        <w:keepLines w:val="0"/>
        <w:widowControl w:val="0"/>
        <w:numPr>
          <w:ilvl w:val="1"/>
          <w:numId w:val="21"/>
        </w:numPr>
        <w:shd w:val="clear" w:color="auto" w:fill="auto"/>
        <w:tabs>
          <w:tab w:pos="478" w:val="left"/>
        </w:tabs>
        <w:bidi w:val="0"/>
        <w:spacing w:before="0" w:after="0" w:line="240" w:lineRule="auto"/>
        <w:ind w:left="0" w:right="0" w:firstLine="0"/>
        <w:jc w:val="both"/>
      </w:pPr>
      <w:bookmarkStart w:id="108" w:name="bookmark108"/>
      <w:bookmarkEnd w:id="108"/>
      <w:r>
        <w:rPr>
          <w:b/>
          <w:bCs/>
          <w:color w:val="000000"/>
          <w:spacing w:val="0"/>
          <w:w w:val="100"/>
          <w:position w:val="0"/>
          <w:shd w:val="clear" w:color="auto" w:fill="auto"/>
          <w:lang w:val="cs-CZ" w:eastAsia="cs-CZ" w:bidi="cs-CZ"/>
        </w:rPr>
        <w:t>Pojištění pro případ odcizení</w:t>
      </w:r>
    </w:p>
    <w:p>
      <w:pPr>
        <w:pStyle w:val="Style9"/>
        <w:keepNext w:val="0"/>
        <w:keepLines w:val="0"/>
        <w:widowControl w:val="0"/>
        <w:shd w:val="clear" w:color="auto" w:fill="auto"/>
        <w:tabs>
          <w:tab w:leader="dot" w:pos="9048" w:val="right"/>
          <w:tab w:pos="9266" w:val="left"/>
        </w:tabs>
        <w:bidi w:val="0"/>
        <w:spacing w:before="0" w:after="0" w:line="240" w:lineRule="auto"/>
        <w:ind w:left="0" w:right="0" w:firstLine="580"/>
        <w:jc w:val="both"/>
      </w:pPr>
      <w:r>
        <w:rPr>
          <w:color w:val="000000"/>
          <w:spacing w:val="0"/>
          <w:w w:val="100"/>
          <w:position w:val="0"/>
          <w:shd w:val="clear" w:color="auto" w:fill="auto"/>
          <w:lang w:val="cs-CZ" w:eastAsia="cs-CZ" w:bidi="cs-CZ"/>
        </w:rPr>
        <w:t>Pojistné</w:t>
        <w:tab/>
        <w:t xml:space="preserve"> 1.250,-</w:t>
        <w:tab/>
        <w:t>Kč</w:t>
      </w:r>
    </w:p>
    <w:p>
      <w:pPr>
        <w:pStyle w:val="Style9"/>
        <w:keepNext w:val="0"/>
        <w:keepLines w:val="0"/>
        <w:widowControl w:val="0"/>
        <w:numPr>
          <w:ilvl w:val="1"/>
          <w:numId w:val="21"/>
        </w:numPr>
        <w:shd w:val="clear" w:color="auto" w:fill="auto"/>
        <w:tabs>
          <w:tab w:pos="478" w:val="left"/>
        </w:tabs>
        <w:bidi w:val="0"/>
        <w:spacing w:before="0" w:after="0" w:line="240" w:lineRule="auto"/>
        <w:ind w:left="0" w:right="0" w:firstLine="0"/>
        <w:jc w:val="both"/>
      </w:pPr>
      <w:bookmarkStart w:id="109" w:name="bookmark109"/>
      <w:bookmarkEnd w:id="109"/>
      <w:r>
        <w:rPr>
          <w:b/>
          <w:bCs/>
          <w:color w:val="000000"/>
          <w:spacing w:val="0"/>
          <w:w w:val="100"/>
          <w:position w:val="0"/>
          <w:shd w:val="clear" w:color="auto" w:fill="auto"/>
          <w:lang w:val="cs-CZ" w:eastAsia="cs-CZ" w:bidi="cs-CZ"/>
        </w:rPr>
        <w:t>Pojištění elektronických zařízení</w:t>
      </w:r>
    </w:p>
    <w:p>
      <w:pPr>
        <w:pStyle w:val="Style9"/>
        <w:keepNext w:val="0"/>
        <w:keepLines w:val="0"/>
        <w:widowControl w:val="0"/>
        <w:shd w:val="clear" w:color="auto" w:fill="auto"/>
        <w:tabs>
          <w:tab w:leader="dot" w:pos="8207" w:val="left"/>
        </w:tabs>
        <w:bidi w:val="0"/>
        <w:spacing w:before="0" w:after="0" w:line="240" w:lineRule="auto"/>
        <w:ind w:left="0" w:right="0" w:firstLine="580"/>
        <w:jc w:val="both"/>
      </w:pPr>
      <w:r>
        <w:rPr>
          <w:color w:val="000000"/>
          <w:spacing w:val="0"/>
          <w:w w:val="100"/>
          <w:position w:val="0"/>
          <w:shd w:val="clear" w:color="auto" w:fill="auto"/>
          <w:lang w:val="cs-CZ" w:eastAsia="cs-CZ" w:bidi="cs-CZ"/>
        </w:rPr>
        <w:t>Pojistné</w:t>
        <w:tab/>
        <w:t xml:space="preserve"> 112.588,-Kč</w:t>
      </w:r>
    </w:p>
    <w:p>
      <w:pPr>
        <w:pStyle w:val="Style9"/>
        <w:keepNext w:val="0"/>
        <w:keepLines w:val="0"/>
        <w:widowControl w:val="0"/>
        <w:numPr>
          <w:ilvl w:val="1"/>
          <w:numId w:val="21"/>
        </w:numPr>
        <w:shd w:val="clear" w:color="auto" w:fill="auto"/>
        <w:tabs>
          <w:tab w:pos="478" w:val="left"/>
        </w:tabs>
        <w:bidi w:val="0"/>
        <w:spacing w:before="0" w:after="0" w:line="240" w:lineRule="auto"/>
        <w:ind w:left="0" w:right="0" w:firstLine="0"/>
        <w:jc w:val="both"/>
      </w:pPr>
      <w:bookmarkStart w:id="110" w:name="bookmark110"/>
      <w:bookmarkEnd w:id="110"/>
      <w:r>
        <w:rPr>
          <w:b/>
          <w:bCs/>
          <w:color w:val="000000"/>
          <w:spacing w:val="0"/>
          <w:w w:val="100"/>
          <w:position w:val="0"/>
          <w:shd w:val="clear" w:color="auto" w:fill="auto"/>
          <w:lang w:val="cs-CZ" w:eastAsia="cs-CZ" w:bidi="cs-CZ"/>
        </w:rPr>
        <w:t>Pojištění odpovědnosti za újmu</w:t>
      </w:r>
    </w:p>
    <w:p>
      <w:pPr>
        <w:pStyle w:val="Style9"/>
        <w:keepNext w:val="0"/>
        <w:keepLines w:val="0"/>
        <w:widowControl w:val="0"/>
        <w:shd w:val="clear" w:color="auto" w:fill="auto"/>
        <w:tabs>
          <w:tab w:leader="dot" w:pos="8207" w:val="left"/>
        </w:tabs>
        <w:bidi w:val="0"/>
        <w:spacing w:before="0" w:after="80" w:line="240" w:lineRule="auto"/>
        <w:ind w:left="0" w:right="0" w:firstLine="580"/>
        <w:jc w:val="both"/>
      </w:pPr>
      <w:r>
        <w:rPr>
          <w:color w:val="000000"/>
          <w:spacing w:val="0"/>
          <w:w w:val="100"/>
          <w:position w:val="0"/>
          <w:shd w:val="clear" w:color="auto" w:fill="auto"/>
          <w:lang w:val="cs-CZ" w:eastAsia="cs-CZ" w:bidi="cs-CZ"/>
        </w:rPr>
        <w:t>Pojistné</w:t>
        <w:tab/>
        <w:t xml:space="preserve"> 201.401,-Kč</w:t>
      </w:r>
    </w:p>
    <w:p>
      <w:pPr>
        <w:pStyle w:val="Style9"/>
        <w:keepNext w:val="0"/>
        <w:keepLines w:val="0"/>
        <w:widowControl w:val="0"/>
        <w:shd w:val="clear" w:color="auto" w:fill="auto"/>
        <w:tabs>
          <w:tab w:leader="dot" w:pos="9048" w:val="right"/>
          <w:tab w:pos="9248" w:val="left"/>
        </w:tabs>
        <w:bidi w:val="0"/>
        <w:spacing w:before="0" w:after="80" w:line="240" w:lineRule="auto"/>
        <w:ind w:left="0" w:right="0" w:firstLine="0"/>
        <w:jc w:val="both"/>
      </w:pPr>
      <w:r>
        <w:rPr>
          <w:b/>
          <w:bCs/>
          <w:color w:val="000000"/>
          <w:spacing w:val="0"/>
          <w:w w:val="100"/>
          <w:position w:val="0"/>
          <w:shd w:val="clear" w:color="auto" w:fill="auto"/>
          <w:lang w:val="cs-CZ" w:eastAsia="cs-CZ" w:bidi="cs-CZ"/>
        </w:rPr>
        <w:t>Souhrn pojistného za sjednaná pojištění za jeden pojistný rok činí</w:t>
        <w:tab/>
        <w:t xml:space="preserve"> 1.368.076,-</w:t>
        <w:tab/>
        <w:t>Kč</w:t>
      </w:r>
    </w:p>
    <w:p>
      <w:pPr>
        <w:pStyle w:val="Style9"/>
        <w:keepNext w:val="0"/>
        <w:keepLines w:val="0"/>
        <w:widowControl w:val="0"/>
        <w:shd w:val="clear" w:color="auto" w:fill="auto"/>
        <w:tabs>
          <w:tab w:leader="dot" w:pos="9048" w:val="right"/>
          <w:tab w:pos="9248" w:val="left"/>
        </w:tabs>
        <w:bidi w:val="0"/>
        <w:spacing w:before="0" w:after="80" w:line="240" w:lineRule="auto"/>
        <w:ind w:left="0" w:right="0" w:firstLine="0"/>
        <w:jc w:val="both"/>
      </w:pPr>
      <w:r>
        <w:rPr>
          <w:color w:val="000000"/>
          <w:spacing w:val="0"/>
          <w:w w:val="100"/>
          <w:position w:val="0"/>
          <w:shd w:val="clear" w:color="auto" w:fill="auto"/>
          <w:lang w:val="cs-CZ" w:eastAsia="cs-CZ" w:bidi="cs-CZ"/>
        </w:rPr>
        <w:t>Obchodní sleva činí</w:t>
        <w:tab/>
        <w:t>30</w:t>
        <w:tab/>
        <w:t>%</w:t>
      </w:r>
    </w:p>
    <w:p>
      <w:pPr>
        <w:pStyle w:val="Style9"/>
        <w:keepNext w:val="0"/>
        <w:keepLines w:val="0"/>
        <w:widowControl w:val="0"/>
        <w:shd w:val="clear" w:color="auto" w:fill="auto"/>
        <w:tabs>
          <w:tab w:leader="dot" w:pos="9048" w:val="right"/>
          <w:tab w:pos="9248" w:val="left"/>
        </w:tabs>
        <w:bidi w:val="0"/>
        <w:spacing w:before="0" w:after="280" w:line="240" w:lineRule="auto"/>
        <w:ind w:left="0" w:right="0" w:firstLine="0"/>
        <w:jc w:val="both"/>
      </w:pPr>
      <w:r>
        <w:rPr>
          <w:b/>
          <w:bCs/>
          <w:color w:val="000000"/>
          <w:spacing w:val="0"/>
          <w:w w:val="100"/>
          <w:position w:val="0"/>
          <w:shd w:val="clear" w:color="auto" w:fill="auto"/>
          <w:lang w:val="cs-CZ" w:eastAsia="cs-CZ" w:bidi="cs-CZ"/>
        </w:rPr>
        <w:t>Celkové pojistné za sjednaná pojištění po slevách za jeden pojistný rok činí</w:t>
        <w:tab/>
        <w:t>957.653,-</w:t>
        <w:tab/>
        <w:t>Kč.</w:t>
      </w:r>
    </w:p>
    <w:p>
      <w:pPr>
        <w:pStyle w:val="Style9"/>
        <w:keepNext w:val="0"/>
        <w:keepLines w:val="0"/>
        <w:widowControl w:val="0"/>
        <w:shd w:val="clear" w:color="auto" w:fill="auto"/>
        <w:tabs>
          <w:tab w:leader="dot" w:pos="8741" w:val="right"/>
          <w:tab w:pos="8946" w:val="left"/>
        </w:tabs>
        <w:bidi w:val="0"/>
        <w:spacing w:before="0" w:after="140" w:line="331" w:lineRule="auto"/>
        <w:ind w:left="0" w:right="0" w:firstLine="360"/>
        <w:jc w:val="both"/>
      </w:pPr>
      <w:r>
        <w:rPr>
          <w:color w:val="000000"/>
          <w:spacing w:val="0"/>
          <w:w w:val="100"/>
          <w:position w:val="0"/>
          <w:shd w:val="clear" w:color="auto" w:fill="auto"/>
          <w:lang w:val="cs-CZ" w:eastAsia="cs-CZ" w:bidi="cs-CZ"/>
        </w:rPr>
        <w:t>Pojistné za změny v rozsahu pojištění sjednané tímto dodatkem č. 14 pro dobu jednoho pojistného roku po slevě ve výši 30% činí</w:t>
        <w:tab/>
      </w:r>
      <w:r>
        <w:rPr>
          <w:b/>
          <w:bCs/>
          <w:color w:val="000000"/>
          <w:spacing w:val="0"/>
          <w:w w:val="100"/>
          <w:position w:val="0"/>
          <w:shd w:val="clear" w:color="auto" w:fill="auto"/>
          <w:lang w:val="cs-CZ" w:eastAsia="cs-CZ" w:bidi="cs-CZ"/>
        </w:rPr>
        <w:t>-1618,-</w:t>
        <w:tab/>
        <w:t>Kč</w:t>
      </w:r>
    </w:p>
    <w:p>
      <w:pPr>
        <w:pStyle w:val="Style9"/>
        <w:keepNext w:val="0"/>
        <w:keepLines w:val="0"/>
        <w:widowControl w:val="0"/>
        <w:shd w:val="clear" w:color="auto" w:fill="auto"/>
        <w:tabs>
          <w:tab w:leader="dot" w:pos="8457" w:val="right"/>
          <w:tab w:pos="8721" w:val="left"/>
        </w:tabs>
        <w:bidi w:val="0"/>
        <w:spacing w:before="0" w:after="140" w:line="314" w:lineRule="auto"/>
        <w:ind w:left="940" w:right="0" w:firstLine="0"/>
        <w:jc w:val="both"/>
      </w:pPr>
      <w:r>
        <w:rPr>
          <w:color w:val="000000"/>
          <w:spacing w:val="0"/>
          <w:w w:val="100"/>
          <w:position w:val="0"/>
          <w:shd w:val="clear" w:color="auto" w:fill="auto"/>
          <w:lang w:val="cs-CZ" w:eastAsia="cs-CZ" w:bidi="cs-CZ"/>
        </w:rPr>
        <w:t xml:space="preserve">Nespotřebované pojistné pro dobu od </w:t>
      </w:r>
      <w:r>
        <w:rPr>
          <w:b/>
          <w:bCs/>
          <w:color w:val="000000"/>
          <w:spacing w:val="0"/>
          <w:w w:val="100"/>
          <w:position w:val="0"/>
          <w:shd w:val="clear" w:color="auto" w:fill="auto"/>
          <w:lang w:val="cs-CZ" w:eastAsia="cs-CZ" w:bidi="cs-CZ"/>
        </w:rPr>
        <w:t xml:space="preserve">1.10.2025 </w:t>
      </w:r>
      <w:r>
        <w:rPr>
          <w:color w:val="000000"/>
          <w:spacing w:val="0"/>
          <w:w w:val="100"/>
          <w:position w:val="0"/>
          <w:shd w:val="clear" w:color="auto" w:fill="auto"/>
          <w:lang w:val="cs-CZ" w:eastAsia="cs-CZ" w:bidi="cs-CZ"/>
        </w:rPr>
        <w:t xml:space="preserve">do </w:t>
      </w:r>
      <w:r>
        <w:rPr>
          <w:b/>
          <w:bCs/>
          <w:color w:val="000000"/>
          <w:spacing w:val="0"/>
          <w:w w:val="100"/>
          <w:position w:val="0"/>
          <w:shd w:val="clear" w:color="auto" w:fill="auto"/>
          <w:lang w:val="cs-CZ" w:eastAsia="cs-CZ" w:bidi="cs-CZ"/>
        </w:rPr>
        <w:t xml:space="preserve">31.01.2026 </w:t>
      </w:r>
      <w:r>
        <w:rPr>
          <w:color w:val="000000"/>
          <w:spacing w:val="0"/>
          <w:w w:val="100"/>
          <w:position w:val="0"/>
          <w:shd w:val="clear" w:color="auto" w:fill="auto"/>
          <w:lang w:val="cs-CZ" w:eastAsia="cs-CZ" w:bidi="cs-CZ"/>
        </w:rPr>
        <w:t>činí</w:t>
        <w:tab/>
      </w:r>
      <w:r>
        <w:rPr>
          <w:b/>
          <w:bCs/>
          <w:color w:val="000000"/>
          <w:spacing w:val="0"/>
          <w:w w:val="100"/>
          <w:position w:val="0"/>
          <w:shd w:val="clear" w:color="auto" w:fill="auto"/>
          <w:lang w:val="cs-CZ" w:eastAsia="cs-CZ" w:bidi="cs-CZ"/>
        </w:rPr>
        <w:t>-</w:t>
        <w:tab/>
        <w:t>545,- Kč.</w:t>
      </w:r>
    </w:p>
    <w:p>
      <w:pPr>
        <w:pStyle w:val="Style9"/>
        <w:keepNext w:val="0"/>
        <w:keepLines w:val="0"/>
        <w:widowControl w:val="0"/>
        <w:shd w:val="clear" w:color="auto" w:fill="auto"/>
        <w:bidi w:val="0"/>
        <w:spacing w:before="0" w:after="200" w:line="300" w:lineRule="auto"/>
        <w:ind w:left="940" w:right="0" w:firstLine="0"/>
        <w:jc w:val="both"/>
      </w:pPr>
      <w:r>
        <w:rPr>
          <w:b/>
          <w:bCs/>
          <w:color w:val="000000"/>
          <w:spacing w:val="0"/>
          <w:w w:val="100"/>
          <w:position w:val="0"/>
          <w:shd w:val="clear" w:color="auto" w:fill="auto"/>
          <w:lang w:val="cs-CZ" w:eastAsia="cs-CZ" w:bidi="cs-CZ"/>
        </w:rPr>
        <w:t>Nespotřebované pojistné ve výši 545,- Kč bude zaúčtováno pojistníkovi k předpisu se splatností 1.11.2025. Původní předpis se splatností k 1.11.2025 ve výši 239 818 Kč bude ponížen na výši 239 273 Kč.</w:t>
      </w:r>
    </w:p>
    <w:p>
      <w:pPr>
        <w:pStyle w:val="Style9"/>
        <w:keepNext w:val="0"/>
        <w:keepLines w:val="0"/>
        <w:widowControl w:val="0"/>
        <w:numPr>
          <w:ilvl w:val="0"/>
          <w:numId w:val="21"/>
        </w:numPr>
        <w:shd w:val="clear" w:color="auto" w:fill="auto"/>
        <w:tabs>
          <w:tab w:pos="451" w:val="left"/>
        </w:tabs>
        <w:bidi w:val="0"/>
        <w:spacing w:before="0" w:after="0" w:line="240" w:lineRule="auto"/>
        <w:ind w:left="0" w:right="0" w:firstLine="0"/>
        <w:jc w:val="both"/>
      </w:pPr>
      <w:bookmarkStart w:id="111" w:name="bookmark111"/>
      <w:bookmarkEnd w:id="111"/>
      <w:r>
        <w:rPr>
          <w:color w:val="000000"/>
          <w:spacing w:val="0"/>
          <w:w w:val="100"/>
          <w:position w:val="0"/>
          <w:shd w:val="clear" w:color="auto" w:fill="auto"/>
          <w:lang w:val="cs-CZ" w:eastAsia="cs-CZ" w:bidi="cs-CZ"/>
        </w:rPr>
        <w:t>Pojistné je sjednáno jako běžné. Pojistné období je tříměsíční.</w:t>
      </w:r>
    </w:p>
    <w:p>
      <w:pPr>
        <w:pStyle w:val="Style9"/>
        <w:keepNext w:val="0"/>
        <w:keepLines w:val="0"/>
        <w:widowControl w:val="0"/>
        <w:shd w:val="clear" w:color="auto" w:fill="auto"/>
        <w:tabs>
          <w:tab w:pos="2754" w:val="left"/>
        </w:tabs>
        <w:bidi w:val="0"/>
        <w:spacing w:before="0" w:after="0" w:line="437" w:lineRule="auto"/>
        <w:ind w:left="440" w:right="0" w:firstLine="0"/>
        <w:jc w:val="both"/>
      </w:pPr>
      <w:r>
        <w:rPr>
          <w:color w:val="000000"/>
          <w:spacing w:val="0"/>
          <w:w w:val="100"/>
          <w:position w:val="0"/>
          <w:shd w:val="clear" w:color="auto" w:fill="auto"/>
          <w:lang w:val="cs-CZ" w:eastAsia="cs-CZ" w:bidi="cs-CZ"/>
        </w:rPr>
        <w:t>Pojistné je dále splatné k datům a v částkách takto: částka</w:t>
        <w:tab/>
        <w:t>datum splatnosti</w:t>
      </w:r>
    </w:p>
    <w:p>
      <w:pPr>
        <w:pStyle w:val="Style9"/>
        <w:keepNext w:val="0"/>
        <w:keepLines w:val="0"/>
        <w:widowControl w:val="0"/>
        <w:shd w:val="clear" w:color="auto" w:fill="auto"/>
        <w:tabs>
          <w:tab w:pos="2754" w:val="left"/>
        </w:tabs>
        <w:bidi w:val="0"/>
        <w:spacing w:before="0" w:after="280" w:line="437" w:lineRule="auto"/>
        <w:ind w:left="440" w:right="0" w:firstLine="0"/>
        <w:jc w:val="both"/>
      </w:pPr>
      <w:r>
        <w:rPr>
          <w:b/>
          <w:bCs/>
          <w:color w:val="000000"/>
          <w:spacing w:val="0"/>
          <w:w w:val="100"/>
          <w:position w:val="0"/>
          <w:shd w:val="clear" w:color="auto" w:fill="auto"/>
          <w:lang w:val="cs-CZ" w:eastAsia="cs-CZ" w:bidi="cs-CZ"/>
        </w:rPr>
        <w:t>239.413,-Kč</w:t>
        <w:tab/>
        <w:t>01.02., 01.05., 01.08., 01.11. každého roku, počínaje datem 01.02.2026</w:t>
      </w:r>
    </w:p>
    <w:p>
      <w:pPr>
        <w:pStyle w:val="Style9"/>
        <w:keepNext w:val="0"/>
        <w:keepLines w:val="0"/>
        <w:widowControl w:val="0"/>
        <w:numPr>
          <w:ilvl w:val="0"/>
          <w:numId w:val="21"/>
        </w:numPr>
        <w:shd w:val="clear" w:color="auto" w:fill="auto"/>
        <w:tabs>
          <w:tab w:pos="451" w:val="left"/>
        </w:tabs>
        <w:bidi w:val="0"/>
        <w:spacing w:before="0" w:after="80" w:line="319" w:lineRule="auto"/>
        <w:ind w:left="440" w:right="0" w:hanging="440"/>
        <w:jc w:val="both"/>
      </w:pPr>
      <w:bookmarkStart w:id="112" w:name="bookmark112"/>
      <w:bookmarkEnd w:id="112"/>
      <w:r>
        <w:rPr>
          <w:color w:val="000000"/>
          <w:spacing w:val="0"/>
          <w:w w:val="100"/>
          <w:position w:val="0"/>
          <w:shd w:val="clear" w:color="auto" w:fill="auto"/>
          <w:lang w:val="cs-CZ" w:eastAsia="cs-CZ" w:bidi="cs-CZ"/>
        </w:rPr>
        <w:t xml:space="preserve">Pojistník je povinen uhradit pojistné v uvedené výši na účet pojišťovacího makléře RESPECT, a.s. č. ú. vedený u Raiffeisenbank a.s., variabilní symbol: </w:t>
      </w:r>
      <w:r>
        <w:rPr>
          <w:b/>
          <w:bCs/>
          <w:color w:val="000000"/>
          <w:spacing w:val="0"/>
          <w:w w:val="100"/>
          <w:position w:val="0"/>
          <w:shd w:val="clear" w:color="auto" w:fill="auto"/>
          <w:lang w:val="cs-CZ" w:eastAsia="cs-CZ" w:bidi="cs-CZ"/>
        </w:rPr>
        <w:t>7721021389.</w:t>
      </w:r>
    </w:p>
    <w:p>
      <w:pPr>
        <w:pStyle w:val="Style9"/>
        <w:keepNext w:val="0"/>
        <w:keepLines w:val="0"/>
        <w:widowControl w:val="0"/>
        <w:numPr>
          <w:ilvl w:val="0"/>
          <w:numId w:val="21"/>
        </w:numPr>
        <w:shd w:val="clear" w:color="auto" w:fill="auto"/>
        <w:tabs>
          <w:tab w:pos="451" w:val="left"/>
        </w:tabs>
        <w:bidi w:val="0"/>
        <w:spacing w:before="0" w:after="200" w:line="286" w:lineRule="auto"/>
        <w:ind w:left="0" w:right="0" w:firstLine="0"/>
        <w:jc w:val="both"/>
      </w:pPr>
      <w:bookmarkStart w:id="113" w:name="bookmark113"/>
      <w:bookmarkEnd w:id="113"/>
      <w:r>
        <w:rPr>
          <w:color w:val="000000"/>
          <w:spacing w:val="0"/>
          <w:w w:val="100"/>
          <w:position w:val="0"/>
          <w:shd w:val="clear" w:color="auto" w:fill="auto"/>
          <w:lang w:val="cs-CZ" w:eastAsia="cs-CZ" w:bidi="cs-CZ"/>
        </w:rPr>
        <w:t>Pojistné se považuje za zaplacené okamžikem připsání pojistného v plné výši na výše uvedený účet.</w:t>
      </w:r>
    </w:p>
    <w:p>
      <w:pPr>
        <w:pStyle w:val="Style9"/>
        <w:keepNext w:val="0"/>
        <w:keepLines w:val="0"/>
        <w:widowControl w:val="0"/>
        <w:numPr>
          <w:ilvl w:val="0"/>
          <w:numId w:val="21"/>
        </w:numPr>
        <w:shd w:val="clear" w:color="auto" w:fill="auto"/>
        <w:tabs>
          <w:tab w:pos="451" w:val="left"/>
        </w:tabs>
        <w:bidi w:val="0"/>
        <w:spacing w:before="0" w:after="100" w:line="286" w:lineRule="auto"/>
        <w:ind w:left="440" w:right="0" w:hanging="440"/>
        <w:jc w:val="both"/>
      </w:pPr>
      <w:bookmarkStart w:id="114" w:name="bookmark114"/>
      <w:bookmarkEnd w:id="114"/>
      <w:r>
        <w:rPr>
          <w:color w:val="000000"/>
          <w:spacing w:val="0"/>
          <w:w w:val="100"/>
          <w:position w:val="0"/>
          <w:shd w:val="clear" w:color="auto" w:fill="auto"/>
          <w:lang w:val="cs-CZ" w:eastAsia="cs-CZ" w:bidi="cs-CZ"/>
        </w:rPr>
        <w:t xml:space="preserve">Výše uvedené pojistné je stanoveno bez pojistné či jiné obdobné daně (dále jen </w:t>
      </w:r>
      <w:r>
        <w:rPr>
          <w:b/>
          <w:bCs/>
          <w:color w:val="000000"/>
          <w:spacing w:val="0"/>
          <w:w w:val="100"/>
          <w:position w:val="0"/>
          <w:shd w:val="clear" w:color="auto" w:fill="auto"/>
          <w:lang w:val="cs-CZ" w:eastAsia="cs-CZ" w:bidi="cs-CZ"/>
        </w:rPr>
        <w:t xml:space="preserve">„daň") </w:t>
      </w:r>
      <w:r>
        <w:rPr>
          <w:color w:val="000000"/>
          <w:spacing w:val="0"/>
          <w:w w:val="100"/>
          <w:position w:val="0"/>
          <w:shd w:val="clear" w:color="auto" w:fill="auto"/>
          <w:lang w:val="cs-CZ" w:eastAsia="cs-CZ" w:bidi="cs-CZ"/>
        </w:rPr>
        <w:t>za rizika umístěná v členském státě Evropské unie či Evropského hospodářského prostoru. Smluvní strany se dohodly, že v případě zavedení daně z pojištění sjednaného touto pojistnou smlouvou, kterou bude po nabytí účinnosti příslušných právních předpisů na území tohoto jiného členského státu pojistitel povinen odvést, se pojistník zavazuje uhradit nad rámec pojistného předepsaného v této pojistné smlouvě i náklady odpovídající této povinnosti. Ustanovení tohoto bodu neplatí pro daně, které jsou případně v bodě 1. tohoto článku výslovně uvedeny.</w:t>
      </w:r>
    </w:p>
    <w:p>
      <w:pPr>
        <w:pStyle w:val="Style27"/>
        <w:keepNext/>
        <w:keepLines/>
        <w:widowControl w:val="0"/>
        <w:shd w:val="clear" w:color="auto" w:fill="auto"/>
        <w:bidi w:val="0"/>
        <w:spacing w:before="0" w:after="0" w:line="240" w:lineRule="auto"/>
        <w:ind w:left="0" w:right="0" w:firstLine="0"/>
        <w:jc w:val="center"/>
      </w:pPr>
      <w:bookmarkStart w:id="115" w:name="bookmark115"/>
      <w:bookmarkStart w:id="116" w:name="bookmark116"/>
      <w:bookmarkStart w:id="117" w:name="bookmark117"/>
      <w:r>
        <w:rPr>
          <w:color w:val="000000"/>
          <w:spacing w:val="0"/>
          <w:w w:val="100"/>
          <w:position w:val="0"/>
          <w:shd w:val="clear" w:color="auto" w:fill="auto"/>
          <w:lang w:val="cs-CZ" w:eastAsia="cs-CZ" w:bidi="cs-CZ"/>
        </w:rPr>
        <w:t>Článek IV.</w:t>
      </w:r>
      <w:bookmarkEnd w:id="115"/>
      <w:bookmarkEnd w:id="116"/>
      <w:bookmarkEnd w:id="117"/>
    </w:p>
    <w:p>
      <w:pPr>
        <w:pStyle w:val="Style27"/>
        <w:keepNext/>
        <w:keepLines/>
        <w:widowControl w:val="0"/>
        <w:shd w:val="clear" w:color="auto" w:fill="auto"/>
        <w:bidi w:val="0"/>
        <w:spacing w:before="0" w:after="80" w:line="240" w:lineRule="auto"/>
        <w:ind w:left="0" w:right="0" w:firstLine="0"/>
        <w:jc w:val="center"/>
      </w:pPr>
      <w:bookmarkStart w:id="118" w:name="bookmark118"/>
      <w:bookmarkStart w:id="119" w:name="bookmark119"/>
      <w:bookmarkStart w:id="120" w:name="bookmark120"/>
      <w:r>
        <w:rPr>
          <w:color w:val="000000"/>
          <w:spacing w:val="0"/>
          <w:w w:val="100"/>
          <w:position w:val="0"/>
          <w:shd w:val="clear" w:color="auto" w:fill="auto"/>
          <w:lang w:val="cs-CZ" w:eastAsia="cs-CZ" w:bidi="cs-CZ"/>
        </w:rPr>
        <w:t>Hlášení škodných událostí</w:t>
      </w:r>
      <w:bookmarkEnd w:id="118"/>
      <w:bookmarkEnd w:id="119"/>
      <w:bookmarkEnd w:id="120"/>
    </w:p>
    <w:p>
      <w:pPr>
        <w:pStyle w:val="Style9"/>
        <w:keepNext w:val="0"/>
        <w:keepLines w:val="0"/>
        <w:widowControl w:val="0"/>
        <w:shd w:val="clear" w:color="auto" w:fill="auto"/>
        <w:bidi w:val="0"/>
        <w:spacing w:before="0" w:after="200"/>
        <w:ind w:left="420" w:right="0" w:firstLine="20"/>
        <w:jc w:val="both"/>
      </w:pPr>
      <w:r>
        <w:rPr>
          <w:color w:val="000000"/>
          <w:spacing w:val="0"/>
          <w:w w:val="100"/>
          <w:position w:val="0"/>
          <w:shd w:val="clear" w:color="auto" w:fill="auto"/>
          <w:lang w:val="cs-CZ" w:eastAsia="cs-CZ" w:bidi="cs-CZ"/>
        </w:rPr>
        <w:t xml:space="preserve">Vznik škodné události je pojistník (pojištěný) povinen oznámit přímo nebo prostřednictvím zplnomocněného samostatného zprostředkovatele v postavení pojišťovacího makléře bez zbytečného </w:t>
      </w:r>
      <w:r>
        <w:rPr>
          <w:b/>
          <w:bCs/>
          <w:color w:val="000000"/>
          <w:spacing w:val="0"/>
          <w:w w:val="100"/>
          <w:position w:val="0"/>
          <w:shd w:val="clear" w:color="auto" w:fill="auto"/>
          <w:lang w:val="cs-CZ" w:eastAsia="cs-CZ" w:bidi="cs-CZ"/>
        </w:rPr>
        <w:t>odkladu na jeden z níže uvedených kontaktních údajů:</w:t>
      </w:r>
    </w:p>
    <w:p>
      <w:pPr>
        <w:pStyle w:val="Style9"/>
        <w:keepNext w:val="0"/>
        <w:keepLines w:val="0"/>
        <w:widowControl w:val="0"/>
        <w:shd w:val="clear" w:color="auto" w:fill="auto"/>
        <w:bidi w:val="0"/>
        <w:spacing w:before="0" w:after="0" w:line="286" w:lineRule="auto"/>
        <w:ind w:left="420" w:right="0" w:firstLine="20"/>
        <w:jc w:val="left"/>
      </w:pPr>
      <w:r>
        <w:rPr>
          <w:color w:val="000000"/>
          <w:spacing w:val="0"/>
          <w:w w:val="100"/>
          <w:position w:val="0"/>
          <w:shd w:val="clear" w:color="auto" w:fill="auto"/>
          <w:lang w:val="cs-CZ" w:eastAsia="cs-CZ" w:bidi="cs-CZ"/>
        </w:rPr>
        <w:t>Kooperativa pojišťovna, a.s., Vienna Insurance Group CENTRUM ZÁKAZNICKÉ PODPORY</w:t>
      </w:r>
    </w:p>
    <w:p>
      <w:pPr>
        <w:pStyle w:val="Style9"/>
        <w:keepNext w:val="0"/>
        <w:keepLines w:val="0"/>
        <w:widowControl w:val="0"/>
        <w:shd w:val="clear" w:color="auto" w:fill="auto"/>
        <w:bidi w:val="0"/>
        <w:spacing w:before="0" w:after="0" w:line="286" w:lineRule="auto"/>
        <w:ind w:left="420" w:right="0" w:firstLine="20"/>
        <w:jc w:val="left"/>
      </w:pPr>
      <w:r>
        <w:rPr>
          <w:color w:val="000000"/>
          <w:spacing w:val="0"/>
          <w:w w:val="100"/>
          <w:position w:val="0"/>
          <w:shd w:val="clear" w:color="auto" w:fill="auto"/>
          <w:lang w:val="cs-CZ" w:eastAsia="cs-CZ" w:bidi="cs-CZ"/>
        </w:rPr>
        <w:t>Centrální podatelna Brněnská 634, 664 42 Modříce tel.:</w:t>
      </w:r>
    </w:p>
    <w:p>
      <w:pPr>
        <w:pStyle w:val="Style9"/>
        <w:keepNext w:val="0"/>
        <w:keepLines w:val="0"/>
        <w:widowControl w:val="0"/>
        <w:shd w:val="clear" w:color="auto" w:fill="auto"/>
        <w:bidi w:val="0"/>
        <w:spacing w:before="0" w:after="80" w:line="286" w:lineRule="auto"/>
        <w:ind w:left="420" w:right="0" w:firstLine="20"/>
        <w:jc w:val="left"/>
      </w:pPr>
      <w:r>
        <w:rPr>
          <w:color w:val="000000"/>
          <w:spacing w:val="0"/>
          <w:w w:val="100"/>
          <w:position w:val="0"/>
          <w:shd w:val="clear" w:color="auto" w:fill="auto"/>
          <w:lang w:val="cs-CZ" w:eastAsia="cs-CZ" w:bidi="cs-CZ"/>
        </w:rPr>
        <w:t xml:space="preserve">datová schránka: n6tetn3 </w:t>
      </w:r>
      <w:r>
        <w:fldChar w:fldCharType="begin"/>
      </w:r>
      <w:r>
        <w:rPr/>
        <w:instrText> HYPERLINK "http://www.koop.cz/" </w:instrText>
      </w:r>
      <w:r>
        <w:fldChar w:fldCharType="separate"/>
      </w:r>
      <w:r>
        <w:rPr>
          <w:color w:val="000000"/>
          <w:spacing w:val="0"/>
          <w:w w:val="100"/>
          <w:position w:val="0"/>
          <w:shd w:val="clear" w:color="auto" w:fill="auto"/>
          <w:lang w:val="cs-CZ" w:eastAsia="cs-CZ" w:bidi="cs-CZ"/>
        </w:rPr>
        <w:t>www.koop.cz</w:t>
      </w:r>
      <w:r>
        <w:fldChar w:fldCharType="end"/>
      </w:r>
    </w:p>
    <w:p>
      <w:pPr>
        <w:pStyle w:val="Style9"/>
        <w:keepNext w:val="0"/>
        <w:keepLines w:val="0"/>
        <w:widowControl w:val="0"/>
        <w:shd w:val="clear" w:color="auto" w:fill="auto"/>
        <w:bidi w:val="0"/>
        <w:spacing w:before="0" w:after="80" w:line="286" w:lineRule="auto"/>
        <w:ind w:left="0" w:right="0" w:firstLine="420"/>
        <w:jc w:val="left"/>
      </w:pPr>
      <w:r>
        <w:rPr>
          <w:color w:val="000000"/>
          <w:spacing w:val="0"/>
          <w:w w:val="100"/>
          <w:position w:val="0"/>
          <w:shd w:val="clear" w:color="auto" w:fill="auto"/>
          <w:lang w:val="cs-CZ" w:eastAsia="cs-CZ" w:bidi="cs-CZ"/>
        </w:rPr>
        <w:t>Na výzvu pojistitele je pojistník (pojištěný nebo jakákoliv jiná osoba) povinen oznámit vznik škodné události písemnou formou.</w:t>
      </w:r>
    </w:p>
    <w:p>
      <w:pPr>
        <w:pStyle w:val="Style27"/>
        <w:keepNext/>
        <w:keepLines/>
        <w:widowControl w:val="0"/>
        <w:shd w:val="clear" w:color="auto" w:fill="auto"/>
        <w:bidi w:val="0"/>
        <w:spacing w:before="0" w:after="0" w:line="240" w:lineRule="auto"/>
        <w:ind w:left="0" w:right="0" w:firstLine="0"/>
        <w:jc w:val="center"/>
      </w:pPr>
      <w:bookmarkStart w:id="121" w:name="bookmark121"/>
      <w:bookmarkStart w:id="122" w:name="bookmark122"/>
      <w:bookmarkStart w:id="123" w:name="bookmark123"/>
      <w:r>
        <w:rPr>
          <w:color w:val="000000"/>
          <w:spacing w:val="0"/>
          <w:w w:val="100"/>
          <w:position w:val="0"/>
          <w:shd w:val="clear" w:color="auto" w:fill="auto"/>
          <w:lang w:val="cs-CZ" w:eastAsia="cs-CZ" w:bidi="cs-CZ"/>
        </w:rPr>
        <w:t>Článek V.</w:t>
      </w:r>
      <w:bookmarkEnd w:id="121"/>
      <w:bookmarkEnd w:id="122"/>
      <w:bookmarkEnd w:id="123"/>
    </w:p>
    <w:p>
      <w:pPr>
        <w:pStyle w:val="Style27"/>
        <w:keepNext/>
        <w:keepLines/>
        <w:widowControl w:val="0"/>
        <w:shd w:val="clear" w:color="auto" w:fill="auto"/>
        <w:bidi w:val="0"/>
        <w:spacing w:before="0" w:after="80" w:line="240" w:lineRule="auto"/>
        <w:ind w:left="0" w:right="0" w:firstLine="0"/>
        <w:jc w:val="center"/>
      </w:pPr>
      <w:bookmarkStart w:id="124" w:name="bookmark124"/>
      <w:bookmarkStart w:id="125" w:name="bookmark125"/>
      <w:bookmarkStart w:id="126" w:name="bookmark126"/>
      <w:r>
        <w:rPr>
          <w:color w:val="000000"/>
          <w:spacing w:val="0"/>
          <w:w w:val="100"/>
          <w:position w:val="0"/>
          <w:shd w:val="clear" w:color="auto" w:fill="auto"/>
          <w:lang w:val="cs-CZ" w:eastAsia="cs-CZ" w:bidi="cs-CZ"/>
        </w:rPr>
        <w:t>Zvláštní ujednání</w:t>
      </w:r>
      <w:bookmarkEnd w:id="124"/>
      <w:bookmarkEnd w:id="125"/>
      <w:bookmarkEnd w:id="126"/>
    </w:p>
    <w:p>
      <w:pPr>
        <w:pStyle w:val="Style9"/>
        <w:keepNext w:val="0"/>
        <w:keepLines w:val="0"/>
        <w:widowControl w:val="0"/>
        <w:numPr>
          <w:ilvl w:val="0"/>
          <w:numId w:val="23"/>
        </w:numPr>
        <w:shd w:val="clear" w:color="auto" w:fill="auto"/>
        <w:tabs>
          <w:tab w:pos="442" w:val="left"/>
        </w:tabs>
        <w:bidi w:val="0"/>
        <w:spacing w:before="0" w:after="80"/>
        <w:ind w:left="420" w:right="0" w:hanging="420"/>
        <w:jc w:val="both"/>
      </w:pPr>
      <w:bookmarkStart w:id="127" w:name="bookmark127"/>
      <w:bookmarkEnd w:id="127"/>
      <w:r>
        <w:rPr>
          <w:color w:val="000000"/>
          <w:spacing w:val="0"/>
          <w:w w:val="100"/>
          <w:position w:val="0"/>
          <w:shd w:val="clear" w:color="auto" w:fill="auto"/>
          <w:lang w:val="cs-CZ" w:eastAsia="cs-CZ" w:bidi="cs-CZ"/>
        </w:rPr>
        <w:t>V souladu s požadavkem pojistníka budou veškeré změny realizované v této pojistné smlouvě, s vlivem na změnu ročního pojistného, zohledněny aktuálně do příslušné splátky(ek) pojistného za tříměsíční období.</w:t>
      </w:r>
    </w:p>
    <w:p>
      <w:pPr>
        <w:pStyle w:val="Style9"/>
        <w:keepNext w:val="0"/>
        <w:keepLines w:val="0"/>
        <w:widowControl w:val="0"/>
        <w:numPr>
          <w:ilvl w:val="0"/>
          <w:numId w:val="23"/>
        </w:numPr>
        <w:shd w:val="clear" w:color="auto" w:fill="auto"/>
        <w:tabs>
          <w:tab w:pos="442" w:val="left"/>
        </w:tabs>
        <w:bidi w:val="0"/>
        <w:spacing w:before="0" w:after="80" w:line="286" w:lineRule="auto"/>
        <w:ind w:left="0" w:right="0" w:firstLine="0"/>
        <w:jc w:val="left"/>
      </w:pPr>
      <w:bookmarkStart w:id="128" w:name="bookmark128"/>
      <w:bookmarkEnd w:id="128"/>
      <w:r>
        <w:rPr>
          <w:color w:val="000000"/>
          <w:spacing w:val="0"/>
          <w:w w:val="100"/>
          <w:position w:val="0"/>
          <w:shd w:val="clear" w:color="auto" w:fill="auto"/>
          <w:lang w:val="cs-CZ" w:eastAsia="cs-CZ" w:bidi="cs-CZ"/>
        </w:rPr>
        <w:t>Pro odečítání spoluúčastí platí ustanovení bodu 13) čl. 8. ZPP P-150/14 a bodu 13) čl. 8. ZPP P-200/14.</w:t>
      </w:r>
    </w:p>
    <w:p>
      <w:pPr>
        <w:pStyle w:val="Style9"/>
        <w:keepNext w:val="0"/>
        <w:keepLines w:val="0"/>
        <w:widowControl w:val="0"/>
        <w:numPr>
          <w:ilvl w:val="0"/>
          <w:numId w:val="23"/>
        </w:numPr>
        <w:shd w:val="clear" w:color="auto" w:fill="auto"/>
        <w:tabs>
          <w:tab w:pos="442" w:val="left"/>
        </w:tabs>
        <w:bidi w:val="0"/>
        <w:spacing w:before="0" w:after="120" w:line="286" w:lineRule="auto"/>
        <w:ind w:left="420" w:right="0" w:hanging="420"/>
        <w:jc w:val="left"/>
      </w:pPr>
      <w:bookmarkStart w:id="129" w:name="bookmark129"/>
      <w:bookmarkEnd w:id="129"/>
      <w:r>
        <w:rPr>
          <w:color w:val="000000"/>
          <w:spacing w:val="0"/>
          <w:w w:val="100"/>
          <w:position w:val="0"/>
          <w:shd w:val="clear" w:color="auto" w:fill="auto"/>
          <w:lang w:val="cs-CZ" w:eastAsia="cs-CZ" w:bidi="cs-CZ"/>
        </w:rPr>
        <w:t xml:space="preserve">Pokud je věc umělecké, historické nebo sběratelské hodnoty současně cenným předmětem, musí být uložena a zabezpečena tak, aby toto zabezpečení minimálně odpovídalo předepsanému způsobu zabezpečení cenných předmětů vyplývajícímu z pojistných podmínek upravujících způsoby zabezpečení </w:t>
      </w:r>
      <w:r>
        <w:rPr>
          <w:i/>
          <w:iCs/>
          <w:color w:val="000000"/>
          <w:spacing w:val="0"/>
          <w:w w:val="100"/>
          <w:position w:val="0"/>
          <w:shd w:val="clear" w:color="auto" w:fill="auto"/>
          <w:lang w:val="cs-CZ" w:eastAsia="cs-CZ" w:bidi="cs-CZ"/>
        </w:rPr>
        <w:t>(Je-Li pojištěním sjednáno krytí pro odcizeni.).</w:t>
      </w:r>
    </w:p>
    <w:p>
      <w:pPr>
        <w:pStyle w:val="Style9"/>
        <w:keepNext w:val="0"/>
        <w:keepLines w:val="0"/>
        <w:widowControl w:val="0"/>
        <w:shd w:val="clear" w:color="auto" w:fill="auto"/>
        <w:bidi w:val="0"/>
        <w:spacing w:before="0" w:after="120" w:line="276" w:lineRule="auto"/>
        <w:ind w:left="420" w:right="0" w:hanging="420"/>
        <w:jc w:val="left"/>
      </w:pPr>
      <w:r>
        <w:rPr>
          <w:i/>
          <w:iCs/>
          <w:color w:val="000000"/>
          <w:spacing w:val="0"/>
          <w:w w:val="100"/>
          <w:position w:val="0"/>
          <w:shd w:val="clear" w:color="auto" w:fill="auto"/>
          <w:lang w:val="cs-CZ" w:eastAsia="cs-CZ" w:bidi="cs-CZ"/>
        </w:rPr>
        <w:t>U.</w:t>
      </w:r>
      <w:r>
        <w:rPr>
          <w:color w:val="000000"/>
          <w:spacing w:val="0"/>
          <w:w w:val="100"/>
          <w:position w:val="0"/>
          <w:shd w:val="clear" w:color="auto" w:fill="auto"/>
          <w:lang w:val="cs-CZ" w:eastAsia="cs-CZ" w:bidi="cs-CZ"/>
        </w:rPr>
        <w:t xml:space="preserve"> Pojistitel akceptuje pojistné částky stanovené pojistníkem jako správně stanovené hodnoty znovupořízení pojištěných věcí k datu sjednání pojistné smlouvy.</w:t>
      </w:r>
    </w:p>
    <w:p>
      <w:pPr>
        <w:pStyle w:val="Style9"/>
        <w:keepNext w:val="0"/>
        <w:keepLines w:val="0"/>
        <w:widowControl w:val="0"/>
        <w:shd w:val="clear" w:color="auto" w:fill="auto"/>
        <w:bidi w:val="0"/>
        <w:spacing w:before="0" w:after="80"/>
        <w:ind w:left="420" w:right="0" w:firstLine="20"/>
        <w:jc w:val="both"/>
      </w:pPr>
      <w:r>
        <w:rPr>
          <w:color w:val="000000"/>
          <w:spacing w:val="0"/>
          <w:w w:val="100"/>
          <w:position w:val="0"/>
          <w:shd w:val="clear" w:color="auto" w:fill="auto"/>
          <w:lang w:val="cs-CZ" w:eastAsia="cs-CZ" w:bidi="cs-CZ"/>
        </w:rPr>
        <w:t>Ujednává se, že odchylně od čl. 15 odst. 2) písm. h) VPP P-100/14, je pojistník a pojištěný povinen oznámit pojistiteli změnu pojistné hodnoty pojištěné věci nebo souboru věcí, zvýšila-li se v době trvání pojištění alespoň o 15 %, při nesplnění této povinnosti má pojistitel právo uplatnit podpojištění.</w:t>
      </w:r>
    </w:p>
    <w:p>
      <w:pPr>
        <w:pStyle w:val="Style9"/>
        <w:keepNext w:val="0"/>
        <w:keepLines w:val="0"/>
        <w:widowControl w:val="0"/>
        <w:shd w:val="clear" w:color="auto" w:fill="auto"/>
        <w:bidi w:val="0"/>
        <w:spacing w:before="0" w:after="80"/>
        <w:ind w:left="420" w:right="0" w:firstLine="20"/>
        <w:jc w:val="both"/>
      </w:pPr>
      <w:r>
        <w:rPr>
          <w:color w:val="000000"/>
          <w:spacing w:val="0"/>
          <w:w w:val="100"/>
          <w:position w:val="0"/>
          <w:shd w:val="clear" w:color="auto" w:fill="auto"/>
          <w:lang w:val="cs-CZ" w:eastAsia="cs-CZ" w:bidi="cs-CZ"/>
        </w:rPr>
        <w:t>Zvýší-li se pojistná hodnota pojištěné věci nebo souboru pojištěných věcí o méně než 15 %, nebude ve smyslu ustanovení čl. 15 odst. 2) písm. h) VPP P-100/14 pojistitelem požadován doplatek pojistného.</w:t>
      </w:r>
    </w:p>
    <w:p>
      <w:pPr>
        <w:pStyle w:val="Style9"/>
        <w:keepNext w:val="0"/>
        <w:keepLines w:val="0"/>
        <w:widowControl w:val="0"/>
        <w:shd w:val="clear" w:color="auto" w:fill="auto"/>
        <w:bidi w:val="0"/>
        <w:spacing w:before="0" w:after="80" w:line="286" w:lineRule="auto"/>
        <w:ind w:left="0" w:right="0" w:firstLine="420"/>
        <w:jc w:val="both"/>
      </w:pPr>
      <w:r>
        <w:rPr>
          <w:color w:val="000000"/>
          <w:spacing w:val="0"/>
          <w:w w:val="100"/>
          <w:position w:val="0"/>
          <w:shd w:val="clear" w:color="auto" w:fill="auto"/>
          <w:lang w:val="cs-CZ" w:eastAsia="cs-CZ" w:bidi="cs-CZ"/>
        </w:rPr>
        <w:t>Dále se ujednává, že ustanovení čl. 22 odst. 2) VPP P-100/14 se ruší a nově zní:</w:t>
      </w:r>
    </w:p>
    <w:p>
      <w:pPr>
        <w:pStyle w:val="Style9"/>
        <w:keepNext w:val="0"/>
        <w:keepLines w:val="0"/>
        <w:widowControl w:val="0"/>
        <w:shd w:val="clear" w:color="auto" w:fill="auto"/>
        <w:bidi w:val="0"/>
        <w:spacing w:before="0" w:after="80" w:line="286" w:lineRule="auto"/>
        <w:ind w:left="420" w:right="0" w:firstLine="20"/>
        <w:jc w:val="both"/>
      </w:pPr>
      <w:r>
        <w:rPr>
          <w:color w:val="000000"/>
          <w:spacing w:val="0"/>
          <w:w w:val="100"/>
          <w:position w:val="0"/>
          <w:shd w:val="clear" w:color="auto" w:fill="auto"/>
          <w:lang w:val="cs-CZ" w:eastAsia="cs-CZ" w:bidi="cs-CZ"/>
        </w:rPr>
        <w:t>„Ustanovení odst. 1) neplatí, odpovídala-li v době sjednání pojištění pojistná částka pojistné hodnotě věci a pojistník neporušil povinnost oznámit pojistiteli zvýšení pojistné hodnoty pojištěné věci nebo souboru věcí alespoň o 15 % nebo jí odpovídající povinnost uloženou mu ve smlouvě."</w:t>
      </w:r>
    </w:p>
    <w:p>
      <w:pPr>
        <w:pStyle w:val="Style9"/>
        <w:keepNext w:val="0"/>
        <w:keepLines w:val="0"/>
        <w:widowControl w:val="0"/>
        <w:numPr>
          <w:ilvl w:val="0"/>
          <w:numId w:val="25"/>
        </w:numPr>
        <w:shd w:val="clear" w:color="auto" w:fill="auto"/>
        <w:tabs>
          <w:tab w:pos="442" w:val="left"/>
        </w:tabs>
        <w:bidi w:val="0"/>
        <w:spacing w:before="0" w:after="80" w:line="286" w:lineRule="auto"/>
        <w:ind w:left="0" w:right="0" w:firstLine="0"/>
        <w:jc w:val="left"/>
      </w:pPr>
      <w:bookmarkStart w:id="130" w:name="bookmark130"/>
      <w:bookmarkEnd w:id="130"/>
      <w:r>
        <w:rPr>
          <w:color w:val="000000"/>
          <w:spacing w:val="0"/>
          <w:w w:val="100"/>
          <w:position w:val="0"/>
          <w:shd w:val="clear" w:color="auto" w:fill="auto"/>
          <w:lang w:val="cs-CZ" w:eastAsia="cs-CZ" w:bidi="cs-CZ"/>
        </w:rPr>
        <w:t>Pojištění se nevztahuje na budovy/ stavby s uloženým senem/trávou/pícninou, dále na nafukovací haly.</w:t>
      </w:r>
    </w:p>
    <w:p>
      <w:pPr>
        <w:pStyle w:val="Style9"/>
        <w:keepNext w:val="0"/>
        <w:keepLines w:val="0"/>
        <w:widowControl w:val="0"/>
        <w:numPr>
          <w:ilvl w:val="0"/>
          <w:numId w:val="25"/>
        </w:numPr>
        <w:shd w:val="clear" w:color="auto" w:fill="auto"/>
        <w:tabs>
          <w:tab w:pos="442" w:val="left"/>
        </w:tabs>
        <w:bidi w:val="0"/>
        <w:spacing w:before="0" w:after="80" w:line="286" w:lineRule="auto"/>
        <w:ind w:left="0" w:right="0" w:firstLine="0"/>
        <w:jc w:val="left"/>
      </w:pPr>
      <w:bookmarkStart w:id="131" w:name="bookmark131"/>
      <w:bookmarkEnd w:id="131"/>
      <w:r>
        <w:rPr>
          <w:color w:val="000000"/>
          <w:spacing w:val="0"/>
          <w:w w:val="100"/>
          <w:position w:val="0"/>
          <w:shd w:val="clear" w:color="auto" w:fill="auto"/>
          <w:lang w:val="cs-CZ" w:eastAsia="cs-CZ" w:bidi="cs-CZ"/>
        </w:rPr>
        <w:t>Ujednává se, že se ruší ustanovení čl. 1 odst. 7) a 8), čl. 3 odst. 5), čl. 6 odst. 3) a čl. 9 ZPP P-150/14.</w:t>
      </w:r>
    </w:p>
    <w:p>
      <w:pPr>
        <w:pStyle w:val="Style9"/>
        <w:keepNext w:val="0"/>
        <w:keepLines w:val="0"/>
        <w:widowControl w:val="0"/>
        <w:numPr>
          <w:ilvl w:val="0"/>
          <w:numId w:val="25"/>
        </w:numPr>
        <w:shd w:val="clear" w:color="auto" w:fill="auto"/>
        <w:tabs>
          <w:tab w:pos="442" w:val="left"/>
        </w:tabs>
        <w:bidi w:val="0"/>
        <w:spacing w:before="0" w:after="0" w:line="322" w:lineRule="auto"/>
        <w:ind w:left="0" w:right="0" w:firstLine="0"/>
        <w:jc w:val="left"/>
      </w:pPr>
      <w:bookmarkStart w:id="132" w:name="bookmark132"/>
      <w:bookmarkEnd w:id="132"/>
      <w:r>
        <w:rPr>
          <w:color w:val="000000"/>
          <w:spacing w:val="0"/>
          <w:w w:val="100"/>
          <w:position w:val="0"/>
          <w:shd w:val="clear" w:color="auto" w:fill="auto"/>
          <w:lang w:val="cs-CZ" w:eastAsia="cs-CZ" w:bidi="cs-CZ"/>
        </w:rPr>
        <w:t>Ujednává se odchylně od ustanovení čl. 8 odst. 3) ZPP P-150/14:</w:t>
      </w:r>
    </w:p>
    <w:p>
      <w:pPr>
        <w:pStyle w:val="Style9"/>
        <w:keepNext w:val="0"/>
        <w:keepLines w:val="0"/>
        <w:widowControl w:val="0"/>
        <w:numPr>
          <w:ilvl w:val="0"/>
          <w:numId w:val="27"/>
        </w:numPr>
        <w:shd w:val="clear" w:color="auto" w:fill="auto"/>
        <w:tabs>
          <w:tab w:pos="547" w:val="left"/>
        </w:tabs>
        <w:bidi w:val="0"/>
        <w:spacing w:before="0" w:after="0" w:line="322" w:lineRule="auto"/>
        <w:ind w:left="580" w:right="0" w:hanging="280"/>
        <w:jc w:val="both"/>
      </w:pPr>
      <w:bookmarkStart w:id="133" w:name="bookmark133"/>
      <w:bookmarkEnd w:id="133"/>
      <w:r>
        <w:rPr>
          <w:color w:val="000000"/>
          <w:spacing w:val="0"/>
          <w:w w:val="100"/>
          <w:position w:val="0"/>
          <w:shd w:val="clear" w:color="auto" w:fill="auto"/>
          <w:lang w:val="cs-CZ" w:eastAsia="cs-CZ" w:bidi="cs-CZ"/>
        </w:rPr>
        <w:t>byla-li pojištěná věc, pro kterou bylo sjednáno pojištění na novou cenu, zničena či ztracena, vzniká oprávněné osobě právo, aby jí pojistitel vyplatil částku odpovídající přiměřeným nákladům na znovupořízení stejné či srovnatelné nové věci sníženou o cenu využitelných zbytků, a to bez odpočtu opotřebení,</w:t>
      </w:r>
    </w:p>
    <w:p>
      <w:pPr>
        <w:pStyle w:val="Style9"/>
        <w:keepNext w:val="0"/>
        <w:keepLines w:val="0"/>
        <w:widowControl w:val="0"/>
        <w:numPr>
          <w:ilvl w:val="0"/>
          <w:numId w:val="27"/>
        </w:numPr>
        <w:shd w:val="clear" w:color="auto" w:fill="auto"/>
        <w:tabs>
          <w:tab w:pos="547" w:val="left"/>
        </w:tabs>
        <w:bidi w:val="0"/>
        <w:spacing w:before="0" w:after="0" w:line="322" w:lineRule="auto"/>
        <w:ind w:left="580" w:right="0" w:hanging="280"/>
        <w:jc w:val="both"/>
      </w:pPr>
      <w:bookmarkStart w:id="134" w:name="bookmark134"/>
      <w:bookmarkEnd w:id="134"/>
      <w:r>
        <w:rPr>
          <w:color w:val="000000"/>
          <w:spacing w:val="0"/>
          <w:w w:val="100"/>
          <w:position w:val="0"/>
          <w:shd w:val="clear" w:color="auto" w:fill="auto"/>
          <w:lang w:val="cs-CZ" w:eastAsia="cs-CZ" w:bidi="cs-CZ"/>
        </w:rPr>
        <w:t>byla-li pojištěná věc, pro kterou bylo sjednáno pojištění na novou cenu, poškozena, vzniká oprávněné osobě právo, aby jí pojistitel vyplatil částku odpovídající přiměřeným nákladům na opravu poškozené věci sníženou o cenu využitelných zbytků nahrazovaných částí, a to bez odpočtu opotřebení."</w:t>
      </w:r>
    </w:p>
    <w:p>
      <w:pPr>
        <w:pStyle w:val="Style9"/>
        <w:keepNext w:val="0"/>
        <w:keepLines w:val="0"/>
        <w:widowControl w:val="0"/>
        <w:numPr>
          <w:ilvl w:val="0"/>
          <w:numId w:val="25"/>
        </w:numPr>
        <w:shd w:val="clear" w:color="auto" w:fill="auto"/>
        <w:tabs>
          <w:tab w:pos="442" w:val="left"/>
        </w:tabs>
        <w:bidi w:val="0"/>
        <w:spacing w:before="0" w:after="0" w:line="286" w:lineRule="auto"/>
        <w:ind w:left="420" w:right="0" w:hanging="420"/>
        <w:jc w:val="both"/>
      </w:pPr>
      <w:bookmarkStart w:id="135" w:name="bookmark135"/>
      <w:bookmarkEnd w:id="135"/>
      <w:r>
        <w:rPr>
          <w:color w:val="000000"/>
          <w:spacing w:val="0"/>
          <w:w w:val="100"/>
          <w:position w:val="0"/>
          <w:shd w:val="clear" w:color="auto" w:fill="auto"/>
          <w:lang w:val="cs-CZ" w:eastAsia="cs-CZ" w:bidi="cs-CZ"/>
        </w:rPr>
        <w:t xml:space="preserve">Ujednává se ve smyslu ustanovení čl. 7 odst. 1) ZPP P-150/14, že pojistnou hodnotou cizích předmětů užívaných je jejich nová cena </w:t>
      </w:r>
      <w:r>
        <w:rPr>
          <w:i/>
          <w:iCs/>
          <w:color w:val="000000"/>
          <w:spacing w:val="0"/>
          <w:w w:val="100"/>
          <w:position w:val="0"/>
          <w:shd w:val="clear" w:color="auto" w:fill="auto"/>
          <w:lang w:val="cs-CZ" w:eastAsia="cs-CZ" w:bidi="cs-CZ"/>
        </w:rPr>
        <w:t>(pojištění no novou cenu).</w:t>
      </w:r>
    </w:p>
    <w:p>
      <w:pPr>
        <w:pStyle w:val="Style9"/>
        <w:keepNext w:val="0"/>
        <w:keepLines w:val="0"/>
        <w:widowControl w:val="0"/>
        <w:shd w:val="clear" w:color="auto" w:fill="auto"/>
        <w:bidi w:val="0"/>
        <w:spacing w:before="0" w:after="0" w:line="286" w:lineRule="auto"/>
        <w:ind w:left="420" w:right="0" w:firstLine="20"/>
        <w:jc w:val="both"/>
      </w:pPr>
      <w:r>
        <w:rPr>
          <w:color w:val="000000"/>
          <w:spacing w:val="0"/>
          <w:w w:val="100"/>
          <w:position w:val="0"/>
          <w:shd w:val="clear" w:color="auto" w:fill="auto"/>
          <w:lang w:val="cs-CZ" w:eastAsia="cs-CZ" w:bidi="cs-CZ"/>
        </w:rPr>
        <w:t>Odchylně od ustanovení čl. 7 odst. 2) ZPP P-150/14 se ujednává, že pojistnou hodnotou cizích předmětů převzatých je jejich nová cena (pojištění na novou cenu).</w:t>
      </w:r>
    </w:p>
    <w:p>
      <w:pPr>
        <w:pStyle w:val="Style9"/>
        <w:keepNext w:val="0"/>
        <w:keepLines w:val="0"/>
        <w:widowControl w:val="0"/>
        <w:numPr>
          <w:ilvl w:val="0"/>
          <w:numId w:val="25"/>
        </w:numPr>
        <w:shd w:val="clear" w:color="auto" w:fill="auto"/>
        <w:tabs>
          <w:tab w:pos="442" w:val="left"/>
        </w:tabs>
        <w:bidi w:val="0"/>
        <w:spacing w:before="0" w:after="80" w:line="324" w:lineRule="auto"/>
        <w:ind w:left="420" w:right="0" w:hanging="420"/>
        <w:jc w:val="both"/>
      </w:pPr>
      <w:bookmarkStart w:id="136" w:name="bookmark136"/>
      <w:bookmarkEnd w:id="136"/>
      <w:r>
        <w:rPr>
          <w:color w:val="000000"/>
          <w:spacing w:val="0"/>
          <w:w w:val="100"/>
          <w:position w:val="0"/>
          <w:shd w:val="clear" w:color="auto" w:fill="auto"/>
          <w:lang w:val="cs-CZ" w:eastAsia="cs-CZ" w:bidi="cs-CZ"/>
        </w:rPr>
        <w:t>Ve smyslu ustanovení čl. 5 VPP P-100/14 pojištěné cizí věci, které pojištěný užívá na základě Leasingových, nájemních či jiných smluv, zůstávají v případě převodu do vlastnictví pojištěného automaticky pojištěny v rozsahu sjednané pojistné smlouvy.</w:t>
      </w:r>
    </w:p>
    <w:p>
      <w:pPr>
        <w:pStyle w:val="Style9"/>
        <w:keepNext w:val="0"/>
        <w:keepLines w:val="0"/>
        <w:widowControl w:val="0"/>
        <w:numPr>
          <w:ilvl w:val="0"/>
          <w:numId w:val="25"/>
        </w:numPr>
        <w:shd w:val="clear" w:color="auto" w:fill="auto"/>
        <w:tabs>
          <w:tab w:pos="442" w:val="left"/>
        </w:tabs>
        <w:bidi w:val="0"/>
        <w:spacing w:before="0" w:after="80" w:line="276" w:lineRule="auto"/>
        <w:ind w:left="420" w:right="0" w:hanging="420"/>
        <w:jc w:val="both"/>
      </w:pPr>
      <w:bookmarkStart w:id="137" w:name="bookmark137"/>
      <w:bookmarkEnd w:id="137"/>
      <w:r>
        <w:rPr>
          <w:color w:val="000000"/>
          <w:spacing w:val="0"/>
          <w:w w:val="100"/>
          <w:position w:val="0"/>
          <w:shd w:val="clear" w:color="auto" w:fill="auto"/>
          <w:lang w:val="cs-CZ" w:eastAsia="cs-CZ" w:bidi="cs-CZ"/>
        </w:rPr>
        <w:t>Ujednává se, že škody vzniklé následkem povodně nebo záplavy či v přímé souvislosti s povodni nebo záplavou jsou hrazeny od prvního dne pojištění.</w:t>
      </w:r>
    </w:p>
    <w:p>
      <w:pPr>
        <w:pStyle w:val="Style9"/>
        <w:keepNext w:val="0"/>
        <w:keepLines w:val="0"/>
        <w:widowControl w:val="0"/>
        <w:numPr>
          <w:ilvl w:val="0"/>
          <w:numId w:val="25"/>
        </w:numPr>
        <w:shd w:val="clear" w:color="auto" w:fill="auto"/>
        <w:tabs>
          <w:tab w:pos="442" w:val="left"/>
        </w:tabs>
        <w:bidi w:val="0"/>
        <w:spacing w:before="0" w:after="80" w:line="286" w:lineRule="auto"/>
        <w:ind w:left="420" w:right="0" w:hanging="420"/>
        <w:jc w:val="both"/>
      </w:pPr>
      <w:bookmarkStart w:id="138" w:name="bookmark138"/>
      <w:bookmarkEnd w:id="138"/>
      <w:r>
        <w:rPr>
          <w:color w:val="000000"/>
          <w:spacing w:val="0"/>
          <w:w w:val="100"/>
          <w:position w:val="0"/>
          <w:shd w:val="clear" w:color="auto" w:fill="auto"/>
          <w:lang w:val="cs-CZ" w:eastAsia="cs-CZ" w:bidi="cs-CZ"/>
        </w:rPr>
        <w:t>Odchylně od čl. 2 odst. 1) písm. b) ZPP P-150/14 se pojištění vztahuje i na poškození nebo zničení pojištěné věci nárazem nebo pádem, tj. nárazem dopravního prostředku (vyjma letadel), jeho částí nebo jeho nákladu do pojištěné věci, pádem stromů, stožárů nebo jiných věcí, bez ohledu na to, zda jsou nebo nejsou součástí poškozené věci nebo součástí téhož souboru jako poškozená věc.</w:t>
      </w:r>
    </w:p>
    <w:p>
      <w:pPr>
        <w:pStyle w:val="Style9"/>
        <w:keepNext w:val="0"/>
        <w:keepLines w:val="0"/>
        <w:widowControl w:val="0"/>
        <w:numPr>
          <w:ilvl w:val="0"/>
          <w:numId w:val="25"/>
        </w:numPr>
        <w:shd w:val="clear" w:color="auto" w:fill="auto"/>
        <w:tabs>
          <w:tab w:pos="442" w:val="left"/>
        </w:tabs>
        <w:bidi w:val="0"/>
        <w:spacing w:before="0" w:after="80"/>
        <w:ind w:left="420" w:right="0" w:hanging="420"/>
        <w:jc w:val="both"/>
      </w:pPr>
      <w:bookmarkStart w:id="139" w:name="bookmark139"/>
      <w:bookmarkEnd w:id="139"/>
      <w:r>
        <w:rPr>
          <w:color w:val="000000"/>
          <w:spacing w:val="0"/>
          <w:w w:val="100"/>
          <w:position w:val="0"/>
          <w:shd w:val="clear" w:color="auto" w:fill="auto"/>
          <w:lang w:val="cs-CZ" w:eastAsia="cs-CZ" w:bidi="cs-CZ"/>
        </w:rPr>
        <w:t>Ve smyslu ZPP P-150/14 se ujednává, že pojištění pro případ pojistného nebezpečí povodeň i záplava se vztahuje i na škody způsobené zpětným vystoupnutím kapaliny z odpadního potrubí, které bylo způsobeno zahlcením venkovní kanalizace v důsledku</w:t>
      </w:r>
    </w:p>
    <w:p>
      <w:pPr>
        <w:pStyle w:val="Style9"/>
        <w:keepNext w:val="0"/>
        <w:keepLines w:val="0"/>
        <w:widowControl w:val="0"/>
        <w:shd w:val="clear" w:color="auto" w:fill="auto"/>
        <w:bidi w:val="0"/>
        <w:spacing w:before="0" w:line="286" w:lineRule="auto"/>
        <w:ind w:left="0" w:right="0" w:firstLine="420"/>
        <w:jc w:val="left"/>
      </w:pPr>
      <w:r>
        <w:rPr>
          <w:color w:val="000000"/>
          <w:spacing w:val="0"/>
          <w:w w:val="100"/>
          <w:position w:val="0"/>
          <w:shd w:val="clear" w:color="auto" w:fill="auto"/>
          <w:lang w:val="cs-CZ" w:eastAsia="cs-CZ" w:bidi="cs-CZ"/>
        </w:rPr>
        <w:t>atmosférických srážek, povodně nebo záplavy.</w:t>
      </w:r>
    </w:p>
    <w:p>
      <w:pPr>
        <w:pStyle w:val="Style9"/>
        <w:keepNext w:val="0"/>
        <w:keepLines w:val="0"/>
        <w:widowControl w:val="0"/>
        <w:numPr>
          <w:ilvl w:val="0"/>
          <w:numId w:val="25"/>
        </w:numPr>
        <w:shd w:val="clear" w:color="auto" w:fill="auto"/>
        <w:tabs>
          <w:tab w:pos="400" w:val="left"/>
        </w:tabs>
        <w:bidi w:val="0"/>
        <w:spacing w:before="0" w:line="286" w:lineRule="auto"/>
        <w:ind w:left="420" w:right="0" w:hanging="420"/>
        <w:jc w:val="left"/>
      </w:pPr>
      <w:bookmarkStart w:id="140" w:name="bookmark140"/>
      <w:bookmarkEnd w:id="140"/>
      <w:r>
        <w:rPr>
          <w:color w:val="000000"/>
          <w:spacing w:val="0"/>
          <w:w w:val="100"/>
          <w:position w:val="0"/>
          <w:shd w:val="clear" w:color="auto" w:fill="auto"/>
          <w:lang w:val="cs-CZ" w:eastAsia="cs-CZ" w:bidi="cs-CZ"/>
        </w:rPr>
        <w:t>Odchylně od čl. 2 odst. 2) písm. e) ZPP P150/14 se pojištění vztahuje i na škody na pojištěných ostatních stavbách. Ujednání doložky DOB105 se pro toto pojištění použije obdobně. Dále se ujednává, že se ruší ustanovení čl. 1 odst. 7) věty druhé ZPP P-150/14.</w:t>
      </w:r>
    </w:p>
    <w:p>
      <w:pPr>
        <w:pStyle w:val="Style9"/>
        <w:keepNext w:val="0"/>
        <w:keepLines w:val="0"/>
        <w:widowControl w:val="0"/>
        <w:numPr>
          <w:ilvl w:val="0"/>
          <w:numId w:val="25"/>
        </w:numPr>
        <w:shd w:val="clear" w:color="auto" w:fill="auto"/>
        <w:tabs>
          <w:tab w:pos="400" w:val="left"/>
        </w:tabs>
        <w:bidi w:val="0"/>
        <w:spacing w:before="0" w:line="288" w:lineRule="auto"/>
        <w:ind w:left="420" w:right="0" w:hanging="420"/>
        <w:jc w:val="left"/>
      </w:pPr>
      <w:bookmarkStart w:id="141" w:name="bookmark141"/>
      <w:bookmarkEnd w:id="141"/>
      <w:r>
        <w:rPr>
          <w:color w:val="000000"/>
          <w:spacing w:val="0"/>
          <w:w w:val="100"/>
          <w:position w:val="0"/>
          <w:shd w:val="clear" w:color="auto" w:fill="auto"/>
          <w:lang w:val="cs-CZ" w:eastAsia="cs-CZ" w:bidi="cs-CZ"/>
        </w:rPr>
        <w:t>Ruší se ustanovení střech plochých a střech se sklonem střešních rovin do 15-ti stupňů uvedené pod bodem 3. Doložky DOB105 - Tíha sněhu, námrazy DPP P-520/14.</w:t>
      </w:r>
    </w:p>
    <w:p>
      <w:pPr>
        <w:pStyle w:val="Style9"/>
        <w:keepNext w:val="0"/>
        <w:keepLines w:val="0"/>
        <w:widowControl w:val="0"/>
        <w:numPr>
          <w:ilvl w:val="0"/>
          <w:numId w:val="25"/>
        </w:numPr>
        <w:shd w:val="clear" w:color="auto" w:fill="auto"/>
        <w:tabs>
          <w:tab w:pos="400" w:val="left"/>
        </w:tabs>
        <w:bidi w:val="0"/>
        <w:spacing w:before="0" w:line="286" w:lineRule="auto"/>
        <w:ind w:left="420" w:right="0" w:hanging="420"/>
        <w:jc w:val="left"/>
      </w:pPr>
      <w:bookmarkStart w:id="142" w:name="bookmark142"/>
      <w:bookmarkEnd w:id="142"/>
      <w:r>
        <w:rPr>
          <w:color w:val="000000"/>
          <w:spacing w:val="0"/>
          <w:w w:val="100"/>
          <w:position w:val="0"/>
          <w:shd w:val="clear" w:color="auto" w:fill="auto"/>
          <w:lang w:val="cs-CZ" w:eastAsia="cs-CZ" w:bidi="cs-CZ"/>
        </w:rPr>
        <w:t>Ve smyslu ustanovení ZPP P-150/14 čl. II., bod (2), písm. f) vodovodní nebezpečí, se pojištění vztahuje i na škody způsobené vodou vytékající z klimatizačních zařízení, sprinklerových a samočinných hasících zařízení v důsledku poruchy těchto zařízení v průběhu tlakových zkoušek.</w:t>
      </w:r>
    </w:p>
    <w:p>
      <w:pPr>
        <w:pStyle w:val="Style9"/>
        <w:keepNext w:val="0"/>
        <w:keepLines w:val="0"/>
        <w:widowControl w:val="0"/>
        <w:numPr>
          <w:ilvl w:val="0"/>
          <w:numId w:val="25"/>
        </w:numPr>
        <w:shd w:val="clear" w:color="auto" w:fill="auto"/>
        <w:tabs>
          <w:tab w:pos="400" w:val="left"/>
        </w:tabs>
        <w:bidi w:val="0"/>
        <w:spacing w:before="0" w:after="200" w:line="286" w:lineRule="auto"/>
        <w:ind w:left="420" w:right="0" w:hanging="420"/>
        <w:jc w:val="left"/>
      </w:pPr>
      <w:bookmarkStart w:id="143" w:name="bookmark143"/>
      <w:bookmarkEnd w:id="143"/>
      <w:r>
        <w:rPr>
          <w:color w:val="000000"/>
          <w:spacing w:val="0"/>
          <w:w w:val="100"/>
          <w:position w:val="0"/>
          <w:shd w:val="clear" w:color="auto" w:fill="auto"/>
          <w:lang w:val="cs-CZ" w:eastAsia="cs-CZ" w:bidi="cs-CZ"/>
        </w:rPr>
        <w:t xml:space="preserve">Pojistitel </w:t>
      </w:r>
      <w:r>
        <w:rPr>
          <w:b/>
          <w:bCs/>
          <w:color w:val="000000"/>
          <w:spacing w:val="0"/>
          <w:w w:val="100"/>
          <w:position w:val="0"/>
          <w:shd w:val="clear" w:color="auto" w:fill="auto"/>
          <w:lang w:val="cs-CZ" w:eastAsia="cs-CZ" w:bidi="cs-CZ"/>
        </w:rPr>
        <w:t xml:space="preserve">neposkytne pojistné plnění </w:t>
      </w:r>
      <w:r>
        <w:rPr>
          <w:color w:val="000000"/>
          <w:spacing w:val="0"/>
          <w:w w:val="100"/>
          <w:position w:val="0"/>
          <w:shd w:val="clear" w:color="auto" w:fill="auto"/>
          <w:lang w:val="cs-CZ" w:eastAsia="cs-CZ" w:bidi="cs-CZ"/>
        </w:rPr>
        <w:t>ani jiné plnění či službu z pojistné smlouvy v rozsahu, v jakém by takové 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pPr>
        <w:pStyle w:val="Style31"/>
        <w:keepNext/>
        <w:keepLines/>
        <w:widowControl w:val="0"/>
        <w:shd w:val="clear" w:color="auto" w:fill="auto"/>
        <w:bidi w:val="0"/>
        <w:spacing w:before="0" w:after="0" w:line="286" w:lineRule="auto"/>
        <w:ind w:left="0" w:right="0" w:firstLine="420"/>
        <w:jc w:val="left"/>
      </w:pPr>
      <w:bookmarkStart w:id="144" w:name="bookmark144"/>
      <w:bookmarkStart w:id="145" w:name="bookmark145"/>
      <w:bookmarkStart w:id="146" w:name="bookmark146"/>
      <w:r>
        <w:rPr>
          <w:color w:val="000000"/>
          <w:spacing w:val="0"/>
          <w:w w:val="100"/>
          <w:position w:val="0"/>
          <w:shd w:val="clear" w:color="auto" w:fill="auto"/>
          <w:lang w:val="cs-CZ" w:eastAsia="cs-CZ" w:bidi="cs-CZ"/>
        </w:rPr>
        <w:t>Omezení územní platností pojištění:</w:t>
      </w:r>
      <w:bookmarkEnd w:id="144"/>
      <w:bookmarkEnd w:id="145"/>
      <w:bookmarkEnd w:id="146"/>
    </w:p>
    <w:p>
      <w:pPr>
        <w:pStyle w:val="Style9"/>
        <w:keepNext w:val="0"/>
        <w:keepLines w:val="0"/>
        <w:widowControl w:val="0"/>
        <w:shd w:val="clear" w:color="auto" w:fill="auto"/>
        <w:bidi w:val="0"/>
        <w:spacing w:before="0" w:after="200" w:line="286" w:lineRule="auto"/>
        <w:ind w:left="420" w:right="0" w:firstLine="0"/>
        <w:jc w:val="both"/>
      </w:pPr>
      <w:r>
        <w:rPr>
          <w:color w:val="000000"/>
          <w:spacing w:val="0"/>
          <w:w w:val="100"/>
          <w:position w:val="0"/>
          <w:shd w:val="clear" w:color="auto" w:fill="auto"/>
          <w:lang w:val="cs-CZ" w:eastAsia="cs-CZ" w:bidi="cs-CZ"/>
        </w:rPr>
        <w:t>Ujednává se, že pojištění majetku a pojištění přerušení provozu, jsou-li sjednána, se nevztahují na škody, resp. důsledky škod nastalých na území Ruské federace, Běloruska a Ukrajiny, ani v případě, že je pojištění sjednáno ve vztahu k místům či územím, která se nacházejí na území, resp. zahrnují území uvedených států.</w:t>
      </w:r>
    </w:p>
    <w:p>
      <w:pPr>
        <w:pStyle w:val="Style9"/>
        <w:keepNext w:val="0"/>
        <w:keepLines w:val="0"/>
        <w:widowControl w:val="0"/>
        <w:numPr>
          <w:ilvl w:val="0"/>
          <w:numId w:val="25"/>
        </w:numPr>
        <w:shd w:val="clear" w:color="auto" w:fill="auto"/>
        <w:tabs>
          <w:tab w:pos="400" w:val="left"/>
        </w:tabs>
        <w:bidi w:val="0"/>
        <w:spacing w:before="0" w:after="200" w:line="286" w:lineRule="auto"/>
        <w:ind w:left="420" w:right="0" w:hanging="420"/>
        <w:jc w:val="both"/>
      </w:pPr>
      <w:bookmarkStart w:id="147" w:name="bookmark147"/>
      <w:bookmarkEnd w:id="147"/>
      <w:r>
        <w:rPr>
          <w:color w:val="000000"/>
          <w:spacing w:val="0"/>
          <w:w w:val="100"/>
          <w:position w:val="0"/>
          <w:shd w:val="clear" w:color="auto" w:fill="auto"/>
          <w:lang w:val="cs-CZ" w:eastAsia="cs-CZ" w:bidi="cs-CZ"/>
        </w:rPr>
        <w:t>Dodatkem č.7 této pojistné smlouvy, s účinností od 01.12.2021, na základě žádosti pojistníka prostřednictvím pojišťovacího makléře, dochází z důvodu mimořádného nárůstu pojistné hodnoty pojištěných věcí k navýšení sjednaných pojistných částek/limitů pojistného plnění v rámci Tab. 2.1.1 poř. č.l Soubor vlastních a cizích, oprávněně užívaných, budov a ostatních staveb (hodnota FVE na střechách se nemění), dále poř. č.2 Budova vlastní - Hala skladová". Dojde-Li v průběhu trvání pojištění k poklesu pojistné hodnoty pojištěných věcí, je pojistitel připraven na žádost pojistníka provést změnu ve výši sjednaných pojistných částek/limitů pojistného plnění</w:t>
      </w:r>
    </w:p>
    <w:p>
      <w:pPr>
        <w:pStyle w:val="Style9"/>
        <w:keepNext w:val="0"/>
        <w:keepLines w:val="0"/>
        <w:widowControl w:val="0"/>
        <w:numPr>
          <w:ilvl w:val="0"/>
          <w:numId w:val="25"/>
        </w:numPr>
        <w:shd w:val="clear" w:color="auto" w:fill="auto"/>
        <w:tabs>
          <w:tab w:pos="400" w:val="left"/>
        </w:tabs>
        <w:bidi w:val="0"/>
        <w:spacing w:before="0" w:after="200" w:line="286" w:lineRule="auto"/>
        <w:ind w:left="420" w:right="0" w:hanging="420"/>
        <w:jc w:val="both"/>
      </w:pPr>
      <w:bookmarkStart w:id="148" w:name="bookmark148"/>
      <w:bookmarkEnd w:id="148"/>
      <w:r>
        <w:rPr>
          <w:b/>
          <w:bCs/>
          <w:color w:val="000000"/>
          <w:spacing w:val="0"/>
          <w:w w:val="100"/>
          <w:position w:val="0"/>
          <w:shd w:val="clear" w:color="auto" w:fill="auto"/>
          <w:lang w:val="cs-CZ" w:eastAsia="cs-CZ" w:bidi="cs-CZ"/>
        </w:rPr>
        <w:t xml:space="preserve">Pojistitel doporučil pojistníkovi revizi nových hodnot pojištěných technologií fotovoltaických elektráren „FVE", </w:t>
      </w:r>
      <w:r>
        <w:rPr>
          <w:color w:val="000000"/>
          <w:spacing w:val="0"/>
          <w:w w:val="100"/>
          <w:position w:val="0"/>
          <w:shd w:val="clear" w:color="auto" w:fill="auto"/>
          <w:lang w:val="cs-CZ" w:eastAsia="cs-CZ" w:bidi="cs-CZ"/>
        </w:rPr>
        <w:t>a to po prudkém poklesu nových cen těchto zařízení dodatkem č.ll od 1.2.2024 v průměru o 2/3, z původní NH: 23.824.945,-Kč na aktualizovanou NH 9.016.442,-Kč (vč. rozšíření o 1 FVE), na základě požadavku pojistníka, prostřednictvím pojišťovacího makléře. Nová cena technologie fotovoltaícké elektrárny „FVE" (včetně elektroinstalace/ konstrukčního upevnění) se stanovuje na návrh pojistníka, mimo jiné v souladu s ustanovením Článku 21 přiložených VPP P-100/14, tímto se současně eliminuje riziko podpojištění dle Článku 22 přiložených VPP P-100/14.</w:t>
      </w:r>
    </w:p>
    <w:p>
      <w:pPr>
        <w:pStyle w:val="Style27"/>
        <w:keepNext/>
        <w:keepLines/>
        <w:widowControl w:val="0"/>
        <w:shd w:val="clear" w:color="auto" w:fill="auto"/>
        <w:bidi w:val="0"/>
        <w:spacing w:before="0" w:after="0" w:line="240" w:lineRule="auto"/>
        <w:ind w:left="0" w:right="0" w:firstLine="0"/>
        <w:jc w:val="center"/>
      </w:pPr>
      <w:bookmarkStart w:id="149" w:name="bookmark149"/>
      <w:bookmarkStart w:id="150" w:name="bookmark150"/>
      <w:bookmarkStart w:id="151" w:name="bookmark151"/>
      <w:r>
        <w:rPr>
          <w:color w:val="000000"/>
          <w:spacing w:val="0"/>
          <w:w w:val="100"/>
          <w:position w:val="0"/>
          <w:shd w:val="clear" w:color="auto" w:fill="auto"/>
          <w:lang w:val="cs-CZ" w:eastAsia="cs-CZ" w:bidi="cs-CZ"/>
        </w:rPr>
        <w:t>Článek VI.</w:t>
      </w:r>
      <w:bookmarkEnd w:id="149"/>
      <w:bookmarkEnd w:id="150"/>
      <w:bookmarkEnd w:id="151"/>
    </w:p>
    <w:p>
      <w:pPr>
        <w:pStyle w:val="Style27"/>
        <w:keepNext/>
        <w:keepLines/>
        <w:widowControl w:val="0"/>
        <w:shd w:val="clear" w:color="auto" w:fill="auto"/>
        <w:bidi w:val="0"/>
        <w:spacing w:before="0" w:after="0" w:line="240" w:lineRule="auto"/>
        <w:ind w:left="0" w:right="0" w:firstLine="0"/>
        <w:jc w:val="center"/>
      </w:pPr>
      <w:bookmarkStart w:id="152" w:name="bookmark152"/>
      <w:bookmarkStart w:id="153" w:name="bookmark153"/>
      <w:bookmarkStart w:id="154" w:name="bookmark154"/>
      <w:r>
        <w:rPr>
          <w:color w:val="000000"/>
          <w:spacing w:val="0"/>
          <w:w w:val="100"/>
          <w:position w:val="0"/>
          <w:shd w:val="clear" w:color="auto" w:fill="auto"/>
          <w:lang w:val="cs-CZ" w:eastAsia="cs-CZ" w:bidi="cs-CZ"/>
        </w:rPr>
        <w:t>Prohlášení pojistníka, registr smluv, zpracování osobních údajů</w:t>
      </w:r>
      <w:bookmarkEnd w:id="152"/>
      <w:bookmarkEnd w:id="153"/>
      <w:bookmarkEnd w:id="154"/>
    </w:p>
    <w:p>
      <w:pPr>
        <w:pStyle w:val="Style31"/>
        <w:keepNext/>
        <w:keepLines/>
        <w:widowControl w:val="0"/>
        <w:numPr>
          <w:ilvl w:val="0"/>
          <w:numId w:val="29"/>
        </w:numPr>
        <w:shd w:val="clear" w:color="auto" w:fill="auto"/>
        <w:tabs>
          <w:tab w:pos="400" w:val="left"/>
        </w:tabs>
        <w:bidi w:val="0"/>
        <w:spacing w:before="0" w:after="60" w:line="286" w:lineRule="auto"/>
        <w:ind w:left="0" w:right="0" w:firstLine="0"/>
        <w:jc w:val="left"/>
      </w:pPr>
      <w:bookmarkStart w:id="155" w:name="bookmark155"/>
      <w:bookmarkStart w:id="156" w:name="bookmark156"/>
      <w:bookmarkStart w:id="157" w:name="bookmark157"/>
      <w:bookmarkStart w:id="158" w:name="bookmark158"/>
      <w:bookmarkEnd w:id="157"/>
      <w:r>
        <w:rPr>
          <w:color w:val="000000"/>
          <w:spacing w:val="0"/>
          <w:w w:val="100"/>
          <w:position w:val="0"/>
          <w:shd w:val="clear" w:color="auto" w:fill="auto"/>
          <w:lang w:val="cs-CZ" w:eastAsia="cs-CZ" w:bidi="cs-CZ"/>
        </w:rPr>
        <w:t>Prohlášení pojistníka</w:t>
      </w:r>
      <w:bookmarkEnd w:id="155"/>
      <w:bookmarkEnd w:id="156"/>
      <w:bookmarkEnd w:id="158"/>
    </w:p>
    <w:p>
      <w:pPr>
        <w:pStyle w:val="Style9"/>
        <w:keepNext w:val="0"/>
        <w:keepLines w:val="0"/>
        <w:widowControl w:val="0"/>
        <w:numPr>
          <w:ilvl w:val="1"/>
          <w:numId w:val="29"/>
        </w:numPr>
        <w:shd w:val="clear" w:color="auto" w:fill="auto"/>
        <w:tabs>
          <w:tab w:pos="418" w:val="left"/>
        </w:tabs>
        <w:bidi w:val="0"/>
        <w:spacing w:before="0" w:line="286" w:lineRule="auto"/>
        <w:ind w:left="420" w:right="0" w:hanging="420"/>
        <w:jc w:val="both"/>
      </w:pPr>
      <w:bookmarkStart w:id="159" w:name="bookmark159"/>
      <w:bookmarkEnd w:id="159"/>
      <w:r>
        <w:rPr>
          <w:color w:val="000000"/>
          <w:spacing w:val="0"/>
          <w:w w:val="100"/>
          <w:position w:val="0"/>
          <w:shd w:val="clear" w:color="auto" w:fill="auto"/>
          <w:lang w:val="cs-CZ" w:eastAsia="cs-CZ" w:bidi="cs-CZ"/>
        </w:rPr>
        <w:t>Pojistník potvrzuje, že v dostatečném předstihu před uzavřením tohoto dodatku převzal v Listinné nebo, s jeho souhlasem, v jiné textové podobě (např. na trvalém nosiči dat) Informace pro klienta, jejichž součástí jsou Informace o zpracování osobních údajů v neživotním pojištění, a seznámil se s nimi. Pojistník si je vědom, že se jedná o důležité informace, které mu napomohou porozumět podmínkám sjednávaného pojištění, obsahují upozornění na důležité aspekty pojištění i významná ustanovení pojistných podmínek.</w:t>
      </w:r>
    </w:p>
    <w:p>
      <w:pPr>
        <w:pStyle w:val="Style9"/>
        <w:keepNext w:val="0"/>
        <w:keepLines w:val="0"/>
        <w:widowControl w:val="0"/>
        <w:numPr>
          <w:ilvl w:val="1"/>
          <w:numId w:val="29"/>
        </w:numPr>
        <w:shd w:val="clear" w:color="auto" w:fill="auto"/>
        <w:tabs>
          <w:tab w:pos="418" w:val="left"/>
        </w:tabs>
        <w:bidi w:val="0"/>
        <w:spacing w:before="0"/>
        <w:ind w:left="420" w:right="0" w:hanging="420"/>
        <w:jc w:val="both"/>
      </w:pPr>
      <w:bookmarkStart w:id="160" w:name="bookmark160"/>
      <w:bookmarkEnd w:id="160"/>
      <w:r>
        <w:rPr>
          <w:color w:val="000000"/>
          <w:spacing w:val="0"/>
          <w:w w:val="100"/>
          <w:position w:val="0"/>
          <w:shd w:val="clear" w:color="auto" w:fill="auto"/>
          <w:lang w:val="cs-CZ" w:eastAsia="cs-CZ" w:bidi="cs-CZ"/>
        </w:rPr>
        <w:t>Pojistník potvrzuje, že v dostatečném předstihu před uzavřením tohoto dodatku převzal v listinné nebo jiné textové podobě (např. na trvalém nosiči dat) dokumenty uvedené v čl. I. bodu 2. této pojistné smlouvy ve znění tohoto dodatku a seznámil se s nimi. Pojistník si je vědom, že tyto dokumenty tvoří nedílnou součást této pojistné smlouvy ve znění tohoto dodatku a upravují rozsah pojištění, jeho omezení (včetně výluk), práva a povinnosti účastníků pojištění a následky jejich porušení a další podmínky pojištění a pojistník je jimi vázán stejně jako pojistnou smlouvou.</w:t>
      </w:r>
    </w:p>
    <w:p>
      <w:pPr>
        <w:pStyle w:val="Style9"/>
        <w:keepNext w:val="0"/>
        <w:keepLines w:val="0"/>
        <w:widowControl w:val="0"/>
        <w:numPr>
          <w:ilvl w:val="1"/>
          <w:numId w:val="29"/>
        </w:numPr>
        <w:shd w:val="clear" w:color="auto" w:fill="auto"/>
        <w:tabs>
          <w:tab w:pos="1143" w:val="left"/>
        </w:tabs>
        <w:bidi w:val="0"/>
        <w:spacing w:before="0"/>
        <w:ind w:left="1100" w:right="0" w:hanging="380"/>
        <w:jc w:val="both"/>
      </w:pPr>
      <w:bookmarkStart w:id="161" w:name="bookmark161"/>
      <w:bookmarkEnd w:id="161"/>
      <w:r>
        <w:rPr>
          <w:color w:val="000000"/>
          <w:spacing w:val="0"/>
          <w:w w:val="100"/>
          <w:position w:val="0"/>
          <w:shd w:val="clear" w:color="auto" w:fill="auto"/>
          <w:lang w:val="cs-CZ" w:eastAsia="cs-CZ" w:bidi="cs-CZ"/>
        </w:rPr>
        <w:t>Pojistník potvrzuje, že adresa jeho sídla/bydliště/trvalého pobytu a kontakty elektronické komunikace uvedené v tomto dodatku jsou aktuální, 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jeho sídla/bydliště/trvalého pobytu nebo kontaktů elektronické komunikace v době trvání této pojistné smlouvy. Tím není dotčena možnost používání jiných údajů uvedených v dříve uzavřených pojistných smlouvách.</w:t>
      </w:r>
    </w:p>
    <w:p>
      <w:pPr>
        <w:pStyle w:val="Style9"/>
        <w:keepNext w:val="0"/>
        <w:keepLines w:val="0"/>
        <w:widowControl w:val="0"/>
        <w:numPr>
          <w:ilvl w:val="1"/>
          <w:numId w:val="29"/>
        </w:numPr>
        <w:shd w:val="clear" w:color="auto" w:fill="auto"/>
        <w:tabs>
          <w:tab w:pos="1143" w:val="left"/>
        </w:tabs>
        <w:bidi w:val="0"/>
        <w:spacing w:before="0"/>
        <w:ind w:left="1100" w:right="0" w:hanging="380"/>
        <w:jc w:val="both"/>
      </w:pPr>
      <w:bookmarkStart w:id="162" w:name="bookmark162"/>
      <w:bookmarkEnd w:id="162"/>
      <w:r>
        <w:rPr>
          <w:color w:val="000000"/>
          <w:spacing w:val="0"/>
          <w:w w:val="100"/>
          <w:position w:val="0"/>
          <w:shd w:val="clear" w:color="auto" w:fill="auto"/>
          <w:lang w:val="cs-CZ" w:eastAsia="cs-CZ" w:bidi="cs-CZ"/>
        </w:rPr>
        <w:t>Pojistník prohlašuje, že má oprávněnou potřebu ochrany před následky pojistné události (pojistný zájem). Pojistník, je-li osobou odlišnou od pojištěného, dále prohlašuje, že mu pojištění dali souhlas k pojištění.</w:t>
      </w:r>
    </w:p>
    <w:p>
      <w:pPr>
        <w:pStyle w:val="Style9"/>
        <w:keepNext w:val="0"/>
        <w:keepLines w:val="0"/>
        <w:widowControl w:val="0"/>
        <w:numPr>
          <w:ilvl w:val="1"/>
          <w:numId w:val="29"/>
        </w:numPr>
        <w:shd w:val="clear" w:color="auto" w:fill="auto"/>
        <w:tabs>
          <w:tab w:pos="1143" w:val="left"/>
        </w:tabs>
        <w:bidi w:val="0"/>
        <w:spacing w:before="0" w:line="276" w:lineRule="auto"/>
        <w:ind w:left="1100" w:right="0" w:hanging="380"/>
        <w:jc w:val="both"/>
      </w:pPr>
      <w:bookmarkStart w:id="163" w:name="bookmark163"/>
      <w:bookmarkEnd w:id="163"/>
      <w:r>
        <w:rPr>
          <w:color w:val="000000"/>
          <w:spacing w:val="0"/>
          <w:w w:val="100"/>
          <w:position w:val="0"/>
          <w:shd w:val="clear" w:color="auto" w:fill="auto"/>
          <w:lang w:val="cs-CZ" w:eastAsia="cs-CZ" w:bidi="cs-CZ"/>
        </w:rPr>
        <w:t>Pojistník prohlašuje, že věci nebo jiné hodnoty pojistného zájmu pojištěné touto pojistnou smlouvou ve znění tohoto dodatku nejsou k datu uzavření tohoto dodatku pojištěny proti stejným nebezpečím u jiného pojistitele, pokud není v pojistné smlouvě ve znění tohoto dodatku výslovně uvedeno jinak.</w:t>
      </w:r>
    </w:p>
    <w:p>
      <w:pPr>
        <w:pStyle w:val="Style31"/>
        <w:keepNext/>
        <w:keepLines/>
        <w:widowControl w:val="0"/>
        <w:numPr>
          <w:ilvl w:val="0"/>
          <w:numId w:val="29"/>
        </w:numPr>
        <w:shd w:val="clear" w:color="auto" w:fill="auto"/>
        <w:tabs>
          <w:tab w:pos="1125" w:val="left"/>
        </w:tabs>
        <w:bidi w:val="0"/>
        <w:spacing w:before="0" w:after="60" w:line="283" w:lineRule="auto"/>
        <w:ind w:left="0" w:right="0" w:firstLine="700"/>
        <w:jc w:val="left"/>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Registr smluv</w:t>
      </w:r>
      <w:bookmarkEnd w:id="164"/>
      <w:bookmarkEnd w:id="165"/>
      <w:bookmarkEnd w:id="167"/>
    </w:p>
    <w:p>
      <w:pPr>
        <w:pStyle w:val="Style9"/>
        <w:keepNext w:val="0"/>
        <w:keepLines w:val="0"/>
        <w:widowControl w:val="0"/>
        <w:numPr>
          <w:ilvl w:val="1"/>
          <w:numId w:val="29"/>
        </w:numPr>
        <w:shd w:val="clear" w:color="auto" w:fill="auto"/>
        <w:tabs>
          <w:tab w:pos="1125" w:val="left"/>
        </w:tabs>
        <w:bidi w:val="0"/>
        <w:spacing w:before="0" w:line="286" w:lineRule="auto"/>
        <w:ind w:left="1100" w:right="0" w:hanging="400"/>
        <w:jc w:val="both"/>
      </w:pPr>
      <w:bookmarkStart w:id="168" w:name="bookmark168"/>
      <w:bookmarkEnd w:id="168"/>
      <w:r>
        <w:rPr>
          <w:color w:val="000000"/>
          <w:spacing w:val="0"/>
          <w:w w:val="100"/>
          <w:position w:val="0"/>
          <w:shd w:val="clear" w:color="auto" w:fill="auto"/>
          <w:lang w:val="cs-CZ" w:eastAsia="cs-CZ" w:bidi="cs-CZ"/>
        </w:rPr>
        <w:t xml:space="preserve">Pokud výše uvedená pojistná smlouva, resp. dodatek k pojistné smlouvě (dále jen </w:t>
      </w:r>
      <w:r>
        <w:rPr>
          <w:b/>
          <w:bCs/>
          <w:color w:val="000000"/>
          <w:spacing w:val="0"/>
          <w:w w:val="100"/>
          <w:position w:val="0"/>
          <w:shd w:val="clear" w:color="auto" w:fill="auto"/>
          <w:lang w:val="cs-CZ" w:eastAsia="cs-CZ" w:bidi="cs-CZ"/>
        </w:rPr>
        <w:t xml:space="preserve">„smlouva") </w:t>
      </w:r>
      <w:r>
        <w:rPr>
          <w:color w:val="000000"/>
          <w:spacing w:val="0"/>
          <w:w w:val="100"/>
          <w:position w:val="0"/>
          <w:shd w:val="clear" w:color="auto" w:fill="auto"/>
          <w:lang w:val="cs-CZ" w:eastAsia="cs-CZ" w:bidi="cs-CZ"/>
        </w:rPr>
        <w:t xml:space="preserve">podléhá povinnosti uveřejnění v registru smluv (dále jen </w:t>
      </w:r>
      <w:r>
        <w:rPr>
          <w:b/>
          <w:bCs/>
          <w:color w:val="000000"/>
          <w:spacing w:val="0"/>
          <w:w w:val="100"/>
          <w:position w:val="0"/>
          <w:shd w:val="clear" w:color="auto" w:fill="auto"/>
          <w:lang w:val="cs-CZ" w:eastAsia="cs-CZ" w:bidi="cs-CZ"/>
        </w:rPr>
        <w:t xml:space="preserve">„registr") </w:t>
      </w:r>
      <w:r>
        <w:rPr>
          <w:color w:val="000000"/>
          <w:spacing w:val="0"/>
          <w:w w:val="100"/>
          <w:position w:val="0"/>
          <w:shd w:val="clear" w:color="auto" w:fill="auto"/>
          <w:lang w:val="cs-CZ" w:eastAsia="cs-CZ" w:bidi="cs-CZ"/>
        </w:rPr>
        <w:t>ve smyslu zákona č. 340/2015 Sb., zavazuje se pojistník k jejímu uveřejnění v rozsahu, způsobem a ve Lhůtách stanovených citovaným zákonem. To nezbavuje pojistitele práva, aby smlouvu uveřejnil v registru sám, s čímž pojistník souhlasí. Pokud je pojistník odlišný od pojištěného, pojistník dále potvrzuje, že každý pojištěný souhlasil s uveřejněním smlouvy.</w:t>
      </w:r>
    </w:p>
    <w:p>
      <w:pPr>
        <w:pStyle w:val="Style9"/>
        <w:keepNext w:val="0"/>
        <w:keepLines w:val="0"/>
        <w:widowControl w:val="0"/>
        <w:shd w:val="clear" w:color="auto" w:fill="auto"/>
        <w:bidi w:val="0"/>
        <w:spacing w:before="0"/>
        <w:ind w:left="1100" w:right="0" w:firstLine="20"/>
        <w:jc w:val="both"/>
      </w:pPr>
      <w:r>
        <w:rPr>
          <w:color w:val="000000"/>
          <w:spacing w:val="0"/>
          <w:w w:val="100"/>
          <w:position w:val="0"/>
          <w:shd w:val="clear" w:color="auto" w:fill="auto"/>
          <w:lang w:val="cs-CZ" w:eastAsia="cs-CZ" w:bidi="cs-CZ"/>
        </w:rPr>
        <w:t xml:space="preserve">Při vyplnění formuláře pro uveřejnění smlouvy v registru je pojistník povinen vyplnit údaje o pojistiteli (jako smluvní straně), do pole </w:t>
      </w:r>
      <w:r>
        <w:rPr>
          <w:b/>
          <w:bCs/>
          <w:color w:val="000000"/>
          <w:spacing w:val="0"/>
          <w:w w:val="100"/>
          <w:position w:val="0"/>
          <w:shd w:val="clear" w:color="auto" w:fill="auto"/>
          <w:lang w:val="cs-CZ" w:eastAsia="cs-CZ" w:bidi="cs-CZ"/>
        </w:rPr>
        <w:t xml:space="preserve">„Datová schránka“ </w:t>
      </w:r>
      <w:r>
        <w:rPr>
          <w:color w:val="000000"/>
          <w:spacing w:val="0"/>
          <w:w w:val="100"/>
          <w:position w:val="0"/>
          <w:shd w:val="clear" w:color="auto" w:fill="auto"/>
          <w:lang w:val="cs-CZ" w:eastAsia="cs-CZ" w:bidi="cs-CZ"/>
        </w:rPr>
        <w:t xml:space="preserve">uvést: </w:t>
      </w:r>
      <w:r>
        <w:rPr>
          <w:b/>
          <w:bCs/>
          <w:color w:val="000000"/>
          <w:spacing w:val="0"/>
          <w:w w:val="100"/>
          <w:position w:val="0"/>
          <w:shd w:val="clear" w:color="auto" w:fill="auto"/>
          <w:lang w:val="cs-CZ" w:eastAsia="cs-CZ" w:bidi="cs-CZ"/>
        </w:rPr>
        <w:t xml:space="preserve">n6tetn3 </w:t>
      </w:r>
      <w:r>
        <w:rPr>
          <w:color w:val="000000"/>
          <w:spacing w:val="0"/>
          <w:w w:val="100"/>
          <w:position w:val="0"/>
          <w:shd w:val="clear" w:color="auto" w:fill="auto"/>
          <w:lang w:val="cs-CZ" w:eastAsia="cs-CZ" w:bidi="cs-CZ"/>
        </w:rPr>
        <w:t xml:space="preserve">a do pole </w:t>
      </w:r>
      <w:r>
        <w:rPr>
          <w:b/>
          <w:bCs/>
          <w:color w:val="000000"/>
          <w:spacing w:val="0"/>
          <w:w w:val="100"/>
          <w:position w:val="0"/>
          <w:shd w:val="clear" w:color="auto" w:fill="auto"/>
          <w:lang w:val="cs-CZ" w:eastAsia="cs-CZ" w:bidi="cs-CZ"/>
        </w:rPr>
        <w:t xml:space="preserve">„Číslo smlouvy" </w:t>
      </w:r>
      <w:r>
        <w:rPr>
          <w:color w:val="000000"/>
          <w:spacing w:val="0"/>
          <w:w w:val="100"/>
          <w:position w:val="0"/>
          <w:shd w:val="clear" w:color="auto" w:fill="auto"/>
          <w:lang w:val="cs-CZ" w:eastAsia="cs-CZ" w:bidi="cs-CZ"/>
        </w:rPr>
        <w:t>uvést číslo této pojistné smlouvy.</w:t>
      </w:r>
    </w:p>
    <w:p>
      <w:pPr>
        <w:pStyle w:val="Style9"/>
        <w:keepNext w:val="0"/>
        <w:keepLines w:val="0"/>
        <w:widowControl w:val="0"/>
        <w:shd w:val="clear" w:color="auto" w:fill="auto"/>
        <w:bidi w:val="0"/>
        <w:spacing w:before="0"/>
        <w:ind w:left="1100" w:right="0" w:firstLine="20"/>
        <w:jc w:val="both"/>
      </w:pPr>
      <w:r>
        <w:rPr>
          <w:color w:val="000000"/>
          <w:spacing w:val="0"/>
          <w:w w:val="100"/>
          <w:position w:val="0"/>
          <w:shd w:val="clear" w:color="auto" w:fill="auto"/>
          <w:lang w:val="cs-CZ" w:eastAsia="cs-CZ" w:bidi="cs-CZ"/>
        </w:rPr>
        <w:t>Pojistník se dále zavazuje, že před zasláním smlouvy k uveřejnění zajistí znečitelnění neuveřejnitelných informací (např. osobních údajů o fyzických osobách).</w:t>
      </w:r>
    </w:p>
    <w:p>
      <w:pPr>
        <w:pStyle w:val="Style9"/>
        <w:keepNext w:val="0"/>
        <w:keepLines w:val="0"/>
        <w:widowControl w:val="0"/>
        <w:shd w:val="clear" w:color="auto" w:fill="auto"/>
        <w:bidi w:val="0"/>
        <w:spacing w:before="0" w:after="400"/>
        <w:ind w:left="1100" w:right="0" w:firstLine="20"/>
        <w:jc w:val="both"/>
      </w:pPr>
      <w:r>
        <w:rPr>
          <w:color w:val="000000"/>
          <w:spacing w:val="0"/>
          <w:w w:val="100"/>
          <w:position w:val="0"/>
          <w:shd w:val="clear" w:color="auto" w:fill="auto"/>
          <w:lang w:val="cs-CZ" w:eastAsia="cs-CZ" w:bidi="cs-CZ"/>
        </w:rPr>
        <w:t>Smluvní strany se dohodly, že ode dne nabytí účinnosti smlouvy (resp. dodatku) jejím zveřejněním v registru se účinky pojištění, včetně práv a povinností z něj vyplývajících, vztahují i na období od data uvedeného jako počátek pojištění (resp. od data uvedeného jako počátek změn provedených dodatkem, jde-li o účinky dodatku) do budoucna.</w:t>
      </w:r>
    </w:p>
    <w:p>
      <w:pPr>
        <w:pStyle w:val="Style31"/>
        <w:keepNext/>
        <w:keepLines/>
        <w:widowControl w:val="0"/>
        <w:numPr>
          <w:ilvl w:val="0"/>
          <w:numId w:val="29"/>
        </w:numPr>
        <w:shd w:val="clear" w:color="auto" w:fill="auto"/>
        <w:tabs>
          <w:tab w:pos="1125" w:val="left"/>
        </w:tabs>
        <w:bidi w:val="0"/>
        <w:spacing w:before="0" w:after="60" w:line="283" w:lineRule="auto"/>
        <w:ind w:left="0" w:right="0" w:firstLine="700"/>
        <w:jc w:val="left"/>
      </w:pPr>
      <w:bookmarkStart w:id="169" w:name="bookmark169"/>
      <w:bookmarkStart w:id="170" w:name="bookmark170"/>
      <w:bookmarkStart w:id="171" w:name="bookmark171"/>
      <w:bookmarkStart w:id="172" w:name="bookmark172"/>
      <w:bookmarkEnd w:id="171"/>
      <w:r>
        <w:rPr>
          <w:color w:val="000000"/>
          <w:spacing w:val="0"/>
          <w:w w:val="100"/>
          <w:position w:val="0"/>
          <w:shd w:val="clear" w:color="auto" w:fill="auto"/>
          <w:lang w:val="cs-CZ" w:eastAsia="cs-CZ" w:bidi="cs-CZ"/>
        </w:rPr>
        <w:t>ZPRACOVÁNÍ OSOBNÍCH ÚDAJŮ</w:t>
      </w:r>
      <w:bookmarkEnd w:id="169"/>
      <w:bookmarkEnd w:id="170"/>
      <w:bookmarkEnd w:id="172"/>
    </w:p>
    <w:p>
      <w:pPr>
        <w:pStyle w:val="Style9"/>
        <w:keepNext w:val="0"/>
        <w:keepLines w:val="0"/>
        <w:widowControl w:val="0"/>
        <w:shd w:val="clear" w:color="auto" w:fill="auto"/>
        <w:bidi w:val="0"/>
        <w:spacing w:before="0"/>
        <w:ind w:left="1100" w:right="0" w:firstLine="20"/>
        <w:jc w:val="both"/>
      </w:pPr>
      <w:r>
        <w:rPr>
          <w:color w:val="000000"/>
          <w:spacing w:val="0"/>
          <w:w w:val="100"/>
          <w:position w:val="0"/>
          <w:shd w:val="clear" w:color="auto" w:fill="auto"/>
          <w:lang w:val="cs-CZ" w:eastAsia="cs-CZ" w:bidi="cs-CZ"/>
        </w:rPr>
        <w:t xml:space="preserve">V následující části jsou uvedeny základní informace o zpracování Vašich osobních údajů. Tyto informace se na Vás uplatní, pokud jste fyzickou osobou, a to s výjimkou bodu 3.2., který se na Vás uplatní i pokud jste právnickou osobou. Více informací, včetně způsobu odvolání souhlasu, možnosti podání námitky v případě zpracování na základě oprávněného zájmu, práva na přístup a dalších práv, naleznete v dokumentu Informace o zpracování osobních údajů v neživotním pojištění, který je trvale dostupný na webové stránce </w:t>
      </w:r>
      <w:r>
        <w:fldChar w:fldCharType="begin"/>
      </w:r>
      <w:r>
        <w:rPr/>
        <w:instrText> HYPERLINK "http://www.koop.cz/" </w:instrText>
      </w:r>
      <w:r>
        <w:fldChar w:fldCharType="separate"/>
      </w:r>
      <w:r>
        <w:rPr>
          <w:color w:val="325F90"/>
          <w:spacing w:val="0"/>
          <w:w w:val="100"/>
          <w:position w:val="0"/>
          <w:shd w:val="clear" w:color="auto" w:fill="auto"/>
          <w:lang w:val="cs-CZ" w:eastAsia="cs-CZ" w:bidi="cs-CZ"/>
        </w:rPr>
        <w:t>www.koop.cz</w:t>
      </w:r>
      <w:r>
        <w:fldChar w:fldCharType="end"/>
      </w:r>
      <w:r>
        <w:rPr>
          <w:color w:val="325F9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v sekci „0 pojišťovně Kooperativa".</w:t>
      </w:r>
    </w:p>
    <w:p>
      <w:pPr>
        <w:pStyle w:val="Style9"/>
        <w:keepNext w:val="0"/>
        <w:keepLines w:val="0"/>
        <w:widowControl w:val="0"/>
        <w:numPr>
          <w:ilvl w:val="1"/>
          <w:numId w:val="29"/>
        </w:numPr>
        <w:shd w:val="clear" w:color="auto" w:fill="auto"/>
        <w:tabs>
          <w:tab w:pos="1125" w:val="left"/>
        </w:tabs>
        <w:bidi w:val="0"/>
        <w:spacing w:before="0"/>
        <w:ind w:left="0" w:right="0" w:firstLine="700"/>
        <w:jc w:val="left"/>
      </w:pPr>
      <w:bookmarkStart w:id="173" w:name="bookmark173"/>
      <w:bookmarkEnd w:id="173"/>
      <w:r>
        <w:rPr>
          <w:b/>
          <w:bCs/>
          <w:color w:val="000000"/>
          <w:spacing w:val="0"/>
          <w:w w:val="100"/>
          <w:position w:val="0"/>
          <w:shd w:val="clear" w:color="auto" w:fill="auto"/>
          <w:lang w:val="cs-CZ" w:eastAsia="cs-CZ" w:bidi="cs-CZ"/>
        </w:rPr>
        <w:t>INFORMACE O ZPRACOVÁNÍ OSOBNÍCH ÚDAJŮ BEZ VAŠEHO SOUHLASU</w:t>
      </w:r>
    </w:p>
    <w:p>
      <w:pPr>
        <w:pStyle w:val="Style23"/>
        <w:keepNext w:val="0"/>
        <w:keepLines w:val="0"/>
        <w:widowControl w:val="0"/>
        <w:shd w:val="clear" w:color="auto" w:fill="auto"/>
        <w:bidi w:val="0"/>
        <w:spacing w:before="0" w:after="60" w:line="240" w:lineRule="auto"/>
        <w:ind w:left="1100" w:right="0" w:firstLine="0"/>
        <w:jc w:val="left"/>
      </w:pPr>
      <w:r>
        <w:rPr>
          <w:color w:val="000000"/>
          <w:spacing w:val="0"/>
          <w:w w:val="100"/>
          <w:position w:val="0"/>
          <w:shd w:val="clear" w:color="auto" w:fill="auto"/>
          <w:lang w:val="cs-CZ" w:eastAsia="cs-CZ" w:bidi="cs-CZ"/>
        </w:rPr>
        <w:t>Zpracování na základě plnění smlouvy a oprávněných zájmů pojistitele</w:t>
      </w:r>
    </w:p>
    <w:p>
      <w:pPr>
        <w:pStyle w:val="Style9"/>
        <w:keepNext w:val="0"/>
        <w:keepLines w:val="0"/>
        <w:widowControl w:val="0"/>
        <w:shd w:val="clear" w:color="auto" w:fill="auto"/>
        <w:bidi w:val="0"/>
        <w:spacing w:before="0" w:line="288" w:lineRule="auto"/>
        <w:ind w:left="1100" w:right="0" w:firstLine="20"/>
        <w:jc w:val="both"/>
      </w:pPr>
      <w:r>
        <w:rPr>
          <w:color w:val="000000"/>
          <w:spacing w:val="0"/>
          <w:w w:val="100"/>
          <w:position w:val="0"/>
          <w:shd w:val="clear" w:color="auto" w:fill="auto"/>
          <w:lang w:val="cs-CZ" w:eastAsia="cs-CZ" w:bidi="cs-CZ"/>
        </w:rPr>
        <w:t>Pojistník bere na vědomí, že jeho identifikační a kontaktní údaje, údaje pro ocenění rizika při vstupu do pojištění a údaje o využívání služeb zpracovává pojistitel:</w:t>
      </w:r>
    </w:p>
    <w:p>
      <w:pPr>
        <w:pStyle w:val="Style9"/>
        <w:keepNext w:val="0"/>
        <w:keepLines w:val="0"/>
        <w:widowControl w:val="0"/>
        <w:numPr>
          <w:ilvl w:val="0"/>
          <w:numId w:val="13"/>
        </w:numPr>
        <w:shd w:val="clear" w:color="auto" w:fill="auto"/>
        <w:tabs>
          <w:tab w:pos="1341" w:val="left"/>
        </w:tabs>
        <w:bidi w:val="0"/>
        <w:spacing w:before="0" w:line="276" w:lineRule="auto"/>
        <w:ind w:left="1360" w:right="0" w:hanging="240"/>
        <w:jc w:val="both"/>
      </w:pPr>
      <w:bookmarkStart w:id="174" w:name="bookmark174"/>
      <w:bookmarkEnd w:id="174"/>
      <w:r>
        <w:rPr>
          <w:color w:val="000000"/>
          <w:spacing w:val="0"/>
          <w:w w:val="100"/>
          <w:position w:val="0"/>
          <w:shd w:val="clear" w:color="auto" w:fill="auto"/>
          <w:lang w:val="cs-CZ" w:eastAsia="cs-CZ" w:bidi="cs-CZ"/>
        </w:rPr>
        <w:t xml:space="preserve">pro účely </w:t>
      </w:r>
      <w:r>
        <w:rPr>
          <w:i/>
          <w:iCs/>
          <w:color w:val="000000"/>
          <w:spacing w:val="0"/>
          <w:w w:val="100"/>
          <w:position w:val="0"/>
          <w:shd w:val="clear" w:color="auto" w:fill="auto"/>
          <w:lang w:val="cs-CZ" w:eastAsia="cs-CZ" w:bidi="cs-CZ"/>
        </w:rPr>
        <w:t>kalkulace, návrhu a uzavření pojistné smlouvy, posouzení přijatelnosti do pojištění, správy a ukončení pojistné smlouvy a likvidace pojistných událostí,</w:t>
      </w:r>
      <w:r>
        <w:rPr>
          <w:color w:val="000000"/>
          <w:spacing w:val="0"/>
          <w:w w:val="100"/>
          <w:position w:val="0"/>
          <w:shd w:val="clear" w:color="auto" w:fill="auto"/>
          <w:lang w:val="cs-CZ" w:eastAsia="cs-CZ" w:bidi="cs-CZ"/>
        </w:rPr>
        <w:t xml:space="preserve"> když v těchto případech jde o zpracování nezbytné pro </w:t>
      </w:r>
      <w:r>
        <w:rPr>
          <w:b/>
          <w:bCs/>
          <w:color w:val="000000"/>
          <w:spacing w:val="0"/>
          <w:w w:val="100"/>
          <w:position w:val="0"/>
          <w:shd w:val="clear" w:color="auto" w:fill="auto"/>
          <w:lang w:val="cs-CZ" w:eastAsia="cs-CZ" w:bidi="cs-CZ"/>
        </w:rPr>
        <w:t xml:space="preserve">plnění smlouvy, </w:t>
      </w:r>
      <w:r>
        <w:rPr>
          <w:color w:val="000000"/>
          <w:spacing w:val="0"/>
          <w:w w:val="100"/>
          <w:position w:val="0"/>
          <w:shd w:val="clear" w:color="auto" w:fill="auto"/>
          <w:lang w:val="cs-CZ" w:eastAsia="cs-CZ" w:bidi="cs-CZ"/>
        </w:rPr>
        <w:t>a</w:t>
      </w:r>
    </w:p>
    <w:p>
      <w:pPr>
        <w:pStyle w:val="Style9"/>
        <w:keepNext w:val="0"/>
        <w:keepLines w:val="0"/>
        <w:widowControl w:val="0"/>
        <w:numPr>
          <w:ilvl w:val="0"/>
          <w:numId w:val="13"/>
        </w:numPr>
        <w:shd w:val="clear" w:color="auto" w:fill="auto"/>
        <w:tabs>
          <w:tab w:pos="1341" w:val="left"/>
        </w:tabs>
        <w:bidi w:val="0"/>
        <w:spacing w:before="0" w:line="286" w:lineRule="auto"/>
        <w:ind w:left="1360" w:right="0" w:hanging="240"/>
        <w:jc w:val="both"/>
      </w:pPr>
      <w:bookmarkStart w:id="175" w:name="bookmark175"/>
      <w:bookmarkEnd w:id="175"/>
      <w:r>
        <w:rPr>
          <w:color w:val="000000"/>
          <w:spacing w:val="0"/>
          <w:w w:val="100"/>
          <w:position w:val="0"/>
          <w:shd w:val="clear" w:color="auto" w:fill="auto"/>
          <w:lang w:val="cs-CZ" w:eastAsia="cs-CZ" w:bidi="cs-CZ"/>
        </w:rPr>
        <w:t xml:space="preserve">pro účely </w:t>
      </w:r>
      <w:r>
        <w:rPr>
          <w:i/>
          <w:iCs/>
          <w:color w:val="000000"/>
          <w:spacing w:val="0"/>
          <w:w w:val="100"/>
          <w:position w:val="0"/>
          <w:shd w:val="clear" w:color="auto" w:fill="auto"/>
          <w:lang w:val="cs-CZ" w:eastAsia="cs-CZ" w:bidi="cs-CZ"/>
        </w:rPr>
        <w:t>zajištěni řádného nastavení a plnění smluvních vztahů s pojistníkem, zajištění a soupojištění, statistiky a cenotvorby produktů, ochrany právních nároků pojistitele a prevence a odhalování pojistných podvodů a jiných protiprávních jednání,</w:t>
      </w:r>
      <w:r>
        <w:rPr>
          <w:color w:val="000000"/>
          <w:spacing w:val="0"/>
          <w:w w:val="100"/>
          <w:position w:val="0"/>
          <w:shd w:val="clear" w:color="auto" w:fill="auto"/>
          <w:lang w:val="cs-CZ" w:eastAsia="cs-CZ" w:bidi="cs-CZ"/>
        </w:rPr>
        <w:t xml:space="preserve"> když v těchto případech jde o zpracování založené na základě </w:t>
      </w:r>
      <w:r>
        <w:rPr>
          <w:b/>
          <w:bCs/>
          <w:color w:val="000000"/>
          <w:spacing w:val="0"/>
          <w:w w:val="100"/>
          <w:position w:val="0"/>
          <w:shd w:val="clear" w:color="auto" w:fill="auto"/>
          <w:lang w:val="cs-CZ" w:eastAsia="cs-CZ" w:bidi="cs-CZ"/>
        </w:rPr>
        <w:t xml:space="preserve">oprávněných zájmů </w:t>
      </w:r>
      <w:r>
        <w:rPr>
          <w:color w:val="000000"/>
          <w:spacing w:val="0"/>
          <w:w w:val="100"/>
          <w:position w:val="0"/>
          <w:shd w:val="clear" w:color="auto" w:fill="auto"/>
          <w:lang w:val="cs-CZ" w:eastAsia="cs-CZ" w:bidi="cs-CZ"/>
        </w:rPr>
        <w:t>pojistitele. Proti takovému zpracování máte právo kdykoli podat námitku, která může být uplatněna způsobem uvedeným v Informacích o zpracování osobních údajů v neživotním pojištění.</w:t>
      </w:r>
    </w:p>
    <w:p>
      <w:pPr>
        <w:pStyle w:val="Style9"/>
        <w:keepNext w:val="0"/>
        <w:keepLines w:val="0"/>
        <w:widowControl w:val="0"/>
        <w:shd w:val="clear" w:color="auto" w:fill="auto"/>
        <w:bidi w:val="0"/>
        <w:spacing w:before="0"/>
        <w:ind w:left="1020" w:right="0" w:firstLine="0"/>
        <w:jc w:val="both"/>
      </w:pPr>
      <w:r>
        <w:rPr>
          <w:b/>
          <w:bCs/>
          <w:color w:val="000000"/>
          <w:spacing w:val="0"/>
          <w:w w:val="100"/>
          <w:position w:val="0"/>
          <w:shd w:val="clear" w:color="auto" w:fill="auto"/>
          <w:lang w:val="cs-CZ" w:eastAsia="cs-CZ" w:bidi="cs-CZ"/>
        </w:rPr>
        <w:t>Zpracování pro účely plnění zákonné povinnosti</w:t>
      </w:r>
    </w:p>
    <w:p>
      <w:pPr>
        <w:pStyle w:val="Style9"/>
        <w:keepNext w:val="0"/>
        <w:keepLines w:val="0"/>
        <w:widowControl w:val="0"/>
        <w:shd w:val="clear" w:color="auto" w:fill="auto"/>
        <w:bidi w:val="0"/>
        <w:spacing w:before="0" w:line="286" w:lineRule="auto"/>
        <w:ind w:left="1020" w:right="0" w:firstLine="0"/>
        <w:jc w:val="both"/>
      </w:pPr>
      <w:r>
        <w:rPr>
          <w:color w:val="000000"/>
          <w:spacing w:val="0"/>
          <w:w w:val="100"/>
          <w:position w:val="0"/>
          <w:shd w:val="clear" w:color="auto" w:fill="auto"/>
          <w:lang w:val="cs-CZ" w:eastAsia="cs-CZ" w:bidi="cs-CZ"/>
        </w:rPr>
        <w:t xml:space="preserve">Pojistník bere na vědomí, že jeho identifikační a kontaktní údaje a údaje pro ocenění rizika při vstupu do pojištění pojistitel dále zpracovává ke </w:t>
      </w:r>
      <w:r>
        <w:rPr>
          <w:b/>
          <w:bCs/>
          <w:color w:val="000000"/>
          <w:spacing w:val="0"/>
          <w:w w:val="100"/>
          <w:position w:val="0"/>
          <w:shd w:val="clear" w:color="auto" w:fill="auto"/>
          <w:lang w:val="cs-CZ" w:eastAsia="cs-CZ" w:bidi="cs-CZ"/>
        </w:rPr>
        <w:t xml:space="preserve">splnění své zákonné povinnosti </w:t>
      </w:r>
      <w:r>
        <w:rPr>
          <w:color w:val="000000"/>
          <w:spacing w:val="0"/>
          <w:w w:val="100"/>
          <w:position w:val="0"/>
          <w:shd w:val="clear" w:color="auto" w:fill="auto"/>
          <w:lang w:val="cs-CZ" w:eastAsia="cs-CZ" w:bidi="cs-CZ"/>
        </w:rPr>
        <w:t>vyplývající zejména ze zákona upravujícího distribuci pojištění a zákona č. 69/2006 Sb., o provádění mezinárodních sankcí.</w:t>
      </w:r>
    </w:p>
    <w:p>
      <w:pPr>
        <w:pStyle w:val="Style31"/>
        <w:keepNext/>
        <w:keepLines/>
        <w:widowControl w:val="0"/>
        <w:numPr>
          <w:ilvl w:val="1"/>
          <w:numId w:val="29"/>
        </w:numPr>
        <w:shd w:val="clear" w:color="auto" w:fill="auto"/>
        <w:tabs>
          <w:tab w:pos="1125" w:val="left"/>
        </w:tabs>
        <w:bidi w:val="0"/>
        <w:spacing w:before="0" w:after="60" w:line="283" w:lineRule="auto"/>
        <w:ind w:left="0" w:right="0" w:firstLine="700"/>
        <w:jc w:val="left"/>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POVINNOST POJISTNÍKA INFORMOVAT TŘETÍ OSOBY</w:t>
      </w:r>
      <w:bookmarkEnd w:id="176"/>
      <w:bookmarkEnd w:id="177"/>
      <w:bookmarkEnd w:id="179"/>
    </w:p>
    <w:p>
      <w:pPr>
        <w:pStyle w:val="Style9"/>
        <w:keepNext w:val="0"/>
        <w:keepLines w:val="0"/>
        <w:widowControl w:val="0"/>
        <w:shd w:val="clear" w:color="auto" w:fill="auto"/>
        <w:bidi w:val="0"/>
        <w:spacing w:before="0"/>
        <w:ind w:left="1100" w:right="0" w:firstLine="20"/>
        <w:jc w:val="both"/>
      </w:pPr>
      <w:r>
        <w:rPr>
          <w:color w:val="000000"/>
          <w:spacing w:val="0"/>
          <w:w w:val="100"/>
          <w:position w:val="0"/>
          <w:shd w:val="clear" w:color="auto" w:fill="auto"/>
          <w:lang w:val="cs-CZ" w:eastAsia="cs-CZ" w:bidi="cs-CZ"/>
        </w:rPr>
        <w:t>Pojistník se zavazuje informovat každého pojištěného, jenž je osobou odlišnou od pojistníka, a případné další osoby, které uvedl v pojistné smlouvě ve znění tohoto dodatku, o zpracování jejich osobních údajů.</w:t>
      </w:r>
    </w:p>
    <w:p>
      <w:pPr>
        <w:pStyle w:val="Style31"/>
        <w:keepNext/>
        <w:keepLines/>
        <w:widowControl w:val="0"/>
        <w:numPr>
          <w:ilvl w:val="1"/>
          <w:numId w:val="29"/>
        </w:numPr>
        <w:shd w:val="clear" w:color="auto" w:fill="auto"/>
        <w:tabs>
          <w:tab w:pos="1125" w:val="left"/>
        </w:tabs>
        <w:bidi w:val="0"/>
        <w:spacing w:before="0" w:after="60" w:line="283" w:lineRule="auto"/>
        <w:ind w:left="0" w:right="0" w:firstLine="700"/>
        <w:jc w:val="left"/>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INFORMACE O ZPRACOVÁNÍ OSOBNÍCH ÚDAJŮ ZÁSTUPCE POJISTNÍKA</w:t>
      </w:r>
      <w:bookmarkEnd w:id="180"/>
      <w:bookmarkEnd w:id="181"/>
      <w:bookmarkEnd w:id="183"/>
    </w:p>
    <w:p>
      <w:pPr>
        <w:pStyle w:val="Style9"/>
        <w:keepNext w:val="0"/>
        <w:keepLines w:val="0"/>
        <w:widowControl w:val="0"/>
        <w:shd w:val="clear" w:color="auto" w:fill="auto"/>
        <w:bidi w:val="0"/>
        <w:spacing w:before="0"/>
        <w:ind w:left="1100" w:right="0" w:firstLine="20"/>
        <w:jc w:val="both"/>
      </w:pPr>
      <w:r>
        <w:rPr>
          <w:color w:val="000000"/>
          <w:spacing w:val="0"/>
          <w:w w:val="100"/>
          <w:position w:val="0"/>
          <w:shd w:val="clear" w:color="auto" w:fill="auto"/>
          <w:lang w:val="cs-CZ" w:eastAsia="cs-CZ" w:bidi="cs-CZ"/>
        </w:rPr>
        <w:t xml:space="preserve">Zástupce právnické osoby, zákonný zástupce nebo jiná osoba oprávněná zastupovat pojistníka bere na vědomí, že její identifikační a kontaktní údaje pojistitel zpracovává na základě </w:t>
      </w:r>
      <w:r>
        <w:rPr>
          <w:b/>
          <w:bCs/>
          <w:color w:val="000000"/>
          <w:spacing w:val="0"/>
          <w:w w:val="100"/>
          <w:position w:val="0"/>
          <w:shd w:val="clear" w:color="auto" w:fill="auto"/>
          <w:lang w:val="cs-CZ" w:eastAsia="cs-CZ" w:bidi="cs-CZ"/>
        </w:rPr>
        <w:t xml:space="preserve">oprávněného zájmu </w:t>
      </w:r>
      <w:r>
        <w:rPr>
          <w:color w:val="000000"/>
          <w:spacing w:val="0"/>
          <w:w w:val="100"/>
          <w:position w:val="0"/>
          <w:shd w:val="clear" w:color="auto" w:fill="auto"/>
          <w:lang w:val="cs-CZ" w:eastAsia="cs-CZ" w:bidi="cs-CZ"/>
        </w:rPr>
        <w:t xml:space="preserve">pro účely </w:t>
      </w:r>
      <w:r>
        <w:rPr>
          <w:i/>
          <w:iCs/>
          <w:color w:val="000000"/>
          <w:spacing w:val="0"/>
          <w:w w:val="100"/>
          <w:position w:val="0"/>
          <w:shd w:val="clear" w:color="auto" w:fill="auto"/>
          <w:lang w:val="cs-CZ" w:eastAsia="cs-CZ" w:bidi="cs-CZ"/>
        </w:rPr>
        <w:t>kalkulace, návrhu a uzavření pojistné smlouvy, správy a ukončení pojistné smlouvy, likvidace pojistných událostí, zajištění a soupojištění, ochrany právních nároků pojistitele a prevence a odhalování pojistných podvodů a jiných protiprávních jednání.</w:t>
      </w:r>
      <w:r>
        <w:rPr>
          <w:color w:val="000000"/>
          <w:spacing w:val="0"/>
          <w:w w:val="100"/>
          <w:position w:val="0"/>
          <w:shd w:val="clear" w:color="auto" w:fill="auto"/>
          <w:lang w:val="cs-CZ" w:eastAsia="cs-CZ" w:bidi="cs-CZ"/>
        </w:rPr>
        <w:t xml:space="preserve"> Proti takovému zpracování má taková osoba právo kdykoli podat námitku, která může být uplatněna způsobem uvedeným v Informacích o zpracování osobních údajů v neživotním pojištění.</w:t>
      </w:r>
    </w:p>
    <w:p>
      <w:pPr>
        <w:pStyle w:val="Style9"/>
        <w:keepNext w:val="0"/>
        <w:keepLines w:val="0"/>
        <w:widowControl w:val="0"/>
        <w:shd w:val="clear" w:color="auto" w:fill="auto"/>
        <w:bidi w:val="0"/>
        <w:spacing w:before="0"/>
        <w:ind w:left="1100" w:right="0" w:firstLine="20"/>
        <w:jc w:val="both"/>
      </w:pPr>
      <w:r>
        <w:rPr>
          <w:b/>
          <w:bCs/>
          <w:color w:val="000000"/>
          <w:spacing w:val="0"/>
          <w:w w:val="100"/>
          <w:position w:val="0"/>
          <w:shd w:val="clear" w:color="auto" w:fill="auto"/>
          <w:lang w:val="cs-CZ" w:eastAsia="cs-CZ" w:bidi="cs-CZ"/>
        </w:rPr>
        <w:t>Zpracování pro účely plnění zákonné povinnosti</w:t>
      </w:r>
    </w:p>
    <w:p>
      <w:pPr>
        <w:pStyle w:val="Style9"/>
        <w:keepNext w:val="0"/>
        <w:keepLines w:val="0"/>
        <w:widowControl w:val="0"/>
        <w:shd w:val="clear" w:color="auto" w:fill="auto"/>
        <w:bidi w:val="0"/>
        <w:spacing w:before="0" w:after="200" w:line="286" w:lineRule="auto"/>
        <w:ind w:left="1100" w:right="0" w:firstLine="20"/>
        <w:jc w:val="both"/>
      </w:pPr>
      <w:r>
        <w:rPr>
          <w:color w:val="000000"/>
          <w:spacing w:val="0"/>
          <w:w w:val="100"/>
          <w:position w:val="0"/>
          <w:shd w:val="clear" w:color="auto" w:fill="auto"/>
          <w:lang w:val="cs-CZ" w:eastAsia="cs-CZ" w:bidi="cs-CZ"/>
        </w:rPr>
        <w:t xml:space="preserve">Zástupce právnické osoby, zákonný zástupce nebo jiná osoba oprávněná zastupovat pojistníka bere na vědomí, že identifikační a kontaktní údaje pojistitel dále zpracovává ke </w:t>
      </w:r>
      <w:r>
        <w:rPr>
          <w:b/>
          <w:bCs/>
          <w:color w:val="000000"/>
          <w:spacing w:val="0"/>
          <w:w w:val="100"/>
          <w:position w:val="0"/>
          <w:shd w:val="clear" w:color="auto" w:fill="auto"/>
          <w:lang w:val="cs-CZ" w:eastAsia="cs-CZ" w:bidi="cs-CZ"/>
        </w:rPr>
        <w:t xml:space="preserve">splnění své zákonné povinnosti </w:t>
      </w:r>
      <w:r>
        <w:rPr>
          <w:color w:val="000000"/>
          <w:spacing w:val="0"/>
          <w:w w:val="100"/>
          <w:position w:val="0"/>
          <w:shd w:val="clear" w:color="auto" w:fill="auto"/>
          <w:lang w:val="cs-CZ" w:eastAsia="cs-CZ" w:bidi="cs-CZ"/>
        </w:rPr>
        <w:t>vyplývající zejména ze zákona upravujícího distribuci pojištění a zákona č. 69/2006 Sb., o provádění mezinárodních sankcí.</w:t>
      </w:r>
    </w:p>
    <w:p>
      <w:pPr>
        <w:pStyle w:val="Style9"/>
        <w:keepNext w:val="0"/>
        <w:keepLines w:val="0"/>
        <w:widowControl w:val="0"/>
        <w:shd w:val="clear" w:color="auto" w:fill="auto"/>
        <w:bidi w:val="0"/>
        <w:spacing w:before="0"/>
        <w:ind w:left="1100" w:right="0" w:firstLine="20"/>
        <w:jc w:val="both"/>
      </w:pPr>
      <w:r>
        <w:rPr>
          <w:b/>
          <w:bCs/>
          <w:color w:val="000000"/>
          <w:spacing w:val="0"/>
          <w:w w:val="100"/>
          <w:position w:val="0"/>
          <w:shd w:val="clear" w:color="auto" w:fill="auto"/>
          <w:lang w:val="cs-CZ" w:eastAsia="cs-CZ" w:bidi="cs-CZ"/>
        </w:rPr>
        <w:t>Podpisem tohoto dodatku potvrzujete, že jste se důkladně seznámil se smyslem a obsahem souhlasu se zpracováním osobních údajů a že jste se před jejich udělením seznámil s dokumentem Informace o zpracování osobních údajů v neživotním pojištění, zejména s bližší identifikací dalších správců, rozsahem zpracovávaných údajů, právními základy (důvody), účely a dobou zpracování osobních údajů, způsobem odvolání souhlasu a právy, která Vám v této souvislostí náleží.</w:t>
      </w:r>
    </w:p>
    <w:p>
      <w:pPr>
        <w:pStyle w:val="Style27"/>
        <w:keepNext/>
        <w:keepLines/>
        <w:widowControl w:val="0"/>
        <w:shd w:val="clear" w:color="auto" w:fill="auto"/>
        <w:bidi w:val="0"/>
        <w:spacing w:before="0" w:after="60" w:line="240" w:lineRule="auto"/>
        <w:ind w:left="0" w:right="0" w:firstLine="0"/>
        <w:jc w:val="center"/>
      </w:pPr>
      <w:bookmarkStart w:id="184" w:name="bookmark184"/>
      <w:bookmarkStart w:id="185" w:name="bookmark185"/>
      <w:bookmarkStart w:id="186" w:name="bookmark186"/>
      <w:r>
        <w:rPr>
          <w:color w:val="000000"/>
          <w:spacing w:val="0"/>
          <w:w w:val="100"/>
          <w:position w:val="0"/>
          <w:shd w:val="clear" w:color="auto" w:fill="auto"/>
          <w:lang w:val="cs-CZ" w:eastAsia="cs-CZ" w:bidi="cs-CZ"/>
        </w:rPr>
        <w:t>Článek VII.</w:t>
      </w:r>
      <w:bookmarkEnd w:id="184"/>
      <w:bookmarkEnd w:id="185"/>
      <w:bookmarkEnd w:id="186"/>
    </w:p>
    <w:p>
      <w:pPr>
        <w:pStyle w:val="Style27"/>
        <w:keepNext/>
        <w:keepLines/>
        <w:widowControl w:val="0"/>
        <w:shd w:val="clear" w:color="auto" w:fill="auto"/>
        <w:bidi w:val="0"/>
        <w:spacing w:before="0" w:after="60" w:line="240" w:lineRule="auto"/>
        <w:ind w:left="0" w:right="0" w:firstLine="0"/>
        <w:jc w:val="center"/>
      </w:pPr>
      <w:bookmarkStart w:id="187" w:name="bookmark187"/>
      <w:bookmarkStart w:id="188" w:name="bookmark188"/>
      <w:bookmarkStart w:id="189" w:name="bookmark189"/>
      <w:r>
        <w:rPr>
          <w:color w:val="000000"/>
          <w:spacing w:val="0"/>
          <w:w w:val="100"/>
          <w:position w:val="0"/>
          <w:shd w:val="clear" w:color="auto" w:fill="auto"/>
          <w:lang w:val="cs-CZ" w:eastAsia="cs-CZ" w:bidi="cs-CZ"/>
        </w:rPr>
        <w:t>Závěrečná ustanovení</w:t>
      </w:r>
      <w:bookmarkEnd w:id="187"/>
      <w:bookmarkEnd w:id="188"/>
      <w:bookmarkEnd w:id="189"/>
    </w:p>
    <w:p>
      <w:pPr>
        <w:pStyle w:val="Style9"/>
        <w:keepNext w:val="0"/>
        <w:keepLines w:val="0"/>
        <w:widowControl w:val="0"/>
        <w:numPr>
          <w:ilvl w:val="0"/>
          <w:numId w:val="31"/>
        </w:numPr>
        <w:shd w:val="clear" w:color="auto" w:fill="auto"/>
        <w:tabs>
          <w:tab w:pos="1133" w:val="left"/>
        </w:tabs>
        <w:bidi w:val="0"/>
        <w:spacing w:before="0" w:line="286" w:lineRule="auto"/>
        <w:ind w:left="0" w:right="0" w:firstLine="720"/>
        <w:jc w:val="left"/>
      </w:pPr>
      <w:bookmarkStart w:id="190" w:name="bookmark190"/>
      <w:bookmarkEnd w:id="190"/>
      <w:r>
        <w:rPr>
          <w:color w:val="000000"/>
          <w:spacing w:val="0"/>
          <w:w w:val="100"/>
          <w:position w:val="0"/>
          <w:shd w:val="clear" w:color="auto" w:fill="auto"/>
          <w:lang w:val="cs-CZ" w:eastAsia="cs-CZ" w:bidi="cs-CZ"/>
        </w:rPr>
        <w:t xml:space="preserve">Není-li ujednáno jinak, je pojistnou dobou doba </w:t>
      </w:r>
      <w:r>
        <w:rPr>
          <w:b/>
          <w:bCs/>
          <w:color w:val="000000"/>
          <w:spacing w:val="0"/>
          <w:w w:val="100"/>
          <w:position w:val="0"/>
          <w:shd w:val="clear" w:color="auto" w:fill="auto"/>
          <w:lang w:val="cs-CZ" w:eastAsia="cs-CZ" w:bidi="cs-CZ"/>
        </w:rPr>
        <w:t xml:space="preserve">od 01.02.2017 </w:t>
      </w:r>
      <w:r>
        <w:rPr>
          <w:color w:val="000000"/>
          <w:spacing w:val="0"/>
          <w:w w:val="100"/>
          <w:position w:val="0"/>
          <w:shd w:val="clear" w:color="auto" w:fill="auto"/>
          <w:lang w:val="cs-CZ" w:eastAsia="cs-CZ" w:bidi="cs-CZ"/>
        </w:rPr>
        <w:t xml:space="preserve">(počátek pojištění) </w:t>
      </w:r>
      <w:r>
        <w:rPr>
          <w:b/>
          <w:bCs/>
          <w:color w:val="000000"/>
          <w:spacing w:val="0"/>
          <w:w w:val="100"/>
          <w:position w:val="0"/>
          <w:shd w:val="clear" w:color="auto" w:fill="auto"/>
          <w:lang w:val="cs-CZ" w:eastAsia="cs-CZ" w:bidi="cs-CZ"/>
        </w:rPr>
        <w:t xml:space="preserve">do 31.01.2025 </w:t>
      </w:r>
      <w:r>
        <w:rPr>
          <w:color w:val="000000"/>
          <w:spacing w:val="0"/>
          <w:w w:val="100"/>
          <w:position w:val="0"/>
          <w:shd w:val="clear" w:color="auto" w:fill="auto"/>
          <w:lang w:val="cs-CZ" w:eastAsia="cs-CZ" w:bidi="cs-CZ"/>
        </w:rPr>
        <w:t>(konec pojištění).</w:t>
      </w:r>
    </w:p>
    <w:p>
      <w:pPr>
        <w:pStyle w:val="Style9"/>
        <w:keepNext w:val="0"/>
        <w:keepLines w:val="0"/>
        <w:widowControl w:val="0"/>
        <w:shd w:val="clear" w:color="auto" w:fill="auto"/>
        <w:bidi w:val="0"/>
        <w:spacing w:before="0" w:after="200" w:line="286" w:lineRule="auto"/>
        <w:ind w:left="1120" w:right="0" w:firstLine="20"/>
        <w:jc w:val="both"/>
      </w:pPr>
      <w:r>
        <w:rPr>
          <w:color w:val="000000"/>
          <w:spacing w:val="0"/>
          <w:w w:val="100"/>
          <w:position w:val="0"/>
          <w:shd w:val="clear" w:color="auto" w:fill="auto"/>
          <w:lang w:val="cs-CZ" w:eastAsia="cs-CZ" w:bidi="cs-CZ"/>
        </w:rPr>
        <w:t xml:space="preserve">Pojistník a pojistitel se dohodli, že </w:t>
      </w:r>
      <w:r>
        <w:rPr>
          <w:b/>
          <w:bCs/>
          <w:color w:val="000000"/>
          <w:spacing w:val="0"/>
          <w:w w:val="100"/>
          <w:position w:val="0"/>
          <w:shd w:val="clear" w:color="auto" w:fill="auto"/>
          <w:lang w:val="cs-CZ" w:eastAsia="cs-CZ" w:bidi="cs-CZ"/>
        </w:rPr>
        <w:t xml:space="preserve">pojištění dle této pojistné smlouvy uplynutím pojistné doby nezaniká a pojištění/pojistná doba se prodlužuje vždy o jeden pojistný rok, </w:t>
      </w:r>
      <w:r>
        <w:rPr>
          <w:color w:val="000000"/>
          <w:spacing w:val="0"/>
          <w:w w:val="100"/>
          <w:position w:val="0"/>
          <w:shd w:val="clear" w:color="auto" w:fill="auto"/>
          <w:lang w:val="cs-CZ" w:eastAsia="cs-CZ" w:bidi="cs-CZ"/>
        </w:rPr>
        <w:t>pokud pojistitel nebo pojistník nejméně šest týdnů před uplynutím pojistné doby druhé straně písemnou formou nesdělí, že na dalším trvání pojištění nemá zájem.</w:t>
      </w:r>
    </w:p>
    <w:p>
      <w:pPr>
        <w:pStyle w:val="Style31"/>
        <w:keepNext/>
        <w:keepLines/>
        <w:widowControl w:val="0"/>
        <w:shd w:val="clear" w:color="auto" w:fill="auto"/>
        <w:bidi w:val="0"/>
        <w:spacing w:before="0" w:after="60" w:line="286" w:lineRule="auto"/>
        <w:ind w:left="1120" w:right="0" w:firstLine="20"/>
        <w:jc w:val="both"/>
      </w:pPr>
      <w:bookmarkStart w:id="191" w:name="bookmark191"/>
      <w:bookmarkStart w:id="192" w:name="bookmark192"/>
      <w:bookmarkStart w:id="193" w:name="bookmark193"/>
      <w:r>
        <w:rPr>
          <w:color w:val="B84B49"/>
          <w:spacing w:val="0"/>
          <w:w w:val="100"/>
          <w:position w:val="0"/>
          <w:shd w:val="clear" w:color="auto" w:fill="auto"/>
          <w:lang w:val="cs-CZ" w:eastAsia="cs-CZ" w:bidi="cs-CZ"/>
        </w:rPr>
        <w:t>Počátek změn provedených tímto dodatkem: 01.10.2025.</w:t>
      </w:r>
      <w:bookmarkEnd w:id="191"/>
      <w:bookmarkEnd w:id="192"/>
      <w:bookmarkEnd w:id="193"/>
    </w:p>
    <w:p>
      <w:pPr>
        <w:pStyle w:val="Style9"/>
        <w:keepNext w:val="0"/>
        <w:keepLines w:val="0"/>
        <w:widowControl w:val="0"/>
        <w:shd w:val="clear" w:color="auto" w:fill="auto"/>
        <w:bidi w:val="0"/>
        <w:spacing w:before="0" w:line="288" w:lineRule="auto"/>
        <w:ind w:left="1120" w:right="0" w:firstLine="20"/>
        <w:jc w:val="both"/>
      </w:pPr>
      <w:r>
        <w:rPr>
          <w:color w:val="000000"/>
          <w:spacing w:val="0"/>
          <w:w w:val="100"/>
          <w:position w:val="0"/>
          <w:shd w:val="clear" w:color="auto" w:fill="auto"/>
          <w:lang w:val="cs-CZ" w:eastAsia="cs-CZ" w:bidi="cs-CZ"/>
        </w:rPr>
        <w:t>Dodatek nabývá platnosti dnem jejího podpisu poslední ze smluvních stran, vrácením výtisku pojistiteli a účinnosti zveřejněním v Registru smluv.</w:t>
      </w:r>
    </w:p>
    <w:p>
      <w:pPr>
        <w:pStyle w:val="Style9"/>
        <w:keepNext w:val="0"/>
        <w:keepLines w:val="0"/>
        <w:widowControl w:val="0"/>
        <w:shd w:val="clear" w:color="auto" w:fill="auto"/>
        <w:bidi w:val="0"/>
        <w:spacing w:before="0"/>
        <w:ind w:left="1120" w:right="0" w:firstLine="20"/>
        <w:jc w:val="both"/>
      </w:pPr>
      <w:r>
        <w:rPr>
          <w:color w:val="000000"/>
          <w:spacing w:val="0"/>
          <w:w w:val="100"/>
          <w:position w:val="0"/>
          <w:shd w:val="clear" w:color="auto" w:fill="auto"/>
          <w:lang w:val="cs-CZ" w:eastAsia="cs-CZ" w:bidi="cs-CZ"/>
        </w:rPr>
        <w:t>Je-li tento dodatek uzavřen po datu uvedeném jako počátek změn provedených tímto dodatkem, vztahují se tímto dodatkem provedené změny a případná tímto dodatkem sjednaná nová pojištění i na dobu od data uvedeného jako počátek změn provedených tímto dodatkem do uzavření tohoto dodatku; pojistitel však v rozsahu těchto provedených změn nebo případných nových pojištění není povinen poskytnout plnění, pokud pojistník a/nebo pojištěný a/nebo oprávněná osoba a/nebo jiná osoba, která uplatňuje právo na plnění pojistitele, v době uzavření tohoto dodatku věděl(a) nebo s přihlédnutím ke všem okolnostem mohl(a) vědět, že již nastala skutečnost, která by se mohla stát důvodem vzniku práva na plnění pojistitele v rozsahu změn provedených tímto dodatkem nebo případných tímto dodatkem sjednaných nových pojištění, vyjma takových skutečností, které již byly pojistiteli jakoukoli z výše uvedených osob oznámeny před odesláním návrhu pojistitele na uzavření tohoto dodatku.</w:t>
      </w:r>
    </w:p>
    <w:p>
      <w:pPr>
        <w:pStyle w:val="Style9"/>
        <w:keepNext w:val="0"/>
        <w:keepLines w:val="0"/>
        <w:widowControl w:val="0"/>
        <w:numPr>
          <w:ilvl w:val="0"/>
          <w:numId w:val="31"/>
        </w:numPr>
        <w:shd w:val="clear" w:color="auto" w:fill="auto"/>
        <w:tabs>
          <w:tab w:pos="1133" w:val="left"/>
        </w:tabs>
        <w:bidi w:val="0"/>
        <w:spacing w:before="0"/>
        <w:ind w:left="1120" w:right="0" w:hanging="380"/>
        <w:jc w:val="both"/>
      </w:pPr>
      <w:bookmarkStart w:id="194" w:name="bookmark194"/>
      <w:bookmarkEnd w:id="194"/>
      <w:r>
        <w:rPr>
          <w:color w:val="000000"/>
          <w:spacing w:val="0"/>
          <w:w w:val="100"/>
          <w:position w:val="0"/>
          <w:shd w:val="clear" w:color="auto" w:fill="auto"/>
          <w:lang w:val="cs-CZ" w:eastAsia="cs-CZ" w:bidi="cs-CZ"/>
        </w:rPr>
        <w:t xml:space="preserve">Odpověď pojistníka na návrh pojistitele na uzavření tohoto dodatku (dále jen </w:t>
      </w:r>
      <w:r>
        <w:rPr>
          <w:b/>
          <w:bCs/>
          <w:color w:val="000000"/>
          <w:spacing w:val="0"/>
          <w:w w:val="100"/>
          <w:position w:val="0"/>
          <w:shd w:val="clear" w:color="auto" w:fill="auto"/>
          <w:lang w:val="cs-CZ" w:eastAsia="cs-CZ" w:bidi="cs-CZ"/>
        </w:rPr>
        <w:t xml:space="preserve">„nabídka") </w:t>
      </w:r>
      <w:r>
        <w:rPr>
          <w:color w:val="000000"/>
          <w:spacing w:val="0"/>
          <w:w w:val="100"/>
          <w:position w:val="0"/>
          <w:shd w:val="clear" w:color="auto" w:fill="auto"/>
          <w:lang w:val="cs-CZ" w:eastAsia="cs-CZ" w:bidi="cs-CZ"/>
        </w:rPr>
        <w:t>s dodatkem nebo odchylkou od nabídky se nepovažuje za její přijetí, a to ani v případě, že se takovou odchylkou podstatně nemění podmínky nabídky.</w:t>
      </w:r>
    </w:p>
    <w:p>
      <w:pPr>
        <w:pStyle w:val="Style9"/>
        <w:keepNext w:val="0"/>
        <w:keepLines w:val="0"/>
        <w:widowControl w:val="0"/>
        <w:numPr>
          <w:ilvl w:val="0"/>
          <w:numId w:val="31"/>
        </w:numPr>
        <w:shd w:val="clear" w:color="auto" w:fill="auto"/>
        <w:tabs>
          <w:tab w:pos="1133" w:val="left"/>
        </w:tabs>
        <w:bidi w:val="0"/>
        <w:spacing w:before="0" w:line="288" w:lineRule="auto"/>
        <w:ind w:left="1120" w:right="0" w:hanging="380"/>
        <w:jc w:val="both"/>
      </w:pPr>
      <w:bookmarkStart w:id="195" w:name="bookmark195"/>
      <w:bookmarkEnd w:id="195"/>
      <w:r>
        <w:rPr>
          <w:color w:val="000000"/>
          <w:spacing w:val="0"/>
          <w:w w:val="100"/>
          <w:position w:val="0"/>
          <w:shd w:val="clear" w:color="auto" w:fill="auto"/>
          <w:lang w:val="cs-CZ" w:eastAsia="cs-CZ" w:bidi="cs-CZ"/>
        </w:rPr>
        <w:t>Ujednává se, že tento dodatek musí být uzavřen pouze v písemné formě, a to i v případě, že je pojištění tímto dodatkem ujednáno na pojistnou dobu kratší než jeden rok. Tento dodatek může být měněn pouze písemnou formou.</w:t>
      </w:r>
    </w:p>
    <w:p>
      <w:pPr>
        <w:pStyle w:val="Style31"/>
        <w:keepNext/>
        <w:keepLines/>
        <w:widowControl w:val="0"/>
        <w:numPr>
          <w:ilvl w:val="0"/>
          <w:numId w:val="31"/>
        </w:numPr>
        <w:shd w:val="clear" w:color="auto" w:fill="auto"/>
        <w:tabs>
          <w:tab w:pos="1133" w:val="left"/>
        </w:tabs>
        <w:bidi w:val="0"/>
        <w:spacing w:before="0" w:after="60" w:line="288" w:lineRule="auto"/>
        <w:ind w:left="1120" w:right="0" w:hanging="38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Ujednává se, že je-li tento dodatek uzavírán elektronickými prostředky, musí být podepsán elektronickým podpisem ve smyslu příslušných právních předpisů.</w:t>
      </w:r>
      <w:bookmarkEnd w:id="196"/>
      <w:bookmarkEnd w:id="197"/>
      <w:bookmarkEnd w:id="199"/>
    </w:p>
    <w:p>
      <w:pPr>
        <w:pStyle w:val="Style9"/>
        <w:keepNext w:val="0"/>
        <w:keepLines w:val="0"/>
        <w:widowControl w:val="0"/>
        <w:numPr>
          <w:ilvl w:val="0"/>
          <w:numId w:val="31"/>
        </w:numPr>
        <w:shd w:val="clear" w:color="auto" w:fill="auto"/>
        <w:tabs>
          <w:tab w:pos="1133" w:val="left"/>
        </w:tabs>
        <w:bidi w:val="0"/>
        <w:spacing w:before="0" w:line="288" w:lineRule="auto"/>
        <w:ind w:left="1120" w:right="0" w:hanging="380"/>
        <w:jc w:val="both"/>
      </w:pPr>
      <w:bookmarkStart w:id="200" w:name="bookmark200"/>
      <w:bookmarkEnd w:id="200"/>
      <w:r>
        <w:rPr>
          <w:color w:val="000000"/>
          <w:spacing w:val="0"/>
          <w:w w:val="100"/>
          <w:position w:val="0"/>
          <w:shd w:val="clear" w:color="auto" w:fill="auto"/>
          <w:lang w:val="cs-CZ" w:eastAsia="cs-CZ" w:bidi="cs-CZ"/>
        </w:rPr>
        <w:t xml:space="preserve">Subjektem věcně příslušným k mimosoudnímu řešení spotřebitelských sporů z tohoto pojištění je Česká obchodní inspekce, Štěpánská 567/15,120 00 Praha 2, </w:t>
      </w:r>
      <w:r>
        <w:fldChar w:fldCharType="begin"/>
      </w:r>
      <w:r>
        <w:rPr/>
        <w:instrText> HYPERLINK "http://www.coi.cz/" </w:instrText>
      </w:r>
      <w:r>
        <w:fldChar w:fldCharType="separate"/>
      </w:r>
      <w:r>
        <w:rPr>
          <w:color w:val="325F90"/>
          <w:spacing w:val="0"/>
          <w:w w:val="100"/>
          <w:position w:val="0"/>
          <w:shd w:val="clear" w:color="auto" w:fill="auto"/>
          <w:lang w:val="cs-CZ" w:eastAsia="cs-CZ" w:bidi="cs-CZ"/>
        </w:rPr>
        <w:t>www.coi.cz</w:t>
      </w:r>
      <w:r>
        <w:fldChar w:fldCharType="end"/>
      </w:r>
      <w:r>
        <w:rPr>
          <w:color w:val="325F9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a Kancelář ombudsmana České asociace pojišťoven z.ú., Elišky Krásnohorské 135/7, 110 00 Praha 1, </w:t>
      </w:r>
      <w:r>
        <w:fldChar w:fldCharType="begin"/>
      </w:r>
      <w:r>
        <w:rPr/>
        <w:instrText> HYPERLINK "http://www.ombudsmancap.cz/" </w:instrText>
      </w:r>
      <w:r>
        <w:fldChar w:fldCharType="separate"/>
      </w:r>
      <w:r>
        <w:rPr>
          <w:color w:val="325F90"/>
          <w:spacing w:val="0"/>
          <w:w w:val="100"/>
          <w:position w:val="0"/>
          <w:shd w:val="clear" w:color="auto" w:fill="auto"/>
          <w:lang w:val="cs-CZ" w:eastAsia="cs-CZ" w:bidi="cs-CZ"/>
        </w:rPr>
        <w:t>www.ombudsmancap.cz</w:t>
      </w:r>
      <w:r>
        <w:fldChar w:fldCharType="end"/>
      </w:r>
      <w:r>
        <w:rPr>
          <w:color w:val="325F90"/>
          <w:spacing w:val="0"/>
          <w:w w:val="100"/>
          <w:position w:val="0"/>
          <w:shd w:val="clear" w:color="auto" w:fill="auto"/>
          <w:lang w:val="cs-CZ" w:eastAsia="cs-CZ" w:bidi="cs-CZ"/>
        </w:rPr>
        <w:t>.</w:t>
      </w:r>
    </w:p>
    <w:p>
      <w:pPr>
        <w:pStyle w:val="Style9"/>
        <w:keepNext w:val="0"/>
        <w:keepLines w:val="0"/>
        <w:widowControl w:val="0"/>
        <w:numPr>
          <w:ilvl w:val="0"/>
          <w:numId w:val="31"/>
        </w:numPr>
        <w:shd w:val="clear" w:color="auto" w:fill="auto"/>
        <w:tabs>
          <w:tab w:pos="1133" w:val="left"/>
        </w:tabs>
        <w:bidi w:val="0"/>
        <w:spacing w:before="0" w:line="286" w:lineRule="auto"/>
        <w:ind w:left="0" w:right="0" w:firstLine="720"/>
        <w:jc w:val="both"/>
      </w:pPr>
      <w:bookmarkStart w:id="201" w:name="bookmark201"/>
      <w:bookmarkEnd w:id="201"/>
      <w:r>
        <w:rPr>
          <w:color w:val="000000"/>
          <w:spacing w:val="0"/>
          <w:w w:val="100"/>
          <w:position w:val="0"/>
          <w:shd w:val="clear" w:color="auto" w:fill="auto"/>
          <w:lang w:val="cs-CZ" w:eastAsia="cs-CZ" w:bidi="cs-CZ"/>
        </w:rPr>
        <w:t>COMPLIANCE DOLOŽKA</w:t>
      </w:r>
    </w:p>
    <w:p>
      <w:pPr>
        <w:pStyle w:val="Style9"/>
        <w:keepNext w:val="0"/>
        <w:keepLines w:val="0"/>
        <w:widowControl w:val="0"/>
        <w:numPr>
          <w:ilvl w:val="0"/>
          <w:numId w:val="33"/>
        </w:numPr>
        <w:shd w:val="clear" w:color="auto" w:fill="auto"/>
        <w:tabs>
          <w:tab w:pos="1428" w:val="left"/>
        </w:tabs>
        <w:bidi w:val="0"/>
        <w:spacing w:before="0"/>
        <w:ind w:left="1120" w:right="0" w:firstLine="20"/>
        <w:jc w:val="both"/>
      </w:pPr>
      <w:bookmarkStart w:id="202" w:name="bookmark202"/>
      <w:bookmarkEnd w:id="20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í pří plnění této Smlouvy a veškerých činností s ní souvisejících.</w:t>
      </w:r>
    </w:p>
    <w:p>
      <w:pPr>
        <w:pStyle w:val="Style9"/>
        <w:keepNext w:val="0"/>
        <w:keepLines w:val="0"/>
        <w:widowControl w:val="0"/>
        <w:numPr>
          <w:ilvl w:val="0"/>
          <w:numId w:val="33"/>
        </w:numPr>
        <w:shd w:val="clear" w:color="auto" w:fill="auto"/>
        <w:tabs>
          <w:tab w:pos="1428" w:val="left"/>
        </w:tabs>
        <w:bidi w:val="0"/>
        <w:spacing w:before="0"/>
        <w:ind w:left="1120" w:right="0" w:firstLine="20"/>
        <w:jc w:val="both"/>
      </w:pPr>
      <w:bookmarkStart w:id="203" w:name="bookmark203"/>
      <w:bookmarkEnd w:id="20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33"/>
        </w:numPr>
        <w:shd w:val="clear" w:color="auto" w:fill="auto"/>
        <w:tabs>
          <w:tab w:pos="1428" w:val="left"/>
        </w:tabs>
        <w:bidi w:val="0"/>
        <w:spacing w:before="0" w:line="286" w:lineRule="auto"/>
        <w:ind w:left="1120" w:right="0" w:firstLine="20"/>
        <w:jc w:val="both"/>
      </w:pPr>
      <w:bookmarkStart w:id="204" w:name="bookmark204"/>
      <w:bookmarkEnd w:id="204"/>
      <w:r>
        <w:rPr>
          <w:color w:val="000000"/>
          <w:spacing w:val="0"/>
          <w:w w:val="100"/>
          <w:position w:val="0"/>
          <w:shd w:val="clear" w:color="auto" w:fill="auto"/>
          <w:lang w:val="cs-CZ" w:eastAsia="cs-CZ" w:bidi="cs-CZ"/>
        </w:rPr>
        <w:t xml:space="preserve">Pojistitel prohlašuje, že se seznámil se zásadami, hodnotami a cíli Compliance programu Povodí Ohře, s. p. (viz </w:t>
      </w:r>
      <w:r>
        <w:fldChar w:fldCharType="begin"/>
      </w:r>
      <w:r>
        <w:rPr/>
        <w:instrText> HYPERLINK "http://www.poh.cz/protikorupcni-a-compliance-program/d-1346/pl=1458" </w:instrText>
      </w:r>
      <w:r>
        <w:fldChar w:fldCharType="separate"/>
      </w:r>
      <w:r>
        <w:rPr>
          <w:color w:val="000000"/>
          <w:spacing w:val="0"/>
          <w:w w:val="100"/>
          <w:position w:val="0"/>
          <w:shd w:val="clear" w:color="auto" w:fill="auto"/>
          <w:lang w:val="cs-CZ" w:eastAsia="cs-CZ" w:bidi="cs-CZ"/>
        </w:rPr>
        <w:t>http://www.poh.cz/protikorupcni-a-compliance-program/d-1346/pl=1458</w:t>
      </w:r>
      <w:r>
        <w:fldChar w:fldCharType="end"/>
      </w:r>
      <w:r>
        <w:rPr>
          <w:color w:val="000000"/>
          <w:spacing w:val="0"/>
          <w:w w:val="100"/>
          <w:position w:val="0"/>
          <w:shd w:val="clear" w:color="auto" w:fill="auto"/>
          <w:lang w:val="cs-CZ" w:eastAsia="cs-CZ" w:bidi="cs-CZ"/>
        </w:rPr>
        <w:t>), dále s Etickým kodexem Povodí Ohře, státní podnik a Protíkorupčním programem Povodí Ohře, státní podnik. Pojistitel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33"/>
        </w:numPr>
        <w:shd w:val="clear" w:color="auto" w:fill="auto"/>
        <w:tabs>
          <w:tab w:pos="1428" w:val="left"/>
        </w:tabs>
        <w:bidi w:val="0"/>
        <w:spacing w:before="0" w:line="286" w:lineRule="auto"/>
        <w:ind w:left="1120" w:right="0" w:firstLine="20"/>
        <w:jc w:val="both"/>
      </w:pPr>
      <w:bookmarkStart w:id="205" w:name="bookmark205"/>
      <w:bookmarkEnd w:id="20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pojistným vztahem založeným touto pojistnou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31"/>
        </w:numPr>
        <w:shd w:val="clear" w:color="auto" w:fill="auto"/>
        <w:tabs>
          <w:tab w:pos="1133" w:val="left"/>
        </w:tabs>
        <w:bidi w:val="0"/>
        <w:spacing w:before="0" w:line="286" w:lineRule="auto"/>
        <w:ind w:left="1120" w:right="0" w:hanging="380"/>
        <w:jc w:val="both"/>
      </w:pPr>
      <w:bookmarkStart w:id="206" w:name="bookmark206"/>
      <w:bookmarkEnd w:id="206"/>
      <w:r>
        <w:rPr>
          <w:color w:val="000000"/>
          <w:spacing w:val="0"/>
          <w:w w:val="100"/>
          <w:position w:val="0"/>
          <w:shd w:val="clear" w:color="auto" w:fill="auto"/>
          <w:lang w:val="cs-CZ" w:eastAsia="cs-CZ" w:bidi="cs-CZ"/>
        </w:rPr>
        <w:t xml:space="preserve">Pojistník prohlašuje, že uzavřel se samostatným zprostředkovatelem smlouvu, na jejímž základě samostatný zprostředkovatel v postavení pojišťovacího makléře zprostředkovává pojištění pro pojistníka, a to v rozsahu této pojistné smlouvy ve znění tohoto dodatku. Smluvní strany se dohodly, že veškeré písemnosti mající vztah k pojištění sjednanému touto pojistnou smlouvou ve znění tohoto dodatku (s výjimkou písemností směřujících k ukončení pojištění ze strany pojistitele zasílaných pojistitelem s dodejkou, které budou zasílány na korespondenční adresu pojistníka) doručované pojistitelem pojístníkovi nebo pojištěnému se považují za doručené pojístníkovi nebo pojištěnému doručením samostatnému zprostředkovateli v postavení pojišťovacího makléře. </w:t>
      </w:r>
      <w:r>
        <w:rPr>
          <w:b/>
          <w:bCs/>
          <w:color w:val="000000"/>
          <w:spacing w:val="0"/>
          <w:w w:val="100"/>
          <w:position w:val="0"/>
          <w:shd w:val="clear" w:color="auto" w:fill="auto"/>
          <w:lang w:val="cs-CZ" w:eastAsia="cs-CZ" w:bidi="cs-CZ"/>
        </w:rPr>
        <w:t xml:space="preserve">Odchylně od čl. 18 VPP P-100/14 se pro tento případ „adresátem" rozumí samostatný zprostředkovatel v postavení pojišťovacího makléře. </w:t>
      </w:r>
      <w:r>
        <w:rPr>
          <w:color w:val="000000"/>
          <w:spacing w:val="0"/>
          <w:w w:val="100"/>
          <w:position w:val="0"/>
          <w:shd w:val="clear" w:color="auto" w:fill="auto"/>
          <w:lang w:val="cs-CZ" w:eastAsia="cs-CZ" w:bidi="cs-CZ"/>
        </w:rPr>
        <w:t xml:space="preserve">Dále se smluvní strany dohodly, že veškeré písemnosti mající vztah k pojištění sjednanému touto pojistnou smlouvou ve znění tohoto </w:t>
      </w:r>
      <w:r>
        <w:rPr>
          <w:color w:val="000000"/>
          <w:spacing w:val="0"/>
          <w:w w:val="100"/>
          <w:position w:val="0"/>
          <w:shd w:val="clear" w:color="auto" w:fill="auto"/>
          <w:lang w:val="cs-CZ" w:eastAsia="cs-CZ" w:bidi="cs-CZ"/>
        </w:rPr>
        <w:t>dodatku doručované samostatným zprostředkovatelem v postavení pojišťovacího makléře za pojistníka nebo pojištěného pojistiteli se považují za doručené pojistiteli od pojistníka nebo pojištěného, a to doručením pojistiteli</w:t>
      </w:r>
    </w:p>
    <w:p>
      <w:pPr>
        <w:pStyle w:val="Style9"/>
        <w:keepNext w:val="0"/>
        <w:keepLines w:val="0"/>
        <w:widowControl w:val="0"/>
        <w:numPr>
          <w:ilvl w:val="0"/>
          <w:numId w:val="31"/>
        </w:numPr>
        <w:shd w:val="clear" w:color="auto" w:fill="auto"/>
        <w:tabs>
          <w:tab w:pos="1123" w:val="left"/>
        </w:tabs>
        <w:bidi w:val="0"/>
        <w:spacing w:before="0" w:line="288" w:lineRule="auto"/>
        <w:ind w:left="1120" w:right="0" w:hanging="400"/>
        <w:jc w:val="left"/>
      </w:pPr>
      <w:bookmarkStart w:id="207" w:name="bookmark207"/>
      <w:bookmarkEnd w:id="207"/>
      <w:r>
        <w:rPr>
          <w:color w:val="000000"/>
          <w:spacing w:val="0"/>
          <w:w w:val="100"/>
          <w:position w:val="0"/>
          <w:shd w:val="clear" w:color="auto" w:fill="auto"/>
          <w:lang w:val="cs-CZ" w:eastAsia="cs-CZ" w:bidi="cs-CZ"/>
        </w:rPr>
        <w:t>Tento dodatek k pojistné smlouvě byl vypracován ve 4 stejnopisech, pojistník obdrží 1 stejnopis, pojistitel si ponechá 2 stejnopisy a samostatný zprostředkovatel v postavení pojišťovacího makléře obdrží 1 stejnopis.</w:t>
      </w:r>
    </w:p>
    <w:p>
      <w:pPr>
        <w:pStyle w:val="Style9"/>
        <w:keepNext w:val="0"/>
        <w:keepLines w:val="0"/>
        <w:widowControl w:val="0"/>
        <w:numPr>
          <w:ilvl w:val="0"/>
          <w:numId w:val="31"/>
        </w:numPr>
        <w:shd w:val="clear" w:color="auto" w:fill="auto"/>
        <w:tabs>
          <w:tab w:pos="1123" w:val="left"/>
        </w:tabs>
        <w:bidi w:val="0"/>
        <w:spacing w:before="0" w:after="0" w:line="288" w:lineRule="auto"/>
        <w:ind w:left="1120" w:right="0" w:hanging="400"/>
        <w:jc w:val="left"/>
      </w:pPr>
      <w:bookmarkStart w:id="208" w:name="bookmark208"/>
      <w:bookmarkEnd w:id="208"/>
      <w:r>
        <w:rPr>
          <w:color w:val="000000"/>
          <w:spacing w:val="0"/>
          <w:w w:val="100"/>
          <w:position w:val="0"/>
          <w:shd w:val="clear" w:color="auto" w:fill="auto"/>
          <w:lang w:val="cs-CZ" w:eastAsia="cs-CZ" w:bidi="cs-CZ"/>
        </w:rPr>
        <w:t xml:space="preserve">Tento dodatek obsahuje 13 stran, k pojistné smlouvě ve znění tohoto dodatku náleží 4 přílohy, z žádná není fyzicky přiložena k tomuto dodatku. Součástí pojistné smlouw ve znění tohoto dodatku jsou </w:t>
      </w:r>
      <w:r>
        <w:rPr>
          <w:b/>
          <w:bCs/>
          <w:color w:val="000000"/>
          <w:spacing w:val="0"/>
          <w:w w:val="100"/>
          <w:position w:val="0"/>
          <w:shd w:val="clear" w:color="auto" w:fill="auto"/>
          <w:lang w:val="cs-CZ" w:eastAsia="cs-CZ" w:bidi="cs-CZ"/>
        </w:rPr>
        <w:t>pojistné</w:t>
      </w:r>
    </w:p>
    <w:p>
      <w:pPr>
        <w:pStyle w:val="Style9"/>
        <w:keepNext w:val="0"/>
        <w:keepLines w:val="0"/>
        <w:widowControl w:val="0"/>
        <w:shd w:val="clear" w:color="auto" w:fill="auto"/>
        <w:bidi w:val="0"/>
        <w:spacing w:before="0" w:after="200" w:line="288" w:lineRule="auto"/>
        <w:ind w:left="0" w:right="0" w:firstLine="700"/>
        <w:jc w:val="left"/>
      </w:pPr>
      <w:r>
        <w:rPr>
          <w:color w:val="000000"/>
          <w:spacing w:val="0"/>
          <w:w w:val="100"/>
          <w:position w:val="0"/>
          <w:shd w:val="clear" w:color="auto" w:fill="auto"/>
          <w:lang w:val="cs-CZ" w:eastAsia="cs-CZ" w:bidi="cs-CZ"/>
        </w:rPr>
        <w:t>Podepsáno za pojistníka v Chomutově dne</w:t>
      </w:r>
      <w:r>
        <w:rPr>
          <w:color w:val="000000"/>
          <w:spacing w:val="0"/>
          <w:w w:val="100"/>
          <w:position w:val="0"/>
          <w:shd w:val="clear" w:color="auto" w:fill="auto"/>
          <w:vertAlign w:val="superscript"/>
          <w:lang w:val="cs-CZ" w:eastAsia="cs-CZ" w:bidi="cs-CZ"/>
        </w:rPr>
        <w:t>+</w:t>
      </w:r>
    </w:p>
    <w:p>
      <w:pPr>
        <w:pStyle w:val="Style9"/>
        <w:keepNext w:val="0"/>
        <w:keepLines w:val="0"/>
        <w:widowControl w:val="0"/>
        <w:shd w:val="clear" w:color="auto" w:fill="auto"/>
        <w:bidi w:val="0"/>
        <w:spacing w:before="0" w:after="0" w:line="288" w:lineRule="auto"/>
        <w:ind w:left="0" w:right="0" w:firstLine="0"/>
        <w:jc w:val="center"/>
      </w:pPr>
      <w:r>
        <w:rPr>
          <w:color w:val="000000"/>
          <w:spacing w:val="0"/>
          <w:w w:val="100"/>
          <w:position w:val="0"/>
          <w:shd w:val="clear" w:color="auto" w:fill="auto"/>
          <w:lang w:val="cs-CZ" w:eastAsia="cs-CZ" w:bidi="cs-CZ"/>
        </w:rPr>
        <w:t>v nepřítomnosti zmocněný zástupce</w:t>
      </w:r>
    </w:p>
    <w:p>
      <w:pPr>
        <w:pStyle w:val="Style9"/>
        <w:keepNext w:val="0"/>
        <w:keepLines w:val="0"/>
        <w:widowControl w:val="0"/>
        <w:shd w:val="clear" w:color="auto" w:fill="auto"/>
        <w:bidi w:val="0"/>
        <w:spacing w:before="0" w:after="0" w:line="288" w:lineRule="auto"/>
        <w:ind w:left="0" w:right="0" w:firstLine="0"/>
        <w:jc w:val="center"/>
      </w:pPr>
      <w:r>
        <w:rPr>
          <w:color w:val="000000"/>
          <w:spacing w:val="0"/>
          <w:w w:val="100"/>
          <w:position w:val="0"/>
          <w:shd w:val="clear" w:color="auto" w:fill="auto"/>
          <w:lang w:val="cs-CZ" w:eastAsia="cs-CZ" w:bidi="cs-CZ"/>
        </w:rPr>
        <w:t>s uvedením jména, funkce</w:t>
      </w:r>
    </w:p>
    <w:p>
      <w:pPr>
        <w:pStyle w:val="Style9"/>
        <w:keepNext w:val="0"/>
        <w:keepLines w:val="0"/>
        <w:widowControl w:val="0"/>
        <w:shd w:val="clear" w:color="auto" w:fill="auto"/>
        <w:bidi w:val="0"/>
        <w:spacing w:before="0" w:after="7120" w:line="288" w:lineRule="auto"/>
        <w:ind w:left="0" w:right="0" w:firstLine="0"/>
        <w:jc w:val="center"/>
      </w:pPr>
      <w:r>
        <w:rPr>
          <w:color w:val="000000"/>
          <w:spacing w:val="0"/>
          <w:w w:val="100"/>
          <w:position w:val="0"/>
          <w:shd w:val="clear" w:color="auto" w:fill="auto"/>
          <w:lang w:val="cs-CZ" w:eastAsia="cs-CZ" w:bidi="cs-CZ"/>
        </w:rPr>
        <w:t>a přiloženým zmocněním</w:t>
      </w:r>
    </w:p>
    <w:p>
      <w:pPr>
        <w:pStyle w:val="Style9"/>
        <w:keepNext w:val="0"/>
        <w:keepLines w:val="0"/>
        <w:widowControl w:val="0"/>
        <w:shd w:val="clear" w:color="auto" w:fill="auto"/>
        <w:bidi w:val="0"/>
        <w:spacing w:before="0" w:after="2820" w:line="240" w:lineRule="auto"/>
        <w:ind w:left="1120" w:right="0" w:firstLine="0"/>
        <w:jc w:val="left"/>
      </w:pPr>
      <w:r>
        <w:rPr>
          <w:b/>
          <w:bCs/>
          <w:color w:val="000000"/>
          <w:spacing w:val="0"/>
          <w:w w:val="100"/>
          <w:position w:val="0"/>
          <w:shd w:val="clear" w:color="auto" w:fill="auto"/>
          <w:lang w:val="cs-CZ" w:eastAsia="cs-CZ" w:bidi="cs-CZ"/>
        </w:rPr>
        <w:t>podmínky pojistitele uvedené v čl. I. této pojistné *</w:t>
      </w:r>
    </w:p>
    <w:p>
      <w:pPr>
        <w:pStyle w:val="Style9"/>
        <w:keepNext w:val="0"/>
        <w:keepLines w:val="0"/>
        <w:widowControl w:val="0"/>
        <w:shd w:val="clear" w:color="auto" w:fill="auto"/>
        <w:bidi w:val="0"/>
        <w:spacing w:before="0" w:after="0" w:line="271" w:lineRule="auto"/>
        <w:ind w:left="4420" w:right="0" w:hanging="3700"/>
        <w:jc w:val="left"/>
      </w:pPr>
      <w:r>
        <w:rPr>
          <w:color w:val="000000"/>
          <w:spacing w:val="0"/>
          <w:w w:val="100"/>
          <w:position w:val="0"/>
          <w:shd w:val="clear" w:color="auto" w:fill="auto"/>
          <w:lang w:val="cs-CZ" w:eastAsia="cs-CZ" w:bidi="cs-CZ"/>
        </w:rPr>
        <w:t xml:space="preserve">Podepsáno za pojistitele v Plzni 26.09.2025* . </w:t>
      </w:r>
      <w:r>
        <w:rPr>
          <w:color w:val="000000"/>
          <w:spacing w:val="0"/>
          <w:w w:val="100"/>
          <w:position w:val="0"/>
          <w:shd w:val="clear" w:color="auto" w:fill="auto"/>
          <w:vertAlign w:val="superscript"/>
          <w:lang w:val="cs-CZ" w:eastAsia="cs-CZ" w:bidi="cs-CZ"/>
        </w:rPr>
        <w:t>I</w:t>
      </w:r>
    </w:p>
    <w:sectPr>
      <w:footnotePr>
        <w:pos w:val="pageBottom"/>
        <w:numFmt w:val="decimal"/>
        <w:numRestart w:val="continuous"/>
      </w:footnotePr>
      <w:pgSz w:w="11957" w:h="16872"/>
      <w:pgMar w:top="790" w:left="827" w:right="780" w:bottom="729" w:header="362"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392430</wp:posOffset>
              </wp:positionH>
              <wp:positionV relativeFrom="page">
                <wp:posOffset>9980295</wp:posOffset>
              </wp:positionV>
              <wp:extent cx="3431540" cy="210820"/>
              <wp:wrapNone/>
              <wp:docPr id="11" name="Shape 11"/>
              <a:graphic xmlns:a="http://schemas.openxmlformats.org/drawingml/2006/main">
                <a:graphicData uri="http://schemas.microsoft.com/office/word/2010/wordprocessingShape">
                  <wps:wsp>
                    <wps:cNvSpPr txBox="1"/>
                    <wps:spPr>
                      <a:xfrm>
                        <a:ext cx="3431540" cy="210820"/>
                      </a:xfrm>
                      <a:prstGeom prst="rect"/>
                      <a:noFill/>
                    </wps:spPr>
                    <wps:txbx>
                      <w:txbxContent>
                        <w:p>
                          <w:pPr>
                            <w:pStyle w:val="Style15"/>
                            <w:keepNext w:val="0"/>
                            <w:keepLines w:val="0"/>
                            <w:widowControl w:val="0"/>
                            <w:shd w:val="clear" w:color="auto" w:fill="auto"/>
                            <w:tabs>
                              <w:tab w:pos="540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cs-CZ" w:eastAsia="cs-CZ" w:bidi="cs-CZ"/>
                            </w:rPr>
                            <w:t>VIG CZ:Důvěrné/Confidential</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7" type="#_x0000_t202" style="position:absolute;margin-left:30.900000000000002pt;margin-top:785.85000000000002pt;width:270.19999999999999pt;height:16.600000000000001pt;z-index:-188744062;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5404"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cs-CZ" w:eastAsia="cs-CZ" w:bidi="cs-CZ"/>
                      </w:rPr>
                      <w:t>VIG CZ:Důvěrné/Confidential</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3" behindDoc="1" locked="0" layoutInCell="1" allowOverlap="1">
              <wp:simplePos x="0" y="0"/>
              <wp:positionH relativeFrom="page">
                <wp:posOffset>296545</wp:posOffset>
              </wp:positionH>
              <wp:positionV relativeFrom="page">
                <wp:posOffset>10471150</wp:posOffset>
              </wp:positionV>
              <wp:extent cx="3468370" cy="204470"/>
              <wp:wrapNone/>
              <wp:docPr id="13" name="Shape 13"/>
              <a:graphic xmlns:a="http://schemas.openxmlformats.org/drawingml/2006/main">
                <a:graphicData uri="http://schemas.microsoft.com/office/word/2010/wordprocessingShape">
                  <wps:wsp>
                    <wps:cNvSpPr txBox="1"/>
                    <wps:spPr>
                      <a:xfrm>
                        <a:ext cx="3468370" cy="204470"/>
                      </a:xfrm>
                      <a:prstGeom prst="rect"/>
                      <a:noFill/>
                    </wps:spPr>
                    <wps:txbx>
                      <w:txbxContent>
                        <w:p>
                          <w:pPr>
                            <w:pStyle w:val="Style15"/>
                            <w:keepNext w:val="0"/>
                            <w:keepLines w:val="0"/>
                            <w:widowControl w:val="0"/>
                            <w:shd w:val="clear" w:color="auto" w:fill="auto"/>
                            <w:tabs>
                              <w:tab w:pos="546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cs-CZ" w:eastAsia="cs-CZ" w:bidi="cs-CZ"/>
                            </w:rPr>
                            <w:t>VIG CZ:Důvěrné/Confidential</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39" type="#_x0000_t202" style="position:absolute;margin-left:23.350000000000001pt;margin-top:824.5pt;width:273.10000000000002pt;height:16.100000000000001pt;z-index:-188744060;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546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cs-CZ" w:eastAsia="cs-CZ" w:bidi="cs-CZ"/>
                      </w:rPr>
                      <w:t>VIG CZ:Důvěrné/Confidential</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414655</wp:posOffset>
              </wp:positionH>
              <wp:positionV relativeFrom="page">
                <wp:posOffset>10203180</wp:posOffset>
              </wp:positionV>
              <wp:extent cx="1313815" cy="140335"/>
              <wp:wrapNone/>
              <wp:docPr id="15" name="Shape 15"/>
              <a:graphic xmlns:a="http://schemas.openxmlformats.org/drawingml/2006/main">
                <a:graphicData uri="http://schemas.microsoft.com/office/word/2010/wordprocessingShape">
                  <wps:wsp>
                    <wps:cNvSpPr txBox="1"/>
                    <wps:spPr>
                      <a:xfrm>
                        <a:ext cx="1313815" cy="14033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VIG CZ.Důvěrné/Confidential</w:t>
                          </w:r>
                        </w:p>
                      </w:txbxContent>
                    </wps:txbx>
                    <wps:bodyPr wrap="none" lIns="0" tIns="0" rIns="0" bIns="0">
                      <a:spAutoFit/>
                    </wps:bodyPr>
                  </wps:wsp>
                </a:graphicData>
              </a:graphic>
            </wp:anchor>
          </w:drawing>
        </mc:Choice>
        <mc:Fallback>
          <w:pict>
            <v:shape id="_x0000_s1041" type="#_x0000_t202" style="position:absolute;margin-left:32.649999999999999pt;margin-top:803.39999999999998pt;width:103.45pt;height:11.050000000000001pt;z-index:-188744058;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VIG CZ.Důvěrné/Confidential</w:t>
                    </w:r>
                  </w:p>
                </w:txbxContent>
              </v:textbox>
              <w10:wrap anchorx="page" anchory="page"/>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7" behindDoc="1" locked="0" layoutInCell="1" allowOverlap="1">
              <wp:simplePos x="0" y="0"/>
              <wp:positionH relativeFrom="page">
                <wp:posOffset>296545</wp:posOffset>
              </wp:positionH>
              <wp:positionV relativeFrom="page">
                <wp:posOffset>10471150</wp:posOffset>
              </wp:positionV>
              <wp:extent cx="3468370" cy="204470"/>
              <wp:wrapNone/>
              <wp:docPr id="17" name="Shape 17"/>
              <a:graphic xmlns:a="http://schemas.openxmlformats.org/drawingml/2006/main">
                <a:graphicData uri="http://schemas.microsoft.com/office/word/2010/wordprocessingShape">
                  <wps:wsp>
                    <wps:cNvSpPr txBox="1"/>
                    <wps:spPr>
                      <a:xfrm>
                        <a:ext cx="3468370" cy="204470"/>
                      </a:xfrm>
                      <a:prstGeom prst="rect"/>
                      <a:noFill/>
                    </wps:spPr>
                    <wps:txbx>
                      <w:txbxContent>
                        <w:p>
                          <w:pPr>
                            <w:pStyle w:val="Style15"/>
                            <w:keepNext w:val="0"/>
                            <w:keepLines w:val="0"/>
                            <w:widowControl w:val="0"/>
                            <w:shd w:val="clear" w:color="auto" w:fill="auto"/>
                            <w:tabs>
                              <w:tab w:pos="546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cs-CZ" w:eastAsia="cs-CZ" w:bidi="cs-CZ"/>
                            </w:rPr>
                            <w:t>VIG CZ:Důvěrné/Confidential</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43" type="#_x0000_t202" style="position:absolute;margin-left:23.350000000000001pt;margin-top:824.5pt;width:273.10000000000002pt;height:16.100000000000001pt;z-index:-188744056;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546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cs-CZ" w:eastAsia="cs-CZ" w:bidi="cs-CZ"/>
                      </w:rPr>
                      <w:t>VIG CZ:Důvěrné/Confidential</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9" behindDoc="1" locked="0" layoutInCell="1" allowOverlap="1">
              <wp:simplePos x="0" y="0"/>
              <wp:positionH relativeFrom="page">
                <wp:posOffset>296545</wp:posOffset>
              </wp:positionH>
              <wp:positionV relativeFrom="page">
                <wp:posOffset>10471150</wp:posOffset>
              </wp:positionV>
              <wp:extent cx="3468370" cy="204470"/>
              <wp:wrapNone/>
              <wp:docPr id="19" name="Shape 19"/>
              <a:graphic xmlns:a="http://schemas.openxmlformats.org/drawingml/2006/main">
                <a:graphicData uri="http://schemas.microsoft.com/office/word/2010/wordprocessingShape">
                  <wps:wsp>
                    <wps:cNvSpPr txBox="1"/>
                    <wps:spPr>
                      <a:xfrm>
                        <a:ext cx="3468370" cy="204470"/>
                      </a:xfrm>
                      <a:prstGeom prst="rect"/>
                      <a:noFill/>
                    </wps:spPr>
                    <wps:txbx>
                      <w:txbxContent>
                        <w:p>
                          <w:pPr>
                            <w:pStyle w:val="Style15"/>
                            <w:keepNext w:val="0"/>
                            <w:keepLines w:val="0"/>
                            <w:widowControl w:val="0"/>
                            <w:shd w:val="clear" w:color="auto" w:fill="auto"/>
                            <w:tabs>
                              <w:tab w:pos="546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cs-CZ" w:eastAsia="cs-CZ" w:bidi="cs-CZ"/>
                            </w:rPr>
                            <w:t>VIG CZ:Důvěrné/Confidential</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wps:txbx>
                    <wps:bodyPr lIns="0" tIns="0" rIns="0" bIns="0">
                      <a:spAutoFit/>
                    </wps:bodyPr>
                  </wps:wsp>
                </a:graphicData>
              </a:graphic>
            </wp:anchor>
          </w:drawing>
        </mc:Choice>
        <mc:Fallback>
          <w:pict>
            <v:shape id="_x0000_s1045" type="#_x0000_t202" style="position:absolute;margin-left:23.350000000000001pt;margin-top:824.5pt;width:273.10000000000002pt;height:16.100000000000001pt;z-index:-188744054;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5462" w:val="right"/>
                      </w:tabs>
                      <w:bidi w:val="0"/>
                      <w:spacing w:before="0" w:after="0" w:line="240" w:lineRule="auto"/>
                      <w:ind w:left="0" w:right="0" w:firstLine="0"/>
                      <w:jc w:val="left"/>
                    </w:pPr>
                    <w:r>
                      <w:rPr>
                        <w:rFonts w:ascii="Arial" w:eastAsia="Arial" w:hAnsi="Arial" w:cs="Arial"/>
                        <w:color w:val="000000"/>
                        <w:spacing w:val="0"/>
                        <w:w w:val="100"/>
                        <w:position w:val="0"/>
                        <w:sz w:val="16"/>
                        <w:szCs w:val="16"/>
                        <w:shd w:val="clear" w:color="auto" w:fill="auto"/>
                        <w:lang w:val="cs-CZ" w:eastAsia="cs-CZ" w:bidi="cs-CZ"/>
                      </w:rPr>
                      <w:t>VIG CZ:Důvěrné/Confidential</w:t>
                      <w:tab/>
                    </w:r>
                    <w:fldSimple w:instr=" PAGE \* MERGEFORMAT ">
                      <w:r>
                        <w:rPr>
                          <w:rFonts w:ascii="Times New Roman" w:eastAsia="Times New Roman" w:hAnsi="Times New Roman" w:cs="Times New Roman"/>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14">
    <w:multiLevelType w:val="multilevel"/>
    <w:lvl w:ilvl="0">
      <w:start w:val="2"/>
      <w:numFmt w:val="decimal"/>
      <w:lvlText w:val="%1)"/>
      <w:rPr>
        <w:rFonts w:ascii="Arial" w:eastAsia="Arial" w:hAnsi="Arial" w:cs="Arial"/>
        <w:b w:val="0"/>
        <w:bCs w:val="0"/>
        <w:i w:val="0"/>
        <w:iCs w:val="0"/>
        <w:smallCaps w:val="0"/>
        <w:strike w:val="0"/>
        <w:color w:val="000000"/>
        <w:spacing w:val="0"/>
        <w:w w:val="100"/>
        <w:position w:val="0"/>
        <w:sz w:val="16"/>
        <w:szCs w:val="16"/>
        <w:u w:val="none"/>
        <w:shd w:val="clear" w:color="auto" w:fill="auto"/>
        <w:lang w:val="cs-CZ" w:eastAsia="cs-CZ" w:bidi="cs-CZ"/>
      </w:rPr>
    </w:lvl>
  </w:abstractNum>
  <w:abstractNum w:abstractNumId="16">
    <w:multiLevelType w:val="multilevel"/>
    <w:lvl w:ilvl="0">
      <w:start w:val="5"/>
      <w:numFmt w:val="decimal"/>
      <w:lvlText w:val="%1)"/>
      <w:rPr>
        <w:rFonts w:ascii="Arial" w:eastAsia="Arial" w:hAnsi="Arial" w:cs="Arial"/>
        <w:b w:val="0"/>
        <w:bCs w:val="0"/>
        <w:i w:val="0"/>
        <w:iCs w:val="0"/>
        <w:smallCaps w:val="0"/>
        <w:strike w:val="0"/>
        <w:color w:val="000000"/>
        <w:spacing w:val="0"/>
        <w:w w:val="100"/>
        <w:position w:val="0"/>
        <w:sz w:val="20"/>
        <w:szCs w:val="20"/>
        <w:u w:val="none"/>
        <w:shd w:val="clear" w:color="auto" w:fill="auto"/>
        <w:vertAlign w:val="superscript"/>
        <w:lang w:val="cs-CZ" w:eastAsia="cs-CZ" w:bidi="cs-CZ"/>
      </w:rPr>
    </w:lvl>
  </w:abstractNum>
  <w:abstractNum w:abstractNumId="18">
    <w:multiLevelType w:val="multilevel"/>
    <w:lvl w:ilvl="0">
      <w:start w:val="1"/>
      <w:numFmt w:val="decimal"/>
      <w:lvlText w:val="3.%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24">
    <w:multiLevelType w:val="multilevel"/>
    <w:lvl w:ilvl="0">
      <w:start w:val="5"/>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abstractNum>
  <w:abstractNum w:abstractNumId="3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17"/>
      <w:szCs w:val="17"/>
      <w:u w:val="none"/>
    </w:rPr>
  </w:style>
  <w:style w:type="character" w:customStyle="1" w:styleId="CharStyle7">
    <w:name w:val="Char Style 7"/>
    <w:basedOn w:val="DefaultParagraphFont"/>
    <w:link w:val="Style6"/>
    <w:rPr>
      <w:rFonts w:ascii="Arial" w:eastAsia="Arial" w:hAnsi="Arial" w:cs="Arial"/>
      <w:b/>
      <w:bCs/>
      <w:i w:val="0"/>
      <w:iCs w:val="0"/>
      <w:smallCaps w:val="0"/>
      <w:strike w:val="0"/>
      <w:sz w:val="17"/>
      <w:szCs w:val="17"/>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17"/>
      <w:szCs w:val="17"/>
      <w:u w:val="none"/>
    </w:rPr>
  </w:style>
  <w:style w:type="character" w:customStyle="1" w:styleId="CharStyle13">
    <w:name w:val="Char Style 13"/>
    <w:basedOn w:val="DefaultParagraphFont"/>
    <w:link w:val="Style12"/>
    <w:rPr>
      <w:rFonts w:ascii="Arial" w:eastAsia="Arial" w:hAnsi="Arial" w:cs="Arial"/>
      <w:b/>
      <w:bCs/>
      <w:i w:val="0"/>
      <w:iCs w:val="0"/>
      <w:smallCaps w:val="0"/>
      <w:strike w:val="0"/>
      <w:sz w:val="28"/>
      <w:szCs w:val="28"/>
      <w:u w:val="none"/>
    </w:rPr>
  </w:style>
  <w:style w:type="character" w:customStyle="1" w:styleId="CharStyle16">
    <w:name w:val="Char Style 16"/>
    <w:basedOn w:val="DefaultParagraphFont"/>
    <w:link w:val="Style15"/>
    <w:rPr>
      <w:b w:val="0"/>
      <w:bCs w:val="0"/>
      <w:i w:val="0"/>
      <w:iCs w:val="0"/>
      <w:smallCaps w:val="0"/>
      <w:strike w:val="0"/>
      <w:sz w:val="20"/>
      <w:szCs w:val="20"/>
      <w:u w:val="none"/>
    </w:rPr>
  </w:style>
  <w:style w:type="character" w:customStyle="1" w:styleId="CharStyle19">
    <w:name w:val="Char Style 19"/>
    <w:basedOn w:val="DefaultParagraphFont"/>
    <w:link w:val="Style18"/>
    <w:rPr>
      <w:rFonts w:ascii="Arial" w:eastAsia="Arial" w:hAnsi="Arial" w:cs="Arial"/>
      <w:b/>
      <w:bCs/>
      <w:i w:val="0"/>
      <w:iCs w:val="0"/>
      <w:smallCaps w:val="0"/>
      <w:strike w:val="0"/>
      <w:sz w:val="12"/>
      <w:szCs w:val="12"/>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8"/>
      <w:szCs w:val="28"/>
      <w:u w:val="none"/>
    </w:rPr>
  </w:style>
  <w:style w:type="character" w:customStyle="1" w:styleId="CharStyle24">
    <w:name w:val="Char Style 24"/>
    <w:basedOn w:val="DefaultParagraphFont"/>
    <w:link w:val="Style23"/>
    <w:rPr>
      <w:rFonts w:ascii="Arial" w:eastAsia="Arial" w:hAnsi="Arial" w:cs="Arial"/>
      <w:b/>
      <w:bCs/>
      <w:i w:val="0"/>
      <w:iCs w:val="0"/>
      <w:smallCaps w:val="0"/>
      <w:strike w:val="0"/>
      <w:sz w:val="19"/>
      <w:szCs w:val="19"/>
      <w:u w:val="none"/>
    </w:rPr>
  </w:style>
  <w:style w:type="character" w:customStyle="1" w:styleId="CharStyle26">
    <w:name w:val="Char Style 26"/>
    <w:basedOn w:val="DefaultParagraphFont"/>
    <w:link w:val="Style25"/>
    <w:rPr>
      <w:rFonts w:ascii="Arial" w:eastAsia="Arial" w:hAnsi="Arial" w:cs="Arial"/>
      <w:b/>
      <w:bCs/>
      <w:i w:val="0"/>
      <w:iCs w:val="0"/>
      <w:smallCaps w:val="0"/>
      <w:strike w:val="0"/>
      <w:sz w:val="22"/>
      <w:szCs w:val="22"/>
      <w:u w:val="none"/>
    </w:rPr>
  </w:style>
  <w:style w:type="character" w:customStyle="1" w:styleId="CharStyle28">
    <w:name w:val="Char Style 28"/>
    <w:basedOn w:val="DefaultParagraphFont"/>
    <w:link w:val="Style27"/>
    <w:rPr>
      <w:rFonts w:ascii="Arial" w:eastAsia="Arial" w:hAnsi="Arial" w:cs="Arial"/>
      <w:b/>
      <w:bCs/>
      <w:i w:val="0"/>
      <w:iCs w:val="0"/>
      <w:smallCaps w:val="0"/>
      <w:strike w:val="0"/>
      <w:sz w:val="20"/>
      <w:szCs w:val="20"/>
      <w:u w:val="none"/>
    </w:rPr>
  </w:style>
  <w:style w:type="character" w:customStyle="1" w:styleId="CharStyle32">
    <w:name w:val="Char Style 32"/>
    <w:basedOn w:val="DefaultParagraphFont"/>
    <w:link w:val="Style31"/>
    <w:rPr>
      <w:rFonts w:ascii="Arial" w:eastAsia="Arial" w:hAnsi="Arial" w:cs="Arial"/>
      <w:b/>
      <w:bCs/>
      <w:i w:val="0"/>
      <w:iCs w:val="0"/>
      <w:smallCaps w:val="0"/>
      <w:strike w:val="0"/>
      <w:sz w:val="17"/>
      <w:szCs w:val="17"/>
      <w:u w:val="none"/>
    </w:rPr>
  </w:style>
  <w:style w:type="character" w:customStyle="1" w:styleId="CharStyle38">
    <w:name w:val="Char Style 38"/>
    <w:basedOn w:val="DefaultParagraphFont"/>
    <w:link w:val="Style37"/>
    <w:rPr>
      <w:rFonts w:ascii="Arial" w:eastAsia="Arial" w:hAnsi="Arial" w:cs="Arial"/>
      <w:b w:val="0"/>
      <w:bCs w:val="0"/>
      <w:i w:val="0"/>
      <w:iCs w:val="0"/>
      <w:smallCaps w:val="0"/>
      <w:strike w:val="0"/>
      <w:sz w:val="14"/>
      <w:szCs w:val="14"/>
      <w:u w:val="none"/>
    </w:rPr>
  </w:style>
  <w:style w:type="paragraph" w:customStyle="1" w:styleId="Style2">
    <w:name w:val="Style 2"/>
    <w:basedOn w:val="Normal"/>
    <w:link w:val="CharStyle3"/>
    <w:pPr>
      <w:widowControl w:val="0"/>
      <w:shd w:val="clear" w:color="auto" w:fill="FFFFFF"/>
      <w:spacing w:after="60" w:line="283" w:lineRule="auto"/>
    </w:pPr>
    <w:rPr>
      <w:rFonts w:ascii="Arial" w:eastAsia="Arial" w:hAnsi="Arial" w:cs="Arial"/>
      <w:b w:val="0"/>
      <w:bCs w:val="0"/>
      <w:i w:val="0"/>
      <w:iCs w:val="0"/>
      <w:smallCaps w:val="0"/>
      <w:strike w:val="0"/>
      <w:sz w:val="17"/>
      <w:szCs w:val="17"/>
      <w:u w:val="none"/>
    </w:rPr>
  </w:style>
  <w:style w:type="paragraph" w:customStyle="1" w:styleId="Style6">
    <w:name w:val="Style 6"/>
    <w:basedOn w:val="Normal"/>
    <w:link w:val="CharStyle7"/>
    <w:pPr>
      <w:widowControl w:val="0"/>
      <w:shd w:val="clear" w:color="auto" w:fill="FFFFFF"/>
      <w:spacing w:line="266" w:lineRule="auto"/>
    </w:pPr>
    <w:rPr>
      <w:rFonts w:ascii="Arial" w:eastAsia="Arial" w:hAnsi="Arial" w:cs="Arial"/>
      <w:b/>
      <w:bCs/>
      <w:i w:val="0"/>
      <w:iCs w:val="0"/>
      <w:smallCaps w:val="0"/>
      <w:strike w:val="0"/>
      <w:sz w:val="17"/>
      <w:szCs w:val="17"/>
      <w:u w:val="none"/>
    </w:rPr>
  </w:style>
  <w:style w:type="paragraph" w:customStyle="1" w:styleId="Style9">
    <w:name w:val="Style 9"/>
    <w:basedOn w:val="Normal"/>
    <w:link w:val="CharStyle10"/>
    <w:pPr>
      <w:widowControl w:val="0"/>
      <w:shd w:val="clear" w:color="auto" w:fill="FFFFFF"/>
      <w:spacing w:after="60" w:line="283" w:lineRule="auto"/>
    </w:pPr>
    <w:rPr>
      <w:rFonts w:ascii="Arial" w:eastAsia="Arial" w:hAnsi="Arial" w:cs="Arial"/>
      <w:b w:val="0"/>
      <w:bCs w:val="0"/>
      <w:i w:val="0"/>
      <w:iCs w:val="0"/>
      <w:smallCaps w:val="0"/>
      <w:strike w:val="0"/>
      <w:sz w:val="17"/>
      <w:szCs w:val="17"/>
      <w:u w:val="none"/>
    </w:rPr>
  </w:style>
  <w:style w:type="paragraph" w:customStyle="1" w:styleId="Style12">
    <w:name w:val="Style 12"/>
    <w:basedOn w:val="Normal"/>
    <w:link w:val="CharStyle13"/>
    <w:pPr>
      <w:widowControl w:val="0"/>
      <w:shd w:val="clear" w:color="auto" w:fill="FFFFFF"/>
      <w:spacing w:before="240" w:line="211" w:lineRule="auto"/>
      <w:outlineLvl w:val="0"/>
    </w:pPr>
    <w:rPr>
      <w:rFonts w:ascii="Arial" w:eastAsia="Arial" w:hAnsi="Arial" w:cs="Arial"/>
      <w:b/>
      <w:bCs/>
      <w:i w:val="0"/>
      <w:iCs w:val="0"/>
      <w:smallCaps w:val="0"/>
      <w:strike w:val="0"/>
      <w:sz w:val="28"/>
      <w:szCs w:val="28"/>
      <w:u w:val="none"/>
    </w:rPr>
  </w:style>
  <w:style w:type="paragraph" w:customStyle="1" w:styleId="Style15">
    <w:name w:val="Style 15"/>
    <w:basedOn w:val="Normal"/>
    <w:link w:val="CharStyle16"/>
    <w:pPr>
      <w:widowControl w:val="0"/>
      <w:shd w:val="clear" w:color="auto" w:fill="FFFFFF"/>
    </w:pPr>
    <w:rPr>
      <w:b w:val="0"/>
      <w:bCs w:val="0"/>
      <w:i w:val="0"/>
      <w:iCs w:val="0"/>
      <w:smallCaps w:val="0"/>
      <w:strike w:val="0"/>
      <w:sz w:val="20"/>
      <w:szCs w:val="20"/>
      <w:u w:val="none"/>
    </w:rPr>
  </w:style>
  <w:style w:type="paragraph" w:customStyle="1" w:styleId="Style18">
    <w:name w:val="Style 18"/>
    <w:basedOn w:val="Normal"/>
    <w:link w:val="CharStyle19"/>
    <w:pPr>
      <w:widowControl w:val="0"/>
      <w:shd w:val="clear" w:color="auto" w:fill="FFFFFF"/>
      <w:spacing w:after="340"/>
    </w:pPr>
    <w:rPr>
      <w:rFonts w:ascii="Arial" w:eastAsia="Arial" w:hAnsi="Arial" w:cs="Arial"/>
      <w:b/>
      <w:bCs/>
      <w:i w:val="0"/>
      <w:iCs w:val="0"/>
      <w:smallCaps w:val="0"/>
      <w:strike w:val="0"/>
      <w:sz w:val="12"/>
      <w:szCs w:val="12"/>
      <w:u w:val="none"/>
    </w:rPr>
  </w:style>
  <w:style w:type="paragraph" w:customStyle="1" w:styleId="Style20">
    <w:name w:val="Style 20"/>
    <w:basedOn w:val="Normal"/>
    <w:link w:val="CharStyle21"/>
    <w:pPr>
      <w:widowControl w:val="0"/>
      <w:shd w:val="clear" w:color="auto" w:fill="FFFFFF"/>
      <w:spacing w:after="200" w:line="312" w:lineRule="auto"/>
    </w:pPr>
    <w:rPr>
      <w:rFonts w:ascii="Arial" w:eastAsia="Arial" w:hAnsi="Arial" w:cs="Arial"/>
      <w:b/>
      <w:bCs/>
      <w:i w:val="0"/>
      <w:iCs w:val="0"/>
      <w:smallCaps w:val="0"/>
      <w:strike w:val="0"/>
      <w:sz w:val="28"/>
      <w:szCs w:val="28"/>
      <w:u w:val="none"/>
    </w:rPr>
  </w:style>
  <w:style w:type="paragraph" w:customStyle="1" w:styleId="Style23">
    <w:name w:val="Style 23"/>
    <w:basedOn w:val="Normal"/>
    <w:link w:val="CharStyle24"/>
    <w:pPr>
      <w:widowControl w:val="0"/>
      <w:shd w:val="clear" w:color="auto" w:fill="FFFFFF"/>
    </w:pPr>
    <w:rPr>
      <w:rFonts w:ascii="Arial" w:eastAsia="Arial" w:hAnsi="Arial" w:cs="Arial"/>
      <w:b/>
      <w:bCs/>
      <w:i w:val="0"/>
      <w:iCs w:val="0"/>
      <w:smallCaps w:val="0"/>
      <w:strike w:val="0"/>
      <w:sz w:val="19"/>
      <w:szCs w:val="19"/>
      <w:u w:val="none"/>
    </w:rPr>
  </w:style>
  <w:style w:type="paragraph" w:customStyle="1" w:styleId="Style25">
    <w:name w:val="Style 25"/>
    <w:basedOn w:val="Normal"/>
    <w:link w:val="CharStyle26"/>
    <w:pPr>
      <w:widowControl w:val="0"/>
      <w:shd w:val="clear" w:color="auto" w:fill="FFFFFF"/>
    </w:pPr>
    <w:rPr>
      <w:rFonts w:ascii="Arial" w:eastAsia="Arial" w:hAnsi="Arial" w:cs="Arial"/>
      <w:b/>
      <w:bCs/>
      <w:i w:val="0"/>
      <w:iCs w:val="0"/>
      <w:smallCaps w:val="0"/>
      <w:strike w:val="0"/>
      <w:sz w:val="22"/>
      <w:szCs w:val="22"/>
      <w:u w:val="none"/>
    </w:rPr>
  </w:style>
  <w:style w:type="paragraph" w:customStyle="1" w:styleId="Style27">
    <w:name w:val="Style 27"/>
    <w:basedOn w:val="Normal"/>
    <w:link w:val="CharStyle28"/>
    <w:pPr>
      <w:widowControl w:val="0"/>
      <w:shd w:val="clear" w:color="auto" w:fill="FFFFFF"/>
      <w:spacing w:after="30"/>
      <w:jc w:val="center"/>
      <w:outlineLvl w:val="1"/>
    </w:pPr>
    <w:rPr>
      <w:rFonts w:ascii="Arial" w:eastAsia="Arial" w:hAnsi="Arial" w:cs="Arial"/>
      <w:b/>
      <w:bCs/>
      <w:i w:val="0"/>
      <w:iCs w:val="0"/>
      <w:smallCaps w:val="0"/>
      <w:strike w:val="0"/>
      <w:sz w:val="20"/>
      <w:szCs w:val="20"/>
      <w:u w:val="none"/>
    </w:rPr>
  </w:style>
  <w:style w:type="paragraph" w:customStyle="1" w:styleId="Style31">
    <w:name w:val="Style 31"/>
    <w:basedOn w:val="Normal"/>
    <w:link w:val="CharStyle32"/>
    <w:pPr>
      <w:widowControl w:val="0"/>
      <w:shd w:val="clear" w:color="auto" w:fill="FFFFFF"/>
      <w:spacing w:line="278" w:lineRule="auto"/>
      <w:ind w:firstLine="400"/>
      <w:outlineLvl w:val="2"/>
    </w:pPr>
    <w:rPr>
      <w:rFonts w:ascii="Arial" w:eastAsia="Arial" w:hAnsi="Arial" w:cs="Arial"/>
      <w:b/>
      <w:bCs/>
      <w:i w:val="0"/>
      <w:iCs w:val="0"/>
      <w:smallCaps w:val="0"/>
      <w:strike w:val="0"/>
      <w:sz w:val="17"/>
      <w:szCs w:val="17"/>
      <w:u w:val="none"/>
    </w:rPr>
  </w:style>
  <w:style w:type="paragraph" w:customStyle="1" w:styleId="Style37">
    <w:name w:val="Style 37"/>
    <w:basedOn w:val="Normal"/>
    <w:link w:val="CharStyle38"/>
    <w:pPr>
      <w:widowControl w:val="0"/>
      <w:shd w:val="clear" w:color="auto" w:fill="FFFFFF"/>
      <w:spacing w:after="300"/>
    </w:pPr>
    <w:rPr>
      <w:rFonts w:ascii="Arial" w:eastAsia="Arial" w:hAnsi="Arial" w:cs="Arial"/>
      <w:b w:val="0"/>
      <w:bCs w:val="0"/>
      <w:i w:val="0"/>
      <w:iCs w:val="0"/>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s>
</file>

<file path=docProps/core.xml><?xml version="1.0" encoding="utf-8"?>
<cp:coreProperties xmlns:cp="http://schemas.openxmlformats.org/package/2006/metadata/core-properties" xmlns:dc="http://purl.org/dc/elements/1.1/">
  <dc:title>SA2_25C-0i25101710021</dc:title>
  <dc:subject/>
  <dc:creator>Bc. Pavla Slabyhoudová</dc:creator>
  <cp:keywords/>
</cp:coreProperties>
</file>