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592898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7552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524" to="574,12524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line="244" w:lineRule="auto" w:before="1"/>
        <w:ind w:left="1574" w:right="7011" w:hanging="1382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Black Bell s.r.o agency Jahnova 8</w:t>
      </w:r>
    </w:p>
    <w:p>
      <w:pPr>
        <w:pStyle w:val="BodyText"/>
        <w:spacing w:before="1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Pardubice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26004143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CZ26004143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OA2025041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</w:pPr>
      <w:r>
        <w:rPr>
          <w:w w:val="105"/>
        </w:rPr>
        <w:t>Objednáváme</w:t>
      </w:r>
      <w:r>
        <w:rPr>
          <w:spacing w:val="10"/>
          <w:w w:val="105"/>
        </w:rPr>
        <w:t> </w:t>
      </w:r>
      <w:r>
        <w:rPr>
          <w:w w:val="105"/>
        </w:rPr>
        <w:t>u</w:t>
      </w:r>
      <w:r>
        <w:rPr>
          <w:spacing w:val="11"/>
          <w:w w:val="105"/>
        </w:rPr>
        <w:t> </w:t>
      </w:r>
      <w:r>
        <w:rPr>
          <w:w w:val="105"/>
        </w:rPr>
        <w:t>Vás</w:t>
      </w:r>
      <w:r>
        <w:rPr>
          <w:spacing w:val="11"/>
          <w:w w:val="105"/>
        </w:rPr>
        <w:t> </w:t>
      </w:r>
      <w:r>
        <w:rPr>
          <w:w w:val="105"/>
        </w:rPr>
        <w:t>zvukovou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světelnou</w:t>
      </w:r>
      <w:r>
        <w:rPr>
          <w:spacing w:val="11"/>
          <w:w w:val="105"/>
        </w:rPr>
        <w:t> </w:t>
      </w:r>
      <w:r>
        <w:rPr>
          <w:w w:val="105"/>
        </w:rPr>
        <w:t>techniku</w:t>
      </w:r>
      <w:r>
        <w:rPr>
          <w:spacing w:val="10"/>
          <w:w w:val="105"/>
        </w:rPr>
        <w:t> </w:t>
      </w:r>
      <w:r>
        <w:rPr>
          <w:w w:val="105"/>
        </w:rPr>
        <w:t>pro</w:t>
      </w:r>
      <w:r>
        <w:rPr>
          <w:spacing w:val="11"/>
          <w:w w:val="105"/>
        </w:rPr>
        <w:t> </w:t>
      </w:r>
      <w:r>
        <w:rPr>
          <w:w w:val="105"/>
        </w:rPr>
        <w:t>KD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HKronovická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5"/>
          <w:sz w:val="21"/>
        </w:rPr>
        <w:t>6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ks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JBL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VRX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932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lap</w:t>
      </w:r>
      <w:r>
        <w:rPr>
          <w:spacing w:val="30"/>
          <w:w w:val="115"/>
          <w:sz w:val="21"/>
        </w:rPr>
        <w:t> </w:t>
      </w:r>
      <w:r>
        <w:rPr>
          <w:w w:val="115"/>
          <w:sz w:val="21"/>
        </w:rPr>
        <w:t>..............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24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000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Kč/ks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...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celkem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144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000</w:t>
      </w:r>
      <w:r>
        <w:rPr>
          <w:spacing w:val="-12"/>
          <w:w w:val="115"/>
          <w:sz w:val="21"/>
        </w:rPr>
        <w:t> </w:t>
      </w:r>
      <w:r>
        <w:rPr>
          <w:spacing w:val="-5"/>
          <w:w w:val="11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5939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2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ks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konzole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rigging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VR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932...1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Kč/ks....</w:t>
      </w:r>
      <w:r>
        <w:rPr>
          <w:spacing w:val="61"/>
          <w:w w:val="150"/>
          <w:sz w:val="21"/>
        </w:rPr>
        <w:t> </w:t>
      </w:r>
      <w:r>
        <w:rPr>
          <w:spacing w:val="-2"/>
          <w:w w:val="105"/>
          <w:sz w:val="21"/>
        </w:rPr>
        <w:t>celkem</w:t>
      </w:r>
      <w:r>
        <w:rPr>
          <w:sz w:val="21"/>
        </w:rPr>
        <w:tab/>
      </w:r>
      <w:r>
        <w:rPr>
          <w:w w:val="105"/>
          <w:sz w:val="21"/>
        </w:rPr>
        <w:t>2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5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591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20"/>
          <w:sz w:val="21"/>
        </w:rPr>
        <w:t>2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ks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rigging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VRX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..........................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3</w:t>
      </w:r>
      <w:r>
        <w:rPr>
          <w:spacing w:val="-7"/>
          <w:w w:val="120"/>
          <w:sz w:val="21"/>
        </w:rPr>
        <w:t> </w:t>
      </w:r>
      <w:r>
        <w:rPr>
          <w:w w:val="120"/>
          <w:sz w:val="21"/>
        </w:rPr>
        <w:t>000</w:t>
      </w:r>
      <w:r>
        <w:rPr>
          <w:spacing w:val="-7"/>
          <w:w w:val="120"/>
          <w:sz w:val="21"/>
        </w:rPr>
        <w:t> </w:t>
      </w:r>
      <w:r>
        <w:rPr>
          <w:w w:val="115"/>
          <w:sz w:val="21"/>
        </w:rPr>
        <w:t>Kč/ks</w:t>
      </w:r>
      <w:r>
        <w:rPr>
          <w:spacing w:val="-4"/>
          <w:w w:val="115"/>
          <w:sz w:val="21"/>
        </w:rPr>
        <w:t> </w:t>
      </w:r>
      <w:r>
        <w:rPr>
          <w:w w:val="120"/>
          <w:sz w:val="21"/>
        </w:rPr>
        <w:t>...</w:t>
      </w:r>
      <w:r>
        <w:rPr>
          <w:spacing w:val="-6"/>
          <w:w w:val="120"/>
          <w:sz w:val="21"/>
        </w:rPr>
        <w:t> </w:t>
      </w:r>
      <w:r>
        <w:rPr>
          <w:spacing w:val="-2"/>
          <w:w w:val="120"/>
          <w:sz w:val="21"/>
        </w:rPr>
        <w:t>celkem</w:t>
      </w:r>
      <w:r>
        <w:rPr>
          <w:sz w:val="21"/>
        </w:rPr>
        <w:tab/>
      </w:r>
      <w:r>
        <w:rPr>
          <w:w w:val="110"/>
          <w:sz w:val="21"/>
        </w:rPr>
        <w:t>6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000</w:t>
      </w:r>
      <w:r>
        <w:rPr>
          <w:spacing w:val="-9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  <w:tab w:pos="5881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2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ks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kočka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vytažení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5,6m..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1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Kč/ks....</w:t>
      </w:r>
      <w:r>
        <w:rPr>
          <w:spacing w:val="13"/>
          <w:w w:val="105"/>
          <w:sz w:val="21"/>
        </w:rPr>
        <w:t> </w:t>
      </w:r>
      <w:r>
        <w:rPr>
          <w:spacing w:val="-2"/>
          <w:w w:val="105"/>
          <w:sz w:val="21"/>
        </w:rPr>
        <w:t>celkem</w:t>
      </w:r>
      <w:r>
        <w:rPr>
          <w:sz w:val="21"/>
        </w:rPr>
        <w:tab/>
      </w:r>
      <w:r>
        <w:rPr>
          <w:w w:val="105"/>
          <w:sz w:val="21"/>
        </w:rPr>
        <w:t>2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5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BodyText"/>
        <w:spacing w:before="64"/>
      </w:pPr>
    </w:p>
    <w:p>
      <w:pPr>
        <w:pStyle w:val="BodyText"/>
        <w:spacing w:before="1"/>
        <w:ind w:left="141"/>
      </w:pPr>
      <w:r>
        <w:rPr>
          <w:w w:val="110"/>
        </w:rPr>
        <w:t>Celkem</w:t>
      </w:r>
      <w:r>
        <w:rPr>
          <w:spacing w:val="-1"/>
          <w:w w:val="110"/>
        </w:rPr>
        <w:t> </w:t>
      </w:r>
      <w:r>
        <w:rPr>
          <w:w w:val="110"/>
        </w:rPr>
        <w:t>bez DPH... 154</w:t>
      </w:r>
      <w:r>
        <w:rPr>
          <w:spacing w:val="-1"/>
          <w:w w:val="110"/>
        </w:rPr>
        <w:t> </w:t>
      </w:r>
      <w:r>
        <w:rPr>
          <w:w w:val="110"/>
        </w:rPr>
        <w:t>000 </w:t>
      </w:r>
      <w:r>
        <w:rPr>
          <w:spacing w:val="-5"/>
          <w:w w:val="110"/>
        </w:rPr>
        <w:t>Kč</w:t>
      </w:r>
    </w:p>
    <w:p>
      <w:pPr>
        <w:pStyle w:val="BodyText"/>
        <w:tabs>
          <w:tab w:pos="2144" w:val="left" w:leader="dot"/>
        </w:tabs>
        <w:spacing w:before="32"/>
        <w:ind w:left="141"/>
      </w:pPr>
      <w:r>
        <w:rPr>
          <w:w w:val="105"/>
        </w:rPr>
        <w:t>DPH</w:t>
      </w:r>
      <w:r>
        <w:rPr>
          <w:spacing w:val="30"/>
          <w:w w:val="105"/>
        </w:rPr>
        <w:t> </w:t>
      </w:r>
      <w:r>
        <w:rPr>
          <w:spacing w:val="-5"/>
          <w:w w:val="105"/>
        </w:rPr>
        <w:t>21%</w:t>
      </w:r>
      <w:r>
        <w:rPr/>
        <w:tab/>
      </w:r>
      <w:r>
        <w:rPr>
          <w:w w:val="105"/>
        </w:rPr>
        <w:t>32</w:t>
      </w:r>
      <w:r>
        <w:rPr>
          <w:spacing w:val="3"/>
          <w:w w:val="105"/>
        </w:rPr>
        <w:t> </w:t>
      </w:r>
      <w:r>
        <w:rPr>
          <w:w w:val="105"/>
        </w:rPr>
        <w:t>340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069" w:val="left" w:leader="dot"/>
        </w:tabs>
        <w:spacing w:before="32"/>
        <w:ind w:left="141"/>
      </w:pPr>
      <w:r>
        <w:rPr>
          <w:w w:val="110"/>
        </w:rPr>
        <w:t>Cena</w:t>
      </w:r>
      <w:r>
        <w:rPr>
          <w:spacing w:val="11"/>
          <w:w w:val="110"/>
        </w:rPr>
        <w:t> </w:t>
      </w:r>
      <w:r>
        <w:rPr>
          <w:w w:val="110"/>
        </w:rPr>
        <w:t>vč.</w:t>
      </w:r>
      <w:r>
        <w:rPr>
          <w:spacing w:val="11"/>
          <w:w w:val="110"/>
        </w:rPr>
        <w:t> </w:t>
      </w:r>
      <w:r>
        <w:rPr>
          <w:spacing w:val="-5"/>
          <w:w w:val="110"/>
        </w:rPr>
        <w:t>DPH</w:t>
      </w:r>
      <w:r>
        <w:rPr/>
        <w:tab/>
      </w:r>
      <w:r>
        <w:rPr>
          <w:w w:val="105"/>
        </w:rPr>
        <w:t>186</w:t>
      </w:r>
      <w:r>
        <w:rPr>
          <w:spacing w:val="1"/>
          <w:w w:val="105"/>
        </w:rPr>
        <w:t> </w:t>
      </w:r>
      <w:r>
        <w:rPr>
          <w:w w:val="105"/>
        </w:rPr>
        <w:t>340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spacing w:before="65"/>
      </w:pPr>
    </w:p>
    <w:p>
      <w:pPr>
        <w:pStyle w:val="BodyText"/>
        <w:spacing w:line="710" w:lineRule="auto"/>
        <w:ind w:left="141" w:right="7107"/>
      </w:pPr>
      <w:r>
        <w:rPr>
          <w:w w:val="105"/>
        </w:rPr>
        <w:t>Termín dodání: říjen - listopad 2025 V Pardubicích dne: 15.10.2025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1" w:lineRule="auto"/>
        <w:ind w:left="891" w:right="7011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OA2025041</dc:title>
  <dcterms:created xsi:type="dcterms:W3CDTF">2025-10-17T09:31:52Z</dcterms:created>
  <dcterms:modified xsi:type="dcterms:W3CDTF">2025-10-17T09:31:52Z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mPDF 8.2.6</vt:lpwstr>
  </property>
</Properties>
</file>