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9"/>
        <w:keepNext/>
        <w:keepLines/>
        <w:widowControl w:val="0"/>
        <w:shd w:val="clear" w:color="auto" w:fill="auto"/>
        <w:tabs>
          <w:tab w:pos="1334" w:val="left"/>
        </w:tabs>
        <w:bidi w:val="0"/>
        <w:spacing w:before="0" w:after="380"/>
        <w:ind w:left="0" w:right="0" w:firstLine="0"/>
        <w:jc w:val="left"/>
        <w:rPr>
          <w:sz w:val="28"/>
          <w:szCs w:val="28"/>
        </w:rPr>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8"/>
          <w:szCs w:val="28"/>
          <w:shd w:val="clear" w:color="auto" w:fill="auto"/>
          <w:lang w:val="cs-CZ" w:eastAsia="cs-CZ" w:bidi="cs-CZ"/>
        </w:rPr>
        <w:t>„</w:t>
      </w:r>
      <w:r>
        <w:rPr>
          <w:color w:val="000000"/>
          <w:spacing w:val="0"/>
          <w:w w:val="100"/>
          <w:position w:val="0"/>
          <w:sz w:val="24"/>
          <w:szCs w:val="24"/>
          <w:shd w:val="clear" w:color="auto" w:fill="auto"/>
          <w:lang w:val="cs-CZ" w:eastAsia="cs-CZ" w:bidi="cs-CZ"/>
        </w:rPr>
        <w:t>VD Janov – aktualizace provozního řádu</w:t>
      </w:r>
      <w:r>
        <w:rPr>
          <w:color w:val="000000"/>
          <w:spacing w:val="0"/>
          <w:w w:val="100"/>
          <w:position w:val="0"/>
          <w:sz w:val="28"/>
          <w:szCs w:val="28"/>
          <w:shd w:val="clear" w:color="auto" w:fill="auto"/>
          <w:lang w:val="cs-CZ" w:eastAsia="cs-CZ" w:bidi="cs-CZ"/>
        </w:rPr>
        <w:t>“</w:t>
      </w:r>
      <w:bookmarkEnd w:id="0"/>
      <w:bookmarkEnd w:id="1"/>
      <w:bookmarkEnd w:id="2"/>
    </w:p>
    <w:p>
      <w:pPr>
        <w:pStyle w:val="Style13"/>
        <w:keepNext w:val="0"/>
        <w:keepLines w:val="0"/>
        <w:widowControl w:val="0"/>
        <w:shd w:val="clear" w:color="auto" w:fill="auto"/>
        <w:bidi w:val="0"/>
        <w:spacing w:before="0" w:after="0" w:line="48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Zadavatel: Povodí Ohře, státní podnik, Bezručova 4219, 430 03 Chomutov </w:t>
      </w:r>
      <w:r>
        <w:rPr>
          <w:b/>
          <w:bCs/>
          <w:color w:val="000000"/>
          <w:spacing w:val="0"/>
          <w:w w:val="100"/>
          <w:position w:val="0"/>
          <w:sz w:val="24"/>
          <w:szCs w:val="24"/>
          <w:shd w:val="clear" w:color="auto" w:fill="auto"/>
          <w:lang w:val="cs-CZ" w:eastAsia="cs-CZ" w:bidi="cs-CZ"/>
        </w:rPr>
        <w:t>ČESTNÉ PROHLÁŠENÍ</w:t>
      </w:r>
    </w:p>
    <w:p>
      <w:pPr>
        <w:pStyle w:val="Style17"/>
        <w:keepNext/>
        <w:keepLines/>
        <w:widowControl w:val="0"/>
        <w:shd w:val="clear" w:color="auto" w:fill="auto"/>
        <w:bidi w:val="0"/>
        <w:spacing w:before="0" w:after="0"/>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„VP PROJEKTING“ s.r.o.</w:t>
      </w:r>
      <w:bookmarkEnd w:id="3"/>
      <w:bookmarkEnd w:id="4"/>
      <w:bookmarkEnd w:id="5"/>
    </w:p>
    <w:p>
      <w:pPr>
        <w:pStyle w:val="Style13"/>
        <w:keepNext w:val="0"/>
        <w:keepLines w:val="0"/>
        <w:widowControl w:val="0"/>
        <w:shd w:val="clear" w:color="auto" w:fill="auto"/>
        <w:bidi w:val="0"/>
        <w:spacing w:before="0" w:after="2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3"/>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after="500"/>
        <w:ind w:left="0" w:right="0" w:firstLine="0"/>
        <w:jc w:val="center"/>
        <w:rPr>
          <w:sz w:val="28"/>
          <w:szCs w:val="28"/>
        </w:rPr>
      </w:pPr>
      <w:bookmarkStart w:id="6" w:name="bookmark6"/>
      <w:bookmarkStart w:id="7" w:name="bookmark7"/>
      <w:bookmarkStart w:id="8" w:name="bookmark8"/>
      <w:r>
        <w:rPr>
          <w:color w:val="000000"/>
          <w:spacing w:val="0"/>
          <w:w w:val="100"/>
          <w:position w:val="0"/>
          <w:sz w:val="28"/>
          <w:szCs w:val="28"/>
          <w:shd w:val="clear" w:color="auto" w:fill="auto"/>
          <w:lang w:val="cs-CZ" w:eastAsia="cs-CZ" w:bidi="cs-CZ"/>
        </w:rPr>
        <w:t>„</w:t>
      </w:r>
      <w:r>
        <w:rPr>
          <w:color w:val="000000"/>
          <w:spacing w:val="0"/>
          <w:w w:val="100"/>
          <w:position w:val="0"/>
          <w:sz w:val="24"/>
          <w:szCs w:val="24"/>
          <w:shd w:val="clear" w:color="auto" w:fill="auto"/>
          <w:lang w:val="cs-CZ" w:eastAsia="cs-CZ" w:bidi="cs-CZ"/>
        </w:rPr>
        <w:t>VD Janov – aktualizace provozního řádu</w:t>
      </w:r>
      <w:r>
        <w:rPr>
          <w:color w:val="000000"/>
          <w:spacing w:val="0"/>
          <w:w w:val="100"/>
          <w:position w:val="0"/>
          <w:sz w:val="28"/>
          <w:szCs w:val="28"/>
          <w:shd w:val="clear" w:color="auto" w:fill="auto"/>
          <w:lang w:val="cs-CZ" w:eastAsia="cs-CZ" w:bidi="cs-CZ"/>
        </w:rPr>
        <w:t>“</w:t>
      </w:r>
      <w:bookmarkEnd w:id="6"/>
      <w:bookmarkEnd w:id="7"/>
      <w:bookmarkEnd w:id="8"/>
    </w:p>
    <w:p>
      <w:pPr>
        <w:pStyle w:val="Style13"/>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Dodavatel – společnost</w:t>
      </w:r>
    </w:p>
    <w:p>
      <w:pPr>
        <w:pStyle w:val="Style13"/>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„VP PROJEKTING“ s.r.o, Přemyslova 84/Vyšehrad 128 00 Praha, IČO 63676907, jednající prostřednictvím, jednatelem společnosti.</w:t>
      </w:r>
    </w:p>
    <w:p>
      <w:pPr>
        <w:pStyle w:val="Style13"/>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(dále jen „dodavatel“),</w:t>
      </w: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3"/>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3"/>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3"/>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3"/>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3"/>
        <w:keepNext w:val="0"/>
        <w:keepLines w:val="0"/>
        <w:widowControl w:val="0"/>
        <w:numPr>
          <w:ilvl w:val="0"/>
          <w:numId w:val="5"/>
        </w:numPr>
        <w:shd w:val="clear" w:color="auto" w:fill="auto"/>
        <w:tabs>
          <w:tab w:pos="358" w:val="left"/>
        </w:tabs>
        <w:bidi w:val="0"/>
        <w:spacing w:before="0" w:after="20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3"/>
        <w:keepNext w:val="0"/>
        <w:keepLines w:val="0"/>
        <w:widowControl w:val="0"/>
        <w:shd w:val="clear" w:color="auto" w:fill="auto"/>
        <w:bidi w:val="0"/>
        <w:spacing w:before="0" w:after="6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5170"/>
        <w:gridCol w:w="989"/>
        <w:gridCol w:w="2712"/>
      </w:tblGrid>
      <w:tr>
        <w:trPr>
          <w:trHeight w:val="523"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21"/>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29" w:hRule="exact"/>
        </w:trPr>
        <w:tc>
          <w:tcPr>
            <w:tcBorders/>
            <w:shd w:val="clear" w:color="auto" w:fill="FFFFFF"/>
            <w:vAlign w:val="bottom"/>
          </w:tcPr>
          <w:p>
            <w:pPr>
              <w:pStyle w:val="Style21"/>
              <w:keepNext w:val="0"/>
              <w:keepLines w:val="0"/>
              <w:widowControl w:val="0"/>
              <w:shd w:val="clear" w:color="auto" w:fill="auto"/>
              <w:tabs>
                <w:tab w:leader="dot" w:pos="4326" w:val="left"/>
              </w:tabs>
              <w:bidi w:val="0"/>
              <w:spacing w:before="0" w:after="0" w:line="240" w:lineRule="auto"/>
              <w:ind w:left="1460" w:right="0" w:firstLine="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21"/>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gridSpan w:val="3"/>
            <w:tcBorders/>
            <w:shd w:val="clear" w:color="auto" w:fill="FFFFFF"/>
            <w:vAlign w:val="center"/>
          </w:tcPr>
          <w:p>
            <w:pPr>
              <w:pStyle w:val="Style21"/>
              <w:keepNext w:val="0"/>
              <w:keepLines w:val="0"/>
              <w:widowControl w:val="0"/>
              <w:shd w:val="clear" w:color="auto" w:fill="auto"/>
              <w:bidi w:val="0"/>
              <w:spacing w:before="0" w:after="0" w:line="240" w:lineRule="auto"/>
              <w:ind w:left="1680" w:right="0" w:firstLine="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21"/>
              <w:keepNext w:val="0"/>
              <w:keepLines w:val="0"/>
              <w:widowControl w:val="0"/>
              <w:shd w:val="clear" w:color="auto" w:fill="auto"/>
              <w:tabs>
                <w:tab w:pos="1435" w:val="left"/>
                <w:tab w:leader="dot"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ab/>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21"/>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296" w:left="1076" w:right="1011" w:bottom="205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6023610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4.30000000000001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6264275</wp:posOffset>
              </wp:positionH>
              <wp:positionV relativeFrom="page">
                <wp:posOffset>344170</wp:posOffset>
              </wp:positionV>
              <wp:extent cx="557530" cy="191770"/>
              <wp:wrapNone/>
              <wp:docPr id="1" name="Shape 1"/>
              <a:graphic xmlns:a="http://schemas.openxmlformats.org/drawingml/2006/main">
                <a:graphicData uri="http://schemas.microsoft.com/office/word/2010/wordprocessingShape">
                  <wps:wsp>
                    <wps:cNvSpPr txBox="1"/>
                    <wps:spPr>
                      <a:xfrm>
                        <a:ext cx="55753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3.25pt;margin-top:27.100000000000001pt;width:43.899999999999999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80" w:after="44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440" w:line="413" w:lineRule="auto"/>
      <w:outlineLvl w:val="0"/>
    </w:pPr>
    <w:rPr>
      <w:rFonts w:ascii="Arial" w:eastAsia="Arial" w:hAnsi="Arial" w:cs="Arial"/>
      <w:b/>
      <w:bCs/>
      <w:i w:val="0"/>
      <w:iCs w:val="0"/>
      <w:smallCaps w:val="0"/>
      <w:strike w:val="0"/>
      <w:u w:val="none"/>
    </w:rPr>
  </w:style>
  <w:style w:type="paragraph" w:customStyle="1" w:styleId="Style13">
    <w:name w:val="Style 13"/>
    <w:basedOn w:val="Normal"/>
    <w:link w:val="CharStyle14"/>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line="523" w:lineRule="auto"/>
      <w:outlineLvl w:val="1"/>
    </w:pPr>
    <w:rPr>
      <w:rFonts w:ascii="Arial" w:eastAsia="Arial" w:hAnsi="Arial" w:cs="Arial"/>
      <w:b/>
      <w:bCs/>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