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C6BB" w14:textId="0527FD6A" w:rsidR="00EC40EC" w:rsidRPr="00D941EC" w:rsidRDefault="00EC40EC" w:rsidP="005F690C">
      <w:pPr>
        <w:pStyle w:val="SSNzev1"/>
        <w:rPr>
          <w:rFonts w:ascii="Tahoma" w:hAnsi="Tahoma" w:cs="Tahoma"/>
          <w:sz w:val="18"/>
          <w:szCs w:val="18"/>
        </w:rPr>
      </w:pPr>
      <w:r w:rsidRPr="00D941EC">
        <w:rPr>
          <w:rFonts w:ascii="Tahoma" w:hAnsi="Tahoma" w:cs="Tahoma"/>
          <w:sz w:val="18"/>
          <w:szCs w:val="18"/>
        </w:rPr>
        <w:t xml:space="preserve">smlouva o poskytování služeb podpory </w:t>
      </w:r>
    </w:p>
    <w:p w14:paraId="6023C3E1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571E87AC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10FB924E" w14:textId="77777777" w:rsidR="00AD1EFF" w:rsidRPr="00F82F0A" w:rsidRDefault="00AD1EFF" w:rsidP="00AD1EFF">
      <w:pPr>
        <w:tabs>
          <w:tab w:val="left" w:pos="2835"/>
        </w:tabs>
        <w:outlineLvl w:val="0"/>
        <w:rPr>
          <w:rFonts w:ascii="Tahoma" w:hAnsi="Tahoma" w:cs="Tahoma"/>
          <w:b/>
          <w:sz w:val="16"/>
          <w:szCs w:val="16"/>
        </w:rPr>
      </w:pPr>
      <w:r w:rsidRPr="00F82F0A">
        <w:rPr>
          <w:rFonts w:ascii="Tahoma" w:hAnsi="Tahoma" w:cs="Tahoma"/>
          <w:b/>
          <w:sz w:val="16"/>
          <w:szCs w:val="16"/>
        </w:rPr>
        <w:t>Simac Technik ČR, a.s.</w:t>
      </w:r>
    </w:p>
    <w:p w14:paraId="1E286C77" w14:textId="72DD01F5" w:rsidR="00AD1EFF" w:rsidRPr="00F82F0A" w:rsidRDefault="00495024" w:rsidP="00AD1EF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62488F" w:rsidRPr="00F82F0A">
        <w:rPr>
          <w:rFonts w:ascii="Tahoma" w:hAnsi="Tahoma" w:cs="Tahoma"/>
          <w:sz w:val="16"/>
          <w:szCs w:val="16"/>
        </w:rPr>
        <w:t>apsána</w:t>
      </w:r>
      <w:r>
        <w:rPr>
          <w:rFonts w:ascii="Tahoma" w:hAnsi="Tahoma" w:cs="Tahoma"/>
          <w:sz w:val="16"/>
          <w:szCs w:val="16"/>
        </w:rPr>
        <w:t xml:space="preserve"> v obchodním rejstříku</w:t>
      </w:r>
      <w:r w:rsidR="00AD1EFF" w:rsidRPr="00F82F0A">
        <w:rPr>
          <w:rFonts w:ascii="Tahoma" w:hAnsi="Tahoma" w:cs="Tahoma"/>
          <w:sz w:val="16"/>
          <w:szCs w:val="16"/>
        </w:rPr>
        <w:t xml:space="preserve"> </w:t>
      </w:r>
      <w:r w:rsidR="00AD1EFF" w:rsidRPr="00F82F0A">
        <w:rPr>
          <w:rFonts w:ascii="Tahoma" w:hAnsi="Tahoma" w:cs="Tahoma"/>
          <w:bCs/>
          <w:sz w:val="16"/>
          <w:szCs w:val="16"/>
        </w:rPr>
        <w:t>vedeném Městským soudem v Praze oddíl B, vložka</w:t>
      </w:r>
      <w:r w:rsidR="00D16EBF">
        <w:rPr>
          <w:rFonts w:ascii="Tahoma" w:hAnsi="Tahoma" w:cs="Tahoma"/>
          <w:bCs/>
          <w:sz w:val="16"/>
          <w:szCs w:val="16"/>
        </w:rPr>
        <w:t xml:space="preserve"> 3190</w:t>
      </w:r>
      <w:r w:rsidR="00AD1EFF" w:rsidRPr="00F82F0A">
        <w:rPr>
          <w:rFonts w:ascii="Tahoma" w:hAnsi="Tahoma" w:cs="Tahoma"/>
          <w:bCs/>
          <w:sz w:val="16"/>
          <w:szCs w:val="16"/>
        </w:rPr>
        <w:t xml:space="preserve">    </w:t>
      </w:r>
    </w:p>
    <w:p w14:paraId="0FD5D891" w14:textId="0909E597" w:rsidR="00AD1EFF" w:rsidRPr="00F82F0A" w:rsidRDefault="00AD1EFF" w:rsidP="00AD1EF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F82F0A">
        <w:rPr>
          <w:rFonts w:ascii="Tahoma" w:hAnsi="Tahoma" w:cs="Tahoma"/>
          <w:sz w:val="16"/>
          <w:szCs w:val="16"/>
        </w:rPr>
        <w:t xml:space="preserve">se </w:t>
      </w:r>
      <w:r w:rsidR="0062488F" w:rsidRPr="00F82F0A">
        <w:rPr>
          <w:rFonts w:ascii="Tahoma" w:hAnsi="Tahoma" w:cs="Tahoma"/>
          <w:sz w:val="16"/>
          <w:szCs w:val="16"/>
        </w:rPr>
        <w:t>sídlem:</w:t>
      </w:r>
      <w:r w:rsidR="00D16EBF">
        <w:rPr>
          <w:rFonts w:ascii="Tahoma" w:hAnsi="Tahoma" w:cs="Tahoma"/>
          <w:sz w:val="16"/>
          <w:szCs w:val="16"/>
        </w:rPr>
        <w:tab/>
      </w:r>
      <w:r w:rsidRPr="00F82F0A">
        <w:rPr>
          <w:rFonts w:ascii="Tahoma" w:hAnsi="Tahoma" w:cs="Tahoma"/>
          <w:bCs/>
          <w:sz w:val="16"/>
          <w:szCs w:val="16"/>
        </w:rPr>
        <w:t>Radlická 740/113c, 158 00, Praha 5</w:t>
      </w:r>
    </w:p>
    <w:p w14:paraId="19E1E328" w14:textId="3CF55B53" w:rsidR="00AD1EFF" w:rsidRPr="00F82F0A" w:rsidRDefault="0062488F" w:rsidP="00AD1EFF">
      <w:pPr>
        <w:pStyle w:val="NormlnBold"/>
        <w:spacing w:before="0"/>
        <w:rPr>
          <w:rFonts w:ascii="Tahoma" w:hAnsi="Tahoma" w:cs="Tahoma"/>
          <w:b w:val="0"/>
          <w:bCs/>
          <w:sz w:val="16"/>
          <w:szCs w:val="16"/>
          <w:lang w:val="nl-NL"/>
        </w:rPr>
      </w:pPr>
      <w:r w:rsidRPr="00D16EBF">
        <w:rPr>
          <w:rFonts w:ascii="Tahoma" w:hAnsi="Tahoma" w:cs="Tahoma"/>
          <w:b w:val="0"/>
          <w:bCs/>
          <w:sz w:val="16"/>
          <w:szCs w:val="16"/>
        </w:rPr>
        <w:t>zastoupena:</w:t>
      </w:r>
      <w:r w:rsidR="00D16EBF">
        <w:rPr>
          <w:rFonts w:ascii="Tahoma" w:hAnsi="Tahoma" w:cs="Tahoma"/>
          <w:sz w:val="16"/>
          <w:szCs w:val="16"/>
        </w:rPr>
        <w:tab/>
      </w:r>
      <w:r w:rsidR="00AD1EFF" w:rsidRPr="00F82F0A">
        <w:rPr>
          <w:rFonts w:ascii="Tahoma" w:hAnsi="Tahoma" w:cs="Tahoma"/>
          <w:b w:val="0"/>
          <w:bCs/>
          <w:sz w:val="16"/>
          <w:szCs w:val="16"/>
          <w:lang w:val="nl-NL"/>
        </w:rPr>
        <w:t>Ing. Martin Jireček – předseda představenstva</w:t>
      </w:r>
    </w:p>
    <w:p w14:paraId="09D43D04" w14:textId="4009352E" w:rsidR="00AD1EFF" w:rsidRPr="00F82F0A" w:rsidRDefault="00AD1EFF" w:rsidP="00D16EBF">
      <w:pPr>
        <w:pStyle w:val="NormlnBold"/>
        <w:spacing w:before="0"/>
        <w:ind w:left="708" w:firstLine="708"/>
        <w:rPr>
          <w:rFonts w:ascii="Tahoma" w:hAnsi="Tahoma" w:cs="Tahoma"/>
          <w:b w:val="0"/>
          <w:bCs/>
          <w:sz w:val="16"/>
          <w:szCs w:val="16"/>
          <w:lang w:val="nl-NL"/>
        </w:rPr>
      </w:pPr>
      <w:r w:rsidRPr="00F82F0A">
        <w:rPr>
          <w:rFonts w:ascii="Tahoma" w:hAnsi="Tahoma" w:cs="Tahoma"/>
          <w:b w:val="0"/>
          <w:bCs/>
          <w:sz w:val="16"/>
          <w:szCs w:val="16"/>
          <w:lang w:val="nl-NL"/>
        </w:rPr>
        <w:t>Ing. Tomáš Kudělka – místopředseda představenstva</w:t>
      </w:r>
    </w:p>
    <w:p w14:paraId="47B5C1AD" w14:textId="77777777" w:rsidR="00D16EBF" w:rsidRDefault="00AD1EFF" w:rsidP="00D16EBF">
      <w:pPr>
        <w:pStyle w:val="NormlnBold"/>
        <w:spacing w:before="0"/>
        <w:ind w:left="708" w:firstLine="708"/>
        <w:rPr>
          <w:rFonts w:ascii="Tahoma" w:hAnsi="Tahoma" w:cs="Tahoma"/>
          <w:b w:val="0"/>
          <w:bCs/>
          <w:sz w:val="16"/>
          <w:szCs w:val="16"/>
          <w:lang w:val="nl-NL"/>
        </w:rPr>
      </w:pPr>
      <w:r w:rsidRPr="00F82F0A">
        <w:rPr>
          <w:rFonts w:ascii="Tahoma" w:hAnsi="Tahoma" w:cs="Tahoma"/>
          <w:b w:val="0"/>
          <w:bCs/>
          <w:sz w:val="16"/>
          <w:szCs w:val="16"/>
          <w:lang w:val="nl-NL"/>
        </w:rPr>
        <w:t>Ing. Jaroslav Štefl – místopředseda představenstva</w:t>
      </w:r>
    </w:p>
    <w:p w14:paraId="559DAA40" w14:textId="17D7AA87" w:rsidR="00AD1EFF" w:rsidRPr="00F82F0A" w:rsidRDefault="00AD1EFF" w:rsidP="00D16EBF">
      <w:pPr>
        <w:pStyle w:val="NormlnBold"/>
        <w:spacing w:before="0"/>
        <w:ind w:left="1416"/>
        <w:rPr>
          <w:rFonts w:ascii="Tahoma" w:hAnsi="Tahoma" w:cs="Tahoma"/>
          <w:b w:val="0"/>
          <w:bCs/>
          <w:sz w:val="16"/>
          <w:szCs w:val="16"/>
          <w:lang w:val="nl-NL"/>
        </w:rPr>
      </w:pPr>
      <w:r w:rsidRPr="00F82F0A">
        <w:rPr>
          <w:rFonts w:ascii="Tahoma" w:hAnsi="Tahoma" w:cs="Tahoma"/>
          <w:b w:val="0"/>
          <w:bCs/>
          <w:sz w:val="16"/>
          <w:szCs w:val="16"/>
          <w:lang w:val="nl-NL"/>
        </w:rPr>
        <w:t>Ing. Ivo Němeček – člen představenstva</w:t>
      </w:r>
    </w:p>
    <w:p w14:paraId="1C993EC8" w14:textId="313365F4" w:rsidR="00AD1EFF" w:rsidRPr="00F82F0A" w:rsidRDefault="00AD1EFF" w:rsidP="00D16EBF">
      <w:pPr>
        <w:pStyle w:val="NormlnBold"/>
        <w:spacing w:before="0"/>
        <w:ind w:left="708" w:firstLine="708"/>
        <w:rPr>
          <w:rFonts w:ascii="Tahoma" w:hAnsi="Tahoma" w:cs="Tahoma"/>
          <w:b w:val="0"/>
          <w:bCs/>
          <w:sz w:val="16"/>
          <w:szCs w:val="16"/>
          <w:lang w:val="nl-NL"/>
        </w:rPr>
      </w:pPr>
      <w:r w:rsidRPr="00F82F0A">
        <w:rPr>
          <w:rFonts w:ascii="Tahoma" w:hAnsi="Tahoma" w:cs="Tahoma"/>
          <w:b w:val="0"/>
          <w:bCs/>
          <w:sz w:val="16"/>
          <w:szCs w:val="16"/>
          <w:lang w:val="nl-NL"/>
        </w:rPr>
        <w:t>Ing. Daniel Merhaut – člen představenstva</w:t>
      </w:r>
    </w:p>
    <w:p w14:paraId="3E0A36DA" w14:textId="77777777" w:rsidR="00AD1EFF" w:rsidRPr="00F82F0A" w:rsidRDefault="00AD1EFF" w:rsidP="00D16EBF">
      <w:pPr>
        <w:ind w:left="1416"/>
        <w:rPr>
          <w:rFonts w:ascii="Tahoma" w:hAnsi="Tahoma" w:cs="Tahoma"/>
          <w:sz w:val="16"/>
          <w:szCs w:val="16"/>
          <w:lang w:val="nl-NL" w:eastAsia="cs-CZ"/>
        </w:rPr>
      </w:pPr>
      <w:r w:rsidRPr="00F82F0A">
        <w:rPr>
          <w:rFonts w:ascii="Tahoma" w:hAnsi="Tahoma" w:cs="Tahoma"/>
          <w:bCs/>
          <w:sz w:val="16"/>
          <w:szCs w:val="16"/>
        </w:rPr>
        <w:t>Za společnost jednají dva členové představenstva společně, z nichž jeden je vždy předseda</w:t>
      </w:r>
      <w:r w:rsidRPr="00F82F0A">
        <w:rPr>
          <w:rFonts w:ascii="Tahoma" w:hAnsi="Tahoma" w:cs="Tahoma"/>
          <w:sz w:val="16"/>
          <w:szCs w:val="16"/>
        </w:rPr>
        <w:t xml:space="preserve"> </w:t>
      </w:r>
      <w:r w:rsidRPr="00F82F0A">
        <w:rPr>
          <w:rFonts w:ascii="Tahoma" w:hAnsi="Tahoma" w:cs="Tahoma"/>
          <w:bCs/>
          <w:sz w:val="16"/>
          <w:szCs w:val="16"/>
        </w:rPr>
        <w:t>nebo místopředseda představenstva</w:t>
      </w:r>
    </w:p>
    <w:p w14:paraId="478B12AE" w14:textId="2CBD452D" w:rsidR="00AD1EFF" w:rsidRPr="00F82F0A" w:rsidRDefault="0062488F" w:rsidP="00AD1EFF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F82F0A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F82F0A">
        <w:rPr>
          <w:rFonts w:ascii="Tahoma" w:hAnsi="Tahoma" w:cs="Tahoma"/>
          <w:sz w:val="16"/>
          <w:szCs w:val="16"/>
        </w:rPr>
        <w:t>:</w:t>
      </w:r>
      <w:r w:rsidR="00F6763D">
        <w:rPr>
          <w:rFonts w:ascii="Tahoma" w:hAnsi="Tahoma" w:cs="Tahoma"/>
          <w:sz w:val="16"/>
          <w:szCs w:val="16"/>
        </w:rPr>
        <w:t xml:space="preserve"> </w:t>
      </w:r>
      <w:r w:rsidR="00AD1EFF" w:rsidRPr="00F82F0A">
        <w:rPr>
          <w:rFonts w:ascii="Tahoma" w:hAnsi="Tahoma" w:cs="Tahoma"/>
          <w:bCs/>
          <w:sz w:val="16"/>
          <w:szCs w:val="16"/>
        </w:rPr>
        <w:t>630</w:t>
      </w:r>
      <w:r w:rsidR="00F6763D">
        <w:rPr>
          <w:rFonts w:ascii="Tahoma" w:hAnsi="Tahoma" w:cs="Tahoma"/>
          <w:bCs/>
          <w:sz w:val="16"/>
          <w:szCs w:val="16"/>
        </w:rPr>
        <w:t xml:space="preserve"> </w:t>
      </w:r>
      <w:r w:rsidR="00AD1EFF" w:rsidRPr="00F82F0A">
        <w:rPr>
          <w:rFonts w:ascii="Tahoma" w:hAnsi="Tahoma" w:cs="Tahoma"/>
          <w:bCs/>
          <w:sz w:val="16"/>
          <w:szCs w:val="16"/>
        </w:rPr>
        <w:t>79</w:t>
      </w:r>
      <w:r w:rsidR="00F6763D">
        <w:rPr>
          <w:rFonts w:ascii="Tahoma" w:hAnsi="Tahoma" w:cs="Tahoma"/>
          <w:bCs/>
          <w:sz w:val="16"/>
          <w:szCs w:val="16"/>
        </w:rPr>
        <w:t xml:space="preserve"> </w:t>
      </w:r>
      <w:r w:rsidR="00AD1EFF" w:rsidRPr="00F82F0A">
        <w:rPr>
          <w:rFonts w:ascii="Tahoma" w:hAnsi="Tahoma" w:cs="Tahoma"/>
          <w:bCs/>
          <w:sz w:val="16"/>
          <w:szCs w:val="16"/>
        </w:rPr>
        <w:t>496</w:t>
      </w:r>
      <w:r w:rsidR="00AD1EFF" w:rsidRPr="00F82F0A">
        <w:rPr>
          <w:rFonts w:ascii="Tahoma" w:hAnsi="Tahoma" w:cs="Tahoma"/>
          <w:sz w:val="16"/>
          <w:szCs w:val="16"/>
        </w:rPr>
        <w:tab/>
      </w:r>
      <w:r w:rsidRPr="00F82F0A">
        <w:rPr>
          <w:rFonts w:ascii="Tahoma" w:hAnsi="Tahoma" w:cs="Tahoma"/>
          <w:sz w:val="16"/>
          <w:szCs w:val="16"/>
        </w:rPr>
        <w:t xml:space="preserve">DIČ: </w:t>
      </w:r>
      <w:r w:rsidR="00AD1EFF" w:rsidRPr="00F82F0A">
        <w:rPr>
          <w:rFonts w:ascii="Tahoma" w:hAnsi="Tahoma" w:cs="Tahoma"/>
          <w:sz w:val="16"/>
          <w:szCs w:val="16"/>
        </w:rPr>
        <w:t>CZ</w:t>
      </w:r>
      <w:r w:rsidR="00AD1EFF" w:rsidRPr="00F82F0A">
        <w:rPr>
          <w:rFonts w:ascii="Tahoma" w:hAnsi="Tahoma" w:cs="Tahoma"/>
          <w:bCs/>
          <w:sz w:val="16"/>
          <w:szCs w:val="16"/>
        </w:rPr>
        <w:t>63079496</w:t>
      </w:r>
    </w:p>
    <w:p w14:paraId="3D58830A" w14:textId="74139900" w:rsidR="00AD1EFF" w:rsidRPr="00F82F0A" w:rsidRDefault="00AD1EFF" w:rsidP="00AD1EF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F82F0A">
        <w:rPr>
          <w:rFonts w:ascii="Tahoma" w:hAnsi="Tahoma" w:cs="Tahoma"/>
          <w:sz w:val="16"/>
          <w:szCs w:val="16"/>
        </w:rPr>
        <w:t xml:space="preserve">bankovní </w:t>
      </w:r>
      <w:r w:rsidR="0062488F" w:rsidRPr="00F82F0A">
        <w:rPr>
          <w:rFonts w:ascii="Tahoma" w:hAnsi="Tahoma" w:cs="Tahoma"/>
          <w:sz w:val="16"/>
          <w:szCs w:val="16"/>
        </w:rPr>
        <w:t>spojení:</w:t>
      </w:r>
      <w:r w:rsidR="0062488F">
        <w:rPr>
          <w:rFonts w:ascii="Tahoma" w:hAnsi="Tahoma" w:cs="Tahoma"/>
          <w:sz w:val="16"/>
          <w:szCs w:val="16"/>
        </w:rPr>
        <w:t xml:space="preserve"> </w:t>
      </w:r>
      <w:r w:rsidR="00F6763D">
        <w:rPr>
          <w:rFonts w:ascii="Tahoma" w:hAnsi="Tahoma" w:cs="Tahoma"/>
          <w:sz w:val="16"/>
          <w:szCs w:val="16"/>
        </w:rPr>
        <w:tab/>
      </w:r>
      <w:r w:rsidR="0062488F" w:rsidRPr="00F82F0A">
        <w:rPr>
          <w:rFonts w:ascii="Tahoma" w:hAnsi="Tahoma" w:cs="Tahoma"/>
          <w:sz w:val="16"/>
          <w:szCs w:val="16"/>
        </w:rPr>
        <w:t>ČSOB</w:t>
      </w:r>
    </w:p>
    <w:p w14:paraId="07A7EAB5" w14:textId="2EE1840C" w:rsidR="00AD1EFF" w:rsidRPr="00F82F0A" w:rsidRDefault="00AD1EFF" w:rsidP="00AD1EF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F82F0A">
        <w:rPr>
          <w:rFonts w:ascii="Tahoma" w:hAnsi="Tahoma" w:cs="Tahoma"/>
          <w:sz w:val="16"/>
          <w:szCs w:val="16"/>
        </w:rPr>
        <w:t xml:space="preserve">číslo </w:t>
      </w:r>
      <w:r w:rsidR="0062488F" w:rsidRPr="00F82F0A">
        <w:rPr>
          <w:rFonts w:ascii="Tahoma" w:hAnsi="Tahoma" w:cs="Tahoma"/>
          <w:sz w:val="16"/>
          <w:szCs w:val="16"/>
        </w:rPr>
        <w:t xml:space="preserve">účtu: </w:t>
      </w:r>
      <w:r w:rsidR="0062488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    </w:t>
      </w:r>
      <w:r w:rsidR="00F6763D">
        <w:rPr>
          <w:rFonts w:ascii="Tahoma" w:hAnsi="Tahoma" w:cs="Tahoma"/>
          <w:sz w:val="16"/>
          <w:szCs w:val="16"/>
        </w:rPr>
        <w:tab/>
      </w:r>
      <w:r w:rsidRPr="00F82F0A">
        <w:rPr>
          <w:rFonts w:ascii="Tahoma" w:hAnsi="Tahoma" w:cs="Tahoma"/>
          <w:sz w:val="16"/>
          <w:szCs w:val="16"/>
        </w:rPr>
        <w:t>8010-616133653/0300</w:t>
      </w:r>
    </w:p>
    <w:p w14:paraId="1F2002B8" w14:textId="5088A010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ab/>
      </w:r>
    </w:p>
    <w:p w14:paraId="2A150BA3" w14:textId="77777777" w:rsidR="00F17EAB" w:rsidRPr="00D941EC" w:rsidRDefault="00F17EAB" w:rsidP="00F17EAB">
      <w:pPr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poskytovatel </w:t>
      </w:r>
      <w:r w:rsidRPr="00D941EC">
        <w:rPr>
          <w:rFonts w:ascii="Tahoma" w:hAnsi="Tahoma" w:cs="Tahoma"/>
          <w:sz w:val="16"/>
          <w:szCs w:val="16"/>
        </w:rPr>
        <w:t>na straně jedné (dále jen „poskytovatel“)</w:t>
      </w:r>
    </w:p>
    <w:p w14:paraId="046C27F0" w14:textId="77777777" w:rsidR="00F17EAB" w:rsidRPr="00D941EC" w:rsidRDefault="00F17EAB" w:rsidP="00F17EAB">
      <w:pPr>
        <w:jc w:val="center"/>
        <w:rPr>
          <w:rFonts w:ascii="Tahoma" w:hAnsi="Tahoma" w:cs="Tahoma"/>
          <w:b/>
          <w:sz w:val="16"/>
          <w:szCs w:val="16"/>
        </w:rPr>
      </w:pPr>
    </w:p>
    <w:p w14:paraId="4444CCBF" w14:textId="77777777" w:rsidR="00F17EAB" w:rsidRPr="00D941EC" w:rsidRDefault="00F17EAB" w:rsidP="00F17EAB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a</w:t>
      </w:r>
    </w:p>
    <w:p w14:paraId="1E6F9BD2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3AB9985D" w14:textId="77777777" w:rsidR="00F17EAB" w:rsidRDefault="00F17EAB" w:rsidP="00F17EAB">
      <w:pPr>
        <w:rPr>
          <w:rFonts w:ascii="Tahoma" w:hAnsi="Tahoma" w:cs="Tahoma"/>
          <w:b/>
          <w:kern w:val="0"/>
          <w:sz w:val="16"/>
          <w:szCs w:val="16"/>
          <w:lang w:eastAsia="cs-CZ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D16EFCA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 sídlem:  </w:t>
      </w:r>
      <w:r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73FA0793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   </w:t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5A018185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          </w:t>
      </w:r>
      <w:r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06D2B38C" w14:textId="77777777" w:rsidR="00F17EAB" w:rsidRDefault="00F17EAB" w:rsidP="00F17EAB">
      <w:pPr>
        <w:pStyle w:val="Nadpis4"/>
        <w:numPr>
          <w:ilvl w:val="0"/>
          <w:numId w:val="0"/>
        </w:numPr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bankovní spojení: </w:t>
      </w:r>
      <w:r>
        <w:rPr>
          <w:rFonts w:ascii="Tahoma" w:eastAsia="Calibri" w:hAnsi="Tahoma" w:cs="Tahoma"/>
          <w:sz w:val="16"/>
          <w:szCs w:val="16"/>
        </w:rPr>
        <w:tab/>
        <w:t>ČNB</w:t>
      </w:r>
    </w:p>
    <w:p w14:paraId="5C3EA85F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6ACE2C49" w14:textId="77777777" w:rsidR="00F17EAB" w:rsidRPr="00D941EC" w:rsidRDefault="00F17EAB" w:rsidP="00F17EAB">
      <w:pPr>
        <w:ind w:firstLine="708"/>
        <w:rPr>
          <w:rFonts w:ascii="Tahoma" w:hAnsi="Tahoma" w:cs="Tahoma"/>
          <w:sz w:val="16"/>
          <w:szCs w:val="16"/>
        </w:rPr>
      </w:pPr>
    </w:p>
    <w:p w14:paraId="0285DC51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objednatel </w:t>
      </w:r>
      <w:r w:rsidRPr="00D941EC">
        <w:rPr>
          <w:rFonts w:ascii="Tahoma" w:hAnsi="Tahoma" w:cs="Tahoma"/>
          <w:sz w:val="16"/>
          <w:szCs w:val="16"/>
        </w:rPr>
        <w:t>na straně druhé (dále jen „objednatel“)</w:t>
      </w:r>
    </w:p>
    <w:p w14:paraId="6461C333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2A8BD7ED" w14:textId="4A833E2D" w:rsidR="005F690C" w:rsidRPr="00D941EC" w:rsidRDefault="002F6022" w:rsidP="005F690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a objednatel společně též jako „smluvní strany“</w:t>
      </w:r>
    </w:p>
    <w:p w14:paraId="35E3FA35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6F8D659" w14:textId="77777777" w:rsidR="00F11D70" w:rsidRPr="00D941EC" w:rsidRDefault="00F11D70" w:rsidP="005F690C">
      <w:pPr>
        <w:jc w:val="both"/>
        <w:rPr>
          <w:rFonts w:ascii="Tahoma" w:hAnsi="Tahoma" w:cs="Tahoma"/>
          <w:sz w:val="16"/>
          <w:szCs w:val="16"/>
        </w:rPr>
      </w:pPr>
    </w:p>
    <w:p w14:paraId="2F3CC5DF" w14:textId="5D7316EF" w:rsidR="00CF7927" w:rsidRPr="005F690C" w:rsidRDefault="00CF7927" w:rsidP="00CF7927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5F690C">
        <w:rPr>
          <w:rFonts w:ascii="Tahoma" w:hAnsi="Tahoma" w:cs="Tahoma"/>
          <w:b/>
          <w:sz w:val="16"/>
          <w:szCs w:val="16"/>
        </w:rPr>
        <w:t>veřejné zakázky</w:t>
      </w:r>
      <w:r>
        <w:rPr>
          <w:rFonts w:ascii="Tahoma" w:hAnsi="Tahoma" w:cs="Tahoma"/>
          <w:b/>
          <w:sz w:val="16"/>
          <w:szCs w:val="16"/>
        </w:rPr>
        <w:t xml:space="preserve"> malého rozsahu</w:t>
      </w:r>
      <w:r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s názvem </w:t>
      </w:r>
      <w:r w:rsidRPr="00DA75B0">
        <w:rPr>
          <w:rFonts w:ascii="Tahoma" w:hAnsi="Tahoma" w:cs="Tahoma"/>
          <w:b/>
          <w:sz w:val="16"/>
          <w:szCs w:val="16"/>
        </w:rPr>
        <w:t>„</w:t>
      </w:r>
      <w:r w:rsidRPr="61C8735C">
        <w:rPr>
          <w:rFonts w:ascii="Tahoma" w:hAnsi="Tahoma" w:cs="Tahoma"/>
          <w:b/>
          <w:bCs/>
          <w:sz w:val="16"/>
          <w:szCs w:val="16"/>
        </w:rPr>
        <w:t xml:space="preserve">Podpora </w:t>
      </w:r>
      <w:r w:rsidR="008E7D28">
        <w:rPr>
          <w:rFonts w:ascii="Tahoma" w:hAnsi="Tahoma" w:cs="Tahoma"/>
          <w:b/>
          <w:bCs/>
          <w:sz w:val="16"/>
          <w:szCs w:val="16"/>
        </w:rPr>
        <w:t>síťových prvků CISCO</w:t>
      </w:r>
      <w:r w:rsidRPr="00DA75B0">
        <w:rPr>
          <w:rFonts w:ascii="Tahoma" w:hAnsi="Tahoma" w:cs="Tahoma"/>
          <w:b/>
          <w:sz w:val="16"/>
          <w:szCs w:val="16"/>
        </w:rPr>
        <w:t>“</w:t>
      </w:r>
      <w:r w:rsidRPr="00E61A03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 xml:space="preserve">zadávané na elektronickém tržišti Tendermarket pod systémovým číslem </w:t>
      </w:r>
      <w:r w:rsidR="00AD1EFF" w:rsidRPr="00495024">
        <w:rPr>
          <w:rFonts w:ascii="Tahoma" w:hAnsi="Tahoma" w:cs="Tahoma"/>
          <w:sz w:val="16"/>
          <w:szCs w:val="16"/>
        </w:rPr>
        <w:t>T</w:t>
      </w:r>
      <w:r w:rsidR="00BC0F4D">
        <w:rPr>
          <w:rFonts w:ascii="Tahoma" w:hAnsi="Tahoma" w:cs="Tahoma"/>
          <w:sz w:val="16"/>
          <w:szCs w:val="16"/>
        </w:rPr>
        <w:t>0</w:t>
      </w:r>
      <w:r w:rsidR="00AD1EFF" w:rsidRPr="00495024">
        <w:rPr>
          <w:rFonts w:ascii="Tahoma" w:hAnsi="Tahoma" w:cs="Tahoma"/>
          <w:sz w:val="16"/>
          <w:szCs w:val="16"/>
        </w:rPr>
        <w:t>04/25V/00006887</w:t>
      </w:r>
      <w:r w:rsidRPr="004438C8">
        <w:rPr>
          <w:rFonts w:ascii="Tahoma" w:hAnsi="Tahoma" w:cs="Tahoma"/>
          <w:sz w:val="16"/>
          <w:szCs w:val="16"/>
        </w:rPr>
        <w:t xml:space="preserve"> v otevřeném řízení (dále jen „veřejná zakázka“)</w:t>
      </w:r>
      <w:r w:rsidRPr="005F690C">
        <w:rPr>
          <w:rFonts w:ascii="Tahoma" w:hAnsi="Tahoma" w:cs="Tahoma"/>
          <w:sz w:val="16"/>
          <w:szCs w:val="16"/>
        </w:rPr>
        <w:t xml:space="preserve">, v souladu s ustanovením </w:t>
      </w:r>
      <w:r w:rsidRPr="005F690C">
        <w:rPr>
          <w:rFonts w:ascii="Tahoma" w:hAnsi="Tahoma" w:cs="Tahoma"/>
          <w:iCs/>
          <w:sz w:val="16"/>
          <w:szCs w:val="16"/>
        </w:rPr>
        <w:t>§ 1746 odst. 2. zákona č. 89/2012 Sb., občanský zákoník</w:t>
      </w:r>
      <w:r w:rsidRPr="005F690C">
        <w:rPr>
          <w:rFonts w:ascii="Tahoma" w:hAnsi="Tahoma" w:cs="Tahoma"/>
          <w:sz w:val="16"/>
          <w:szCs w:val="16"/>
        </w:rPr>
        <w:t>, v</w:t>
      </w:r>
      <w:r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platném znění, (dále jen „občanský zákoník.“), tuto</w:t>
      </w:r>
    </w:p>
    <w:p w14:paraId="06029EBF" w14:textId="77777777" w:rsidR="005F690C" w:rsidRPr="00D941E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18C98B6B" w14:textId="77777777" w:rsidR="00BA5FA7" w:rsidRDefault="00EC40E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 xml:space="preserve">smlouvu o poskytování služeb podpory </w:t>
      </w:r>
      <w:r w:rsidR="00EB785A" w:rsidRPr="00D941EC">
        <w:rPr>
          <w:rFonts w:ascii="Tahoma" w:hAnsi="Tahoma" w:cs="Tahoma"/>
          <w:b/>
          <w:sz w:val="16"/>
          <w:szCs w:val="16"/>
        </w:rPr>
        <w:t xml:space="preserve">pro </w:t>
      </w:r>
      <w:r w:rsidR="008E7D28">
        <w:rPr>
          <w:rFonts w:ascii="Tahoma" w:hAnsi="Tahoma" w:cs="Tahoma"/>
          <w:b/>
          <w:sz w:val="16"/>
          <w:szCs w:val="16"/>
        </w:rPr>
        <w:t>síťové prvky CISCO</w:t>
      </w:r>
      <w:r w:rsidR="00EB785A" w:rsidRPr="00D941EC">
        <w:rPr>
          <w:rFonts w:ascii="Tahoma" w:hAnsi="Tahoma" w:cs="Tahoma"/>
          <w:b/>
          <w:sz w:val="16"/>
          <w:szCs w:val="16"/>
        </w:rPr>
        <w:t xml:space="preserve"> </w:t>
      </w:r>
    </w:p>
    <w:p w14:paraId="2D90B08C" w14:textId="4B57AC86" w:rsidR="00EC40EC" w:rsidRPr="00D941EC" w:rsidRDefault="00EC40E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(dále jen „smlouva“)</w:t>
      </w:r>
    </w:p>
    <w:p w14:paraId="22D1B650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24BF187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67DB96A" w14:textId="77777777" w:rsidR="00EC40EC" w:rsidRPr="00D941E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I. Předmět smlouvy</w:t>
      </w:r>
    </w:p>
    <w:p w14:paraId="703EC42A" w14:textId="77777777" w:rsidR="00990E40" w:rsidRPr="00D941E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32F862FD" w14:textId="7D826EC9" w:rsidR="00715AEA" w:rsidRPr="005F690C" w:rsidRDefault="00715AEA" w:rsidP="006B2FB8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Poskytovatel je certifikovaným partnerem společnosti </w:t>
      </w:r>
      <w:r w:rsidR="008E7D28">
        <w:rPr>
          <w:rFonts w:ascii="Tahoma" w:hAnsi="Tahoma" w:cs="Tahoma"/>
          <w:sz w:val="16"/>
          <w:szCs w:val="16"/>
        </w:rPr>
        <w:t>Cisco</w:t>
      </w:r>
      <w:r w:rsidR="00F01D1D">
        <w:rPr>
          <w:rFonts w:ascii="Tahoma" w:hAnsi="Tahoma" w:cs="Tahoma"/>
          <w:sz w:val="16"/>
          <w:szCs w:val="16"/>
        </w:rPr>
        <w:t xml:space="preserve"> Systems</w:t>
      </w:r>
      <w:r w:rsidRPr="005F690C">
        <w:rPr>
          <w:rFonts w:ascii="Tahoma" w:hAnsi="Tahoma" w:cs="Tahoma"/>
          <w:sz w:val="16"/>
          <w:szCs w:val="16"/>
        </w:rPr>
        <w:t xml:space="preserve"> (dále jen </w:t>
      </w:r>
      <w:r w:rsidR="00F01D1D">
        <w:rPr>
          <w:rFonts w:ascii="Tahoma" w:hAnsi="Tahoma" w:cs="Tahoma"/>
          <w:sz w:val="16"/>
          <w:szCs w:val="16"/>
        </w:rPr>
        <w:t>„Cisco“</w:t>
      </w:r>
      <w:r w:rsidRPr="005F690C">
        <w:rPr>
          <w:rFonts w:ascii="Tahoma" w:hAnsi="Tahoma" w:cs="Tahoma"/>
          <w:sz w:val="16"/>
          <w:szCs w:val="16"/>
        </w:rPr>
        <w:t xml:space="preserve">). Poskytovatel se touto smlouvou zavazuje zajistit objednateli poskytování služby </w:t>
      </w:r>
      <w:r w:rsidRPr="005F690C">
        <w:rPr>
          <w:rFonts w:ascii="Tahoma" w:hAnsi="Tahoma" w:cs="Tahoma"/>
          <w:b/>
          <w:sz w:val="16"/>
          <w:szCs w:val="16"/>
        </w:rPr>
        <w:t xml:space="preserve">podpory pro </w:t>
      </w:r>
      <w:r w:rsidR="00A15E27">
        <w:rPr>
          <w:rFonts w:ascii="Tahoma" w:hAnsi="Tahoma" w:cs="Tahoma"/>
          <w:b/>
          <w:sz w:val="16"/>
          <w:szCs w:val="16"/>
        </w:rPr>
        <w:t>síťové prvky Cisco</w:t>
      </w:r>
      <w:r w:rsidRPr="005F690C">
        <w:rPr>
          <w:rFonts w:ascii="Tahoma" w:hAnsi="Tahoma" w:cs="Tahoma"/>
          <w:b/>
          <w:sz w:val="16"/>
          <w:szCs w:val="16"/>
        </w:rPr>
        <w:t xml:space="preserve"> (dále jen „podpora“) </w:t>
      </w:r>
      <w:r>
        <w:rPr>
          <w:rFonts w:ascii="Tahoma" w:hAnsi="Tahoma" w:cs="Tahoma"/>
          <w:sz w:val="16"/>
          <w:szCs w:val="16"/>
        </w:rPr>
        <w:t>prodloužením podpory výrobce</w:t>
      </w:r>
      <w:r w:rsidR="00443E6F"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sz w:val="16"/>
          <w:szCs w:val="16"/>
        </w:rPr>
        <w:t>zajistit její aktivaci a úhradu a objednatel se zavazuje uhradit poskytovateli sjednanou odměnu</w:t>
      </w:r>
      <w:r w:rsidR="00443E6F">
        <w:rPr>
          <w:rFonts w:ascii="Tahoma" w:hAnsi="Tahoma" w:cs="Tahoma"/>
          <w:sz w:val="16"/>
          <w:szCs w:val="16"/>
        </w:rPr>
        <w:t xml:space="preserve">. Předmětem smlouvy jsou rovněž </w:t>
      </w:r>
      <w:r w:rsidRPr="005F690C">
        <w:rPr>
          <w:rFonts w:ascii="Tahoma" w:hAnsi="Tahoma" w:cs="Tahoma"/>
          <w:sz w:val="16"/>
          <w:szCs w:val="16"/>
        </w:rPr>
        <w:t xml:space="preserve">i další závazky a práva smluvních stran </w:t>
      </w:r>
      <w:r w:rsidR="00443E6F">
        <w:rPr>
          <w:rFonts w:ascii="Tahoma" w:hAnsi="Tahoma" w:cs="Tahoma"/>
          <w:sz w:val="16"/>
          <w:szCs w:val="16"/>
        </w:rPr>
        <w:t xml:space="preserve">plynoucí </w:t>
      </w:r>
      <w:r w:rsidRPr="005F690C">
        <w:rPr>
          <w:rFonts w:ascii="Tahoma" w:hAnsi="Tahoma" w:cs="Tahoma"/>
          <w:sz w:val="16"/>
          <w:szCs w:val="16"/>
        </w:rPr>
        <w:t>z této smlouvy.</w:t>
      </w:r>
    </w:p>
    <w:p w14:paraId="7DFA54C1" w14:textId="77777777" w:rsidR="00715AEA" w:rsidRPr="005F690C" w:rsidRDefault="00715AEA" w:rsidP="006B2FB8">
      <w:pPr>
        <w:ind w:hanging="357"/>
      </w:pPr>
    </w:p>
    <w:p w14:paraId="07926FF2" w14:textId="0FE11A9F" w:rsidR="001D32C5" w:rsidRDefault="001D32C5" w:rsidP="006B2FB8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D32C5">
        <w:rPr>
          <w:rFonts w:ascii="Tahoma" w:hAnsi="Tahoma" w:cs="Tahoma"/>
          <w:sz w:val="16"/>
          <w:szCs w:val="16"/>
        </w:rPr>
        <w:t xml:space="preserve">Vzhledem k tomu, že dodávané služby podpory výrobce, jsou poskytované na systémy a technologie nezbytné pro zajištění základní služby: Poskytování zdravotních služeb dle </w:t>
      </w:r>
      <w:r w:rsidR="00A3712E">
        <w:rPr>
          <w:rFonts w:ascii="Tahoma" w:hAnsi="Tahoma" w:cs="Tahoma"/>
          <w:sz w:val="16"/>
          <w:szCs w:val="16"/>
        </w:rPr>
        <w:t>z</w:t>
      </w:r>
      <w:r w:rsidRPr="001D32C5">
        <w:rPr>
          <w:rFonts w:ascii="Tahoma" w:hAnsi="Tahoma" w:cs="Tahoma"/>
          <w:sz w:val="16"/>
          <w:szCs w:val="16"/>
        </w:rPr>
        <w:t>ákona č. 181/2014 Sb., o kybernetické bezpečnosti a o změně souvisejících zákonů (dále jen „ZKB“), se orgán nebo osoba (</w:t>
      </w:r>
      <w:r w:rsidR="00D22DCF">
        <w:rPr>
          <w:rFonts w:ascii="Tahoma" w:hAnsi="Tahoma" w:cs="Tahoma"/>
          <w:sz w:val="16"/>
          <w:szCs w:val="16"/>
        </w:rPr>
        <w:t>poskyto</w:t>
      </w:r>
      <w:r w:rsidRPr="001D32C5">
        <w:rPr>
          <w:rFonts w:ascii="Tahoma" w:hAnsi="Tahoma" w:cs="Tahoma"/>
          <w:sz w:val="16"/>
          <w:szCs w:val="16"/>
        </w:rPr>
        <w:t>vatel) poskytující služby podpory stává provozovatelem základní služby podle § 3 písm. f)</w:t>
      </w:r>
      <w:r w:rsidR="005766EA">
        <w:rPr>
          <w:rFonts w:ascii="Tahoma" w:hAnsi="Tahoma" w:cs="Tahoma"/>
          <w:sz w:val="16"/>
          <w:szCs w:val="16"/>
        </w:rPr>
        <w:t xml:space="preserve"> ZKB</w:t>
      </w:r>
      <w:r w:rsidRPr="001D32C5">
        <w:rPr>
          <w:rFonts w:ascii="Tahoma" w:hAnsi="Tahoma" w:cs="Tahoma"/>
          <w:sz w:val="16"/>
          <w:szCs w:val="16"/>
        </w:rPr>
        <w:t xml:space="preserve">. </w:t>
      </w:r>
    </w:p>
    <w:p w14:paraId="17DD45E6" w14:textId="77777777" w:rsidR="001D32C5" w:rsidRDefault="001D32C5" w:rsidP="006B2FB8">
      <w:pPr>
        <w:ind w:hanging="357"/>
      </w:pPr>
    </w:p>
    <w:p w14:paraId="1ECF37C3" w14:textId="22C97415" w:rsidR="00715AEA" w:rsidRPr="00345DB6" w:rsidRDefault="00715AEA" w:rsidP="006B2FB8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5DB6">
        <w:rPr>
          <w:rFonts w:ascii="Tahoma" w:hAnsi="Tahoma" w:cs="Tahoma"/>
          <w:sz w:val="16"/>
          <w:szCs w:val="16"/>
        </w:rPr>
        <w:t xml:space="preserve">Rozsah a technická specifikace podpory je uvedena v </w:t>
      </w:r>
      <w:r w:rsidR="00045DD9" w:rsidRPr="00345DB6">
        <w:rPr>
          <w:rFonts w:ascii="Tahoma" w:hAnsi="Tahoma" w:cs="Tahoma"/>
          <w:sz w:val="16"/>
          <w:szCs w:val="16"/>
        </w:rPr>
        <w:t>p</w:t>
      </w:r>
      <w:r w:rsidRPr="00345DB6">
        <w:rPr>
          <w:rFonts w:ascii="Tahoma" w:hAnsi="Tahoma" w:cs="Tahoma"/>
          <w:sz w:val="16"/>
          <w:szCs w:val="16"/>
        </w:rPr>
        <w:t xml:space="preserve">říloze č. </w:t>
      </w:r>
      <w:r w:rsidR="00920C87" w:rsidRPr="00345DB6">
        <w:rPr>
          <w:rFonts w:ascii="Tahoma" w:hAnsi="Tahoma" w:cs="Tahoma"/>
          <w:sz w:val="16"/>
          <w:szCs w:val="16"/>
        </w:rPr>
        <w:t>1</w:t>
      </w:r>
      <w:r w:rsidRPr="00345DB6">
        <w:rPr>
          <w:rFonts w:ascii="Tahoma" w:hAnsi="Tahoma" w:cs="Tahoma"/>
          <w:sz w:val="16"/>
          <w:szCs w:val="16"/>
        </w:rPr>
        <w:t xml:space="preserve"> této smlouvy</w:t>
      </w:r>
      <w:r w:rsidR="00C10A4B">
        <w:rPr>
          <w:rFonts w:ascii="Tahoma" w:hAnsi="Tahoma" w:cs="Tahoma"/>
          <w:sz w:val="16"/>
          <w:szCs w:val="16"/>
        </w:rPr>
        <w:t xml:space="preserve"> a </w:t>
      </w:r>
      <w:r w:rsidRPr="00345DB6">
        <w:rPr>
          <w:rFonts w:ascii="Tahoma" w:hAnsi="Tahoma" w:cs="Tahoma"/>
          <w:sz w:val="16"/>
          <w:szCs w:val="16"/>
        </w:rPr>
        <w:t xml:space="preserve">je </w:t>
      </w:r>
      <w:r w:rsidR="00C10A4B">
        <w:rPr>
          <w:rFonts w:ascii="Tahoma" w:hAnsi="Tahoma" w:cs="Tahoma"/>
          <w:sz w:val="16"/>
          <w:szCs w:val="16"/>
        </w:rPr>
        <w:t xml:space="preserve">její </w:t>
      </w:r>
      <w:r w:rsidRPr="00345DB6">
        <w:rPr>
          <w:rFonts w:ascii="Tahoma" w:hAnsi="Tahoma" w:cs="Tahoma"/>
          <w:sz w:val="16"/>
          <w:szCs w:val="16"/>
        </w:rPr>
        <w:t xml:space="preserve">nedílnou součástí. Platnost a rozsah podpory na </w:t>
      </w:r>
      <w:r w:rsidR="00DB5DDE" w:rsidRPr="00345DB6">
        <w:rPr>
          <w:rFonts w:ascii="Tahoma" w:hAnsi="Tahoma" w:cs="Tahoma"/>
          <w:sz w:val="16"/>
          <w:szCs w:val="16"/>
        </w:rPr>
        <w:t xml:space="preserve">síťové prvky Cisco </w:t>
      </w:r>
      <w:r w:rsidRPr="00345DB6">
        <w:rPr>
          <w:rFonts w:ascii="Tahoma" w:hAnsi="Tahoma" w:cs="Tahoma"/>
          <w:sz w:val="16"/>
          <w:szCs w:val="16"/>
        </w:rPr>
        <w:t xml:space="preserve">dle specifikace uvedené v příloze č. </w:t>
      </w:r>
      <w:r w:rsidR="00920C87" w:rsidRPr="00345DB6">
        <w:rPr>
          <w:rFonts w:ascii="Tahoma" w:hAnsi="Tahoma" w:cs="Tahoma"/>
          <w:sz w:val="16"/>
          <w:szCs w:val="16"/>
        </w:rPr>
        <w:t>1</w:t>
      </w:r>
      <w:r w:rsidRPr="00345DB6">
        <w:rPr>
          <w:rFonts w:ascii="Tahoma" w:hAnsi="Tahoma" w:cs="Tahoma"/>
          <w:sz w:val="16"/>
          <w:szCs w:val="16"/>
        </w:rPr>
        <w:t xml:space="preserve"> této smlouvy lze zkontrolovat na</w:t>
      </w:r>
      <w:r w:rsidR="0074047A" w:rsidRPr="00345DB6">
        <w:rPr>
          <w:rFonts w:ascii="Tahoma" w:hAnsi="Tahoma" w:cs="Tahoma"/>
          <w:sz w:val="16"/>
          <w:szCs w:val="16"/>
        </w:rPr>
        <w:t> </w:t>
      </w:r>
      <w:r w:rsidRPr="00345DB6">
        <w:rPr>
          <w:rFonts w:ascii="Tahoma" w:hAnsi="Tahoma" w:cs="Tahoma"/>
          <w:sz w:val="16"/>
          <w:szCs w:val="16"/>
        </w:rPr>
        <w:t xml:space="preserve">příslušném webovém portálu </w:t>
      </w:r>
      <w:r w:rsidR="00345DB6" w:rsidRPr="00345DB6">
        <w:rPr>
          <w:rFonts w:ascii="Tahoma" w:hAnsi="Tahoma" w:cs="Tahoma"/>
          <w:sz w:val="16"/>
          <w:szCs w:val="16"/>
        </w:rPr>
        <w:t xml:space="preserve">Cisco </w:t>
      </w:r>
      <w:r w:rsidRPr="00345DB6">
        <w:rPr>
          <w:rFonts w:ascii="Tahoma" w:hAnsi="Tahoma" w:cs="Tahoma"/>
          <w:sz w:val="16"/>
          <w:szCs w:val="16"/>
        </w:rPr>
        <w:t>po přihlášení se již existujícím účtem objednatele.</w:t>
      </w:r>
    </w:p>
    <w:p w14:paraId="0E9AF7F4" w14:textId="77777777" w:rsidR="00E30EDF" w:rsidRDefault="00E30EDF" w:rsidP="006B2FB8">
      <w:pPr>
        <w:ind w:hanging="357"/>
      </w:pPr>
    </w:p>
    <w:p w14:paraId="6A270363" w14:textId="77777777" w:rsidR="00FD3C30" w:rsidRPr="00F54E2E" w:rsidRDefault="00FD3C30" w:rsidP="006B2FB8">
      <w:pPr>
        <w:ind w:hanging="357"/>
        <w:rPr>
          <w:rFonts w:ascii="Tahoma" w:hAnsi="Tahoma" w:cs="Tahoma"/>
          <w:sz w:val="16"/>
          <w:szCs w:val="16"/>
        </w:rPr>
      </w:pPr>
    </w:p>
    <w:p w14:paraId="73DB9532" w14:textId="1A2505CA" w:rsidR="005F690C" w:rsidRPr="00D941EC" w:rsidRDefault="00EC40EC" w:rsidP="006B2FB8">
      <w:pPr>
        <w:ind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61C8735C">
        <w:rPr>
          <w:rFonts w:ascii="Tahoma" w:hAnsi="Tahoma" w:cs="Tahoma"/>
          <w:b/>
          <w:bCs/>
          <w:sz w:val="16"/>
          <w:szCs w:val="16"/>
        </w:rPr>
        <w:t xml:space="preserve">II. Způsob poskytování </w:t>
      </w:r>
      <w:r w:rsidR="005F690C" w:rsidRPr="61C8735C">
        <w:rPr>
          <w:rFonts w:ascii="Tahoma" w:hAnsi="Tahoma" w:cs="Tahoma"/>
          <w:b/>
          <w:bCs/>
          <w:sz w:val="16"/>
          <w:szCs w:val="16"/>
        </w:rPr>
        <w:t xml:space="preserve">podpory </w:t>
      </w:r>
    </w:p>
    <w:p w14:paraId="49F782E5" w14:textId="77777777" w:rsidR="005F690C" w:rsidRPr="00D941EC" w:rsidRDefault="005F690C" w:rsidP="006B2FB8">
      <w:pPr>
        <w:ind w:hanging="357"/>
        <w:jc w:val="center"/>
        <w:rPr>
          <w:rFonts w:ascii="Tahoma" w:hAnsi="Tahoma" w:cs="Tahoma"/>
          <w:b/>
          <w:sz w:val="16"/>
          <w:szCs w:val="16"/>
        </w:rPr>
      </w:pPr>
    </w:p>
    <w:p w14:paraId="37655C0A" w14:textId="2576FF48" w:rsidR="0050201F" w:rsidRDefault="00990E40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54E2E">
        <w:rPr>
          <w:rFonts w:ascii="Tahoma" w:hAnsi="Tahoma" w:cs="Tahoma"/>
          <w:sz w:val="16"/>
          <w:szCs w:val="16"/>
        </w:rPr>
        <w:t>Poskytovatel</w:t>
      </w:r>
      <w:r w:rsidR="00AA1C9A" w:rsidRPr="00F54E2E">
        <w:rPr>
          <w:rFonts w:ascii="Tahoma" w:hAnsi="Tahoma" w:cs="Tahoma"/>
          <w:sz w:val="16"/>
          <w:szCs w:val="16"/>
        </w:rPr>
        <w:t xml:space="preserve"> se zavazuje zajistit podporu </w:t>
      </w:r>
      <w:r w:rsidR="00026E4C" w:rsidRPr="00F54E2E">
        <w:rPr>
          <w:rFonts w:ascii="Tahoma" w:hAnsi="Tahoma" w:cs="Tahoma"/>
          <w:sz w:val="16"/>
          <w:szCs w:val="16"/>
        </w:rPr>
        <w:t xml:space="preserve">jednotlivých </w:t>
      </w:r>
      <w:r w:rsidR="00345DB6">
        <w:rPr>
          <w:rFonts w:ascii="Tahoma" w:hAnsi="Tahoma" w:cs="Tahoma"/>
          <w:sz w:val="16"/>
          <w:szCs w:val="16"/>
        </w:rPr>
        <w:t>síťových prvků Cis</w:t>
      </w:r>
      <w:r w:rsidR="00BF06FC">
        <w:rPr>
          <w:rFonts w:ascii="Tahoma" w:hAnsi="Tahoma" w:cs="Tahoma"/>
          <w:sz w:val="16"/>
          <w:szCs w:val="16"/>
        </w:rPr>
        <w:t>c</w:t>
      </w:r>
      <w:r w:rsidR="00345DB6">
        <w:rPr>
          <w:rFonts w:ascii="Tahoma" w:hAnsi="Tahoma" w:cs="Tahoma"/>
          <w:sz w:val="16"/>
          <w:szCs w:val="16"/>
        </w:rPr>
        <w:t xml:space="preserve">o </w:t>
      </w:r>
      <w:r w:rsidRPr="00F54E2E">
        <w:rPr>
          <w:rFonts w:ascii="Tahoma" w:hAnsi="Tahoma" w:cs="Tahoma"/>
          <w:sz w:val="16"/>
          <w:szCs w:val="16"/>
        </w:rPr>
        <w:t xml:space="preserve">specifikovanou v článku I. a </w:t>
      </w:r>
      <w:r w:rsidR="0050201F" w:rsidRPr="00F54E2E">
        <w:rPr>
          <w:rFonts w:ascii="Tahoma" w:hAnsi="Tahoma" w:cs="Tahoma"/>
          <w:sz w:val="16"/>
          <w:szCs w:val="16"/>
        </w:rPr>
        <w:t>p</w:t>
      </w:r>
      <w:r w:rsidR="00AA1C9A" w:rsidRPr="00F54E2E">
        <w:rPr>
          <w:rFonts w:ascii="Tahoma" w:hAnsi="Tahoma" w:cs="Tahoma"/>
          <w:sz w:val="16"/>
          <w:szCs w:val="16"/>
        </w:rPr>
        <w:t xml:space="preserve">říloze č. </w:t>
      </w:r>
      <w:r w:rsidR="00071E7A">
        <w:rPr>
          <w:rFonts w:ascii="Tahoma" w:hAnsi="Tahoma" w:cs="Tahoma"/>
          <w:sz w:val="16"/>
          <w:szCs w:val="16"/>
        </w:rPr>
        <w:t>1</w:t>
      </w:r>
      <w:r w:rsidR="00AA1C9A" w:rsidRPr="00F54E2E">
        <w:rPr>
          <w:rFonts w:ascii="Tahoma" w:hAnsi="Tahoma" w:cs="Tahoma"/>
          <w:sz w:val="16"/>
          <w:szCs w:val="16"/>
        </w:rPr>
        <w:t xml:space="preserve"> této smlouvy </w:t>
      </w:r>
      <w:r w:rsidR="00026E4C" w:rsidRPr="00F54E2E">
        <w:rPr>
          <w:rFonts w:ascii="Tahoma" w:hAnsi="Tahoma" w:cs="Tahoma"/>
          <w:sz w:val="16"/>
          <w:szCs w:val="16"/>
        </w:rPr>
        <w:t xml:space="preserve">po období, které je uvedené </w:t>
      </w:r>
      <w:r w:rsidR="00255D05">
        <w:rPr>
          <w:rFonts w:ascii="Tahoma" w:hAnsi="Tahoma" w:cs="Tahoma"/>
          <w:sz w:val="16"/>
          <w:szCs w:val="16"/>
        </w:rPr>
        <w:t xml:space="preserve">vždy </w:t>
      </w:r>
      <w:r w:rsidR="00026E4C" w:rsidRPr="00F54E2E">
        <w:rPr>
          <w:rFonts w:ascii="Tahoma" w:hAnsi="Tahoma" w:cs="Tahoma"/>
          <w:sz w:val="16"/>
          <w:szCs w:val="16"/>
        </w:rPr>
        <w:t xml:space="preserve">u jednotlivých </w:t>
      </w:r>
      <w:r w:rsidR="00255D05">
        <w:rPr>
          <w:rFonts w:ascii="Tahoma" w:hAnsi="Tahoma" w:cs="Tahoma"/>
          <w:sz w:val="16"/>
          <w:szCs w:val="16"/>
        </w:rPr>
        <w:t>síťových prvků Cisco</w:t>
      </w:r>
      <w:r w:rsidR="00026E4C" w:rsidRPr="00F54E2E">
        <w:rPr>
          <w:rFonts w:ascii="Tahoma" w:hAnsi="Tahoma" w:cs="Tahoma"/>
          <w:sz w:val="16"/>
          <w:szCs w:val="16"/>
        </w:rPr>
        <w:t xml:space="preserve">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026E4C" w:rsidRPr="00F54E2E">
        <w:rPr>
          <w:rFonts w:ascii="Tahoma" w:hAnsi="Tahoma" w:cs="Tahoma"/>
          <w:sz w:val="16"/>
          <w:szCs w:val="16"/>
        </w:rPr>
        <w:t xml:space="preserve"> této smlouvy</w:t>
      </w:r>
    </w:p>
    <w:p w14:paraId="4688C519" w14:textId="77777777" w:rsidR="00923718" w:rsidRDefault="00923718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3BE8DC6D" w14:textId="3ACAA728" w:rsidR="00990E40" w:rsidRPr="00495024" w:rsidRDefault="00990E40" w:rsidP="006B2FB8">
      <w:pPr>
        <w:numPr>
          <w:ilvl w:val="0"/>
          <w:numId w:val="6"/>
        </w:numPr>
        <w:ind w:left="357" w:hanging="357"/>
        <w:jc w:val="both"/>
        <w:rPr>
          <w:kern w:val="0"/>
          <w:lang w:val="nl-NL" w:eastAsia="en-US"/>
        </w:rPr>
      </w:pPr>
      <w:r w:rsidRPr="61C8735C">
        <w:rPr>
          <w:rFonts w:ascii="Tahoma" w:hAnsi="Tahoma" w:cs="Tahoma"/>
          <w:sz w:val="16"/>
          <w:szCs w:val="16"/>
        </w:rPr>
        <w:t xml:space="preserve">Základní </w:t>
      </w:r>
      <w:r w:rsidRPr="0023034C">
        <w:rPr>
          <w:rFonts w:ascii="Tahoma" w:hAnsi="Tahoma" w:cs="Tahoma"/>
          <w:sz w:val="16"/>
          <w:szCs w:val="16"/>
        </w:rPr>
        <w:t xml:space="preserve">formou podpory je přímý přístup k webovému portálu </w:t>
      </w:r>
      <w:r w:rsidR="0005452E" w:rsidRPr="0023034C">
        <w:rPr>
          <w:rFonts w:ascii="Tahoma" w:hAnsi="Tahoma" w:cs="Tahoma"/>
          <w:sz w:val="16"/>
          <w:szCs w:val="16"/>
        </w:rPr>
        <w:t xml:space="preserve">výrobce </w:t>
      </w:r>
      <w:r w:rsidR="00DB0246" w:rsidRPr="0023034C">
        <w:rPr>
          <w:rFonts w:ascii="Tahoma" w:hAnsi="Tahoma" w:cs="Tahoma"/>
          <w:sz w:val="16"/>
          <w:szCs w:val="16"/>
        </w:rPr>
        <w:t>Cisco</w:t>
      </w:r>
      <w:r w:rsidR="0005452E" w:rsidRPr="0023034C">
        <w:rPr>
          <w:rFonts w:ascii="Tahoma" w:hAnsi="Tahoma" w:cs="Tahoma"/>
          <w:sz w:val="16"/>
          <w:szCs w:val="16"/>
        </w:rPr>
        <w:t xml:space="preserve"> Systems (dále </w:t>
      </w:r>
      <w:r w:rsidR="0062488F" w:rsidRPr="0023034C">
        <w:rPr>
          <w:rFonts w:ascii="Tahoma" w:hAnsi="Tahoma" w:cs="Tahoma"/>
          <w:sz w:val="16"/>
          <w:szCs w:val="16"/>
        </w:rPr>
        <w:t>jen „</w:t>
      </w:r>
      <w:r w:rsidR="0005452E" w:rsidRPr="0023034C">
        <w:rPr>
          <w:rFonts w:ascii="Tahoma" w:hAnsi="Tahoma" w:cs="Tahoma"/>
          <w:sz w:val="16"/>
          <w:szCs w:val="16"/>
        </w:rPr>
        <w:t>výrobce“)</w:t>
      </w:r>
      <w:r w:rsidRPr="0023034C">
        <w:rPr>
          <w:rFonts w:ascii="Tahoma" w:hAnsi="Tahoma" w:cs="Tahoma"/>
          <w:sz w:val="16"/>
          <w:szCs w:val="16"/>
        </w:rPr>
        <w:t>, popřípadě služba Hot</w:t>
      </w:r>
      <w:r w:rsidR="00740080" w:rsidRPr="0023034C">
        <w:rPr>
          <w:rFonts w:ascii="Tahoma" w:hAnsi="Tahoma" w:cs="Tahoma"/>
          <w:sz w:val="16"/>
          <w:szCs w:val="16"/>
        </w:rPr>
        <w:t>-</w:t>
      </w:r>
      <w:r w:rsidRPr="0023034C">
        <w:rPr>
          <w:rFonts w:ascii="Tahoma" w:hAnsi="Tahoma" w:cs="Tahoma"/>
          <w:sz w:val="16"/>
          <w:szCs w:val="16"/>
        </w:rPr>
        <w:t>Line na tel. čísle</w:t>
      </w:r>
      <w:r w:rsidR="00CF0D05" w:rsidRPr="0023034C">
        <w:rPr>
          <w:rFonts w:ascii="Tahoma" w:hAnsi="Tahoma" w:cs="Tahoma"/>
          <w:sz w:val="16"/>
          <w:szCs w:val="16"/>
        </w:rPr>
        <w:t>:</w:t>
      </w:r>
      <w:r w:rsidR="002F22BC" w:rsidRPr="0023034C">
        <w:rPr>
          <w:rFonts w:ascii="Tahoma" w:hAnsi="Tahoma" w:cs="Tahoma"/>
          <w:sz w:val="16"/>
          <w:szCs w:val="16"/>
        </w:rPr>
        <w:t xml:space="preserve"> </w:t>
      </w:r>
      <w:r w:rsidR="0041035F">
        <w:rPr>
          <w:rFonts w:ascii="Tahoma" w:hAnsi="Tahoma" w:cs="Tahoma"/>
          <w:sz w:val="16"/>
          <w:szCs w:val="16"/>
        </w:rPr>
        <w:t>xxxxx</w:t>
      </w:r>
      <w:r w:rsidR="002F22BC" w:rsidRPr="0023034C">
        <w:rPr>
          <w:rFonts w:ascii="Tahoma" w:hAnsi="Tahoma" w:cs="Tahoma"/>
          <w:sz w:val="16"/>
          <w:szCs w:val="16"/>
        </w:rPr>
        <w:t>,</w:t>
      </w:r>
      <w:r w:rsidR="005F20E2" w:rsidRPr="0023034C">
        <w:rPr>
          <w:rFonts w:ascii="Tahoma" w:hAnsi="Tahoma" w:cs="Tahoma"/>
          <w:sz w:val="16"/>
          <w:szCs w:val="16"/>
        </w:rPr>
        <w:t xml:space="preserve"> e-mail</w:t>
      </w:r>
      <w:r w:rsidR="0041035F">
        <w:rPr>
          <w:rFonts w:ascii="Tahoma" w:hAnsi="Tahoma" w:cs="Tahoma"/>
          <w:sz w:val="16"/>
          <w:szCs w:val="16"/>
        </w:rPr>
        <w:t xml:space="preserve">: xxxxx </w:t>
      </w:r>
      <w:r w:rsidRPr="0023034C">
        <w:rPr>
          <w:rFonts w:ascii="Tahoma" w:hAnsi="Tahoma" w:cs="Tahoma"/>
          <w:sz w:val="16"/>
          <w:szCs w:val="16"/>
        </w:rPr>
        <w:t>nebo elektronický systém poskytovatele</w:t>
      </w:r>
      <w:r w:rsidR="00444FD2" w:rsidRPr="0023034C">
        <w:rPr>
          <w:rFonts w:ascii="Tahoma" w:hAnsi="Tahoma" w:cs="Tahoma"/>
          <w:sz w:val="16"/>
          <w:szCs w:val="16"/>
        </w:rPr>
        <w:t xml:space="preserve"> v režimu </w:t>
      </w:r>
      <w:r w:rsidR="00200A22" w:rsidRPr="0023034C">
        <w:rPr>
          <w:rFonts w:ascii="Tahoma" w:hAnsi="Tahoma" w:cs="Tahoma"/>
          <w:sz w:val="16"/>
          <w:szCs w:val="16"/>
        </w:rPr>
        <w:t>8</w:t>
      </w:r>
      <w:r w:rsidR="00444FD2" w:rsidRPr="0023034C">
        <w:rPr>
          <w:rFonts w:ascii="Tahoma" w:hAnsi="Tahoma" w:cs="Tahoma"/>
          <w:sz w:val="16"/>
          <w:szCs w:val="16"/>
        </w:rPr>
        <w:t>x</w:t>
      </w:r>
      <w:r w:rsidR="00200A22" w:rsidRPr="0023034C">
        <w:rPr>
          <w:rFonts w:ascii="Tahoma" w:hAnsi="Tahoma" w:cs="Tahoma"/>
          <w:sz w:val="16"/>
          <w:szCs w:val="16"/>
        </w:rPr>
        <w:t>5</w:t>
      </w:r>
      <w:r w:rsidRPr="0023034C">
        <w:rPr>
          <w:rFonts w:ascii="Tahoma" w:hAnsi="Tahoma" w:cs="Tahoma"/>
          <w:sz w:val="16"/>
          <w:szCs w:val="16"/>
        </w:rPr>
        <w:t xml:space="preserve"> (dále jen </w:t>
      </w:r>
      <w:r w:rsidR="00080B81" w:rsidRPr="0023034C">
        <w:rPr>
          <w:rFonts w:ascii="Tahoma" w:hAnsi="Tahoma" w:cs="Tahoma"/>
          <w:sz w:val="16"/>
          <w:szCs w:val="16"/>
        </w:rPr>
        <w:t>„</w:t>
      </w:r>
      <w:r w:rsidRPr="0023034C">
        <w:rPr>
          <w:rFonts w:ascii="Tahoma" w:hAnsi="Tahoma" w:cs="Tahoma"/>
          <w:sz w:val="16"/>
          <w:szCs w:val="16"/>
        </w:rPr>
        <w:t>Helpdesk</w:t>
      </w:r>
      <w:r w:rsidR="00080B81" w:rsidRPr="0023034C">
        <w:rPr>
          <w:rFonts w:ascii="Tahoma" w:hAnsi="Tahoma" w:cs="Tahoma"/>
          <w:sz w:val="16"/>
          <w:szCs w:val="16"/>
        </w:rPr>
        <w:t>“</w:t>
      </w:r>
      <w:r w:rsidRPr="0023034C">
        <w:rPr>
          <w:rFonts w:ascii="Tahoma" w:hAnsi="Tahoma" w:cs="Tahoma"/>
          <w:sz w:val="16"/>
          <w:szCs w:val="16"/>
        </w:rPr>
        <w:t>), dostupný prostřednictvím webového přístupu na adrese</w:t>
      </w:r>
      <w:r w:rsidR="00D5188B" w:rsidRPr="0023034C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252676" w:rsidRPr="004B1FDB">
          <w:rPr>
            <w:rStyle w:val="Hypertextovodkaz"/>
            <w:rFonts w:ascii="Tahoma" w:hAnsi="Tahoma" w:cs="Tahoma"/>
            <w:sz w:val="16"/>
            <w:szCs w:val="16"/>
          </w:rPr>
          <w:t>www.simac.cz/kontakt/</w:t>
        </w:r>
      </w:hyperlink>
      <w:r w:rsidR="005F20E2" w:rsidRPr="0023034C">
        <w:rPr>
          <w:rFonts w:ascii="Tahoma" w:hAnsi="Tahoma" w:cs="Tahoma"/>
          <w:sz w:val="16"/>
          <w:szCs w:val="16"/>
        </w:rPr>
        <w:t>.</w:t>
      </w:r>
      <w:r w:rsidR="00252676">
        <w:rPr>
          <w:rFonts w:ascii="Tahoma" w:hAnsi="Tahoma" w:cs="Tahoma"/>
          <w:sz w:val="16"/>
          <w:szCs w:val="16"/>
        </w:rPr>
        <w:t xml:space="preserve"> </w:t>
      </w:r>
      <w:r w:rsidRPr="0023034C">
        <w:rPr>
          <w:rFonts w:ascii="Tahoma" w:hAnsi="Tahoma" w:cs="Tahoma"/>
          <w:sz w:val="16"/>
          <w:szCs w:val="16"/>
        </w:rPr>
        <w:t xml:space="preserve">Součástí Helpdesku je popis procesu zpracování požadavku. </w:t>
      </w:r>
    </w:p>
    <w:p w14:paraId="6F5D0DF2" w14:textId="77777777" w:rsidR="00B24C4A" w:rsidRDefault="00B24C4A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5FED00A3" w14:textId="0F673485" w:rsidR="00E53389" w:rsidRDefault="00E53389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Objednatel si nárokuje zahájení činností vedoucích k odstranění vad </w:t>
      </w:r>
      <w:r w:rsidR="00B510C5" w:rsidRPr="61C8735C">
        <w:rPr>
          <w:rFonts w:ascii="Tahoma" w:hAnsi="Tahoma" w:cs="Tahoma"/>
          <w:sz w:val="16"/>
          <w:szCs w:val="16"/>
        </w:rPr>
        <w:t>podporovaných</w:t>
      </w:r>
      <w:r w:rsidR="00FC15FF">
        <w:rPr>
          <w:rFonts w:ascii="Tahoma" w:hAnsi="Tahoma" w:cs="Tahoma"/>
          <w:sz w:val="16"/>
          <w:szCs w:val="16"/>
        </w:rPr>
        <w:t xml:space="preserve"> sítových prvků Cisco</w:t>
      </w:r>
      <w:r w:rsidR="00B510C5" w:rsidRPr="61C8735C">
        <w:rPr>
          <w:rFonts w:ascii="Tahoma" w:hAnsi="Tahoma" w:cs="Tahoma"/>
          <w:sz w:val="16"/>
          <w:szCs w:val="16"/>
        </w:rPr>
        <w:t xml:space="preserve"> uvedených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B510C5" w:rsidRPr="61C8735C">
        <w:rPr>
          <w:rFonts w:ascii="Tahoma" w:hAnsi="Tahoma" w:cs="Tahoma"/>
          <w:sz w:val="16"/>
          <w:szCs w:val="16"/>
        </w:rPr>
        <w:t xml:space="preserve"> této smlouvy</w:t>
      </w:r>
      <w:r w:rsidRPr="61C8735C">
        <w:rPr>
          <w:rFonts w:ascii="Tahoma" w:hAnsi="Tahoma" w:cs="Tahoma"/>
          <w:sz w:val="16"/>
          <w:szCs w:val="16"/>
        </w:rPr>
        <w:t xml:space="preserve"> do 4 hodin v režimu </w:t>
      </w:r>
      <w:r w:rsidR="00C44346">
        <w:rPr>
          <w:rFonts w:ascii="Tahoma" w:hAnsi="Tahoma" w:cs="Tahoma"/>
          <w:sz w:val="16"/>
          <w:szCs w:val="16"/>
        </w:rPr>
        <w:t>8</w:t>
      </w:r>
      <w:r w:rsidRPr="61C8735C">
        <w:rPr>
          <w:rFonts w:ascii="Tahoma" w:hAnsi="Tahoma" w:cs="Tahoma"/>
          <w:sz w:val="16"/>
          <w:szCs w:val="16"/>
        </w:rPr>
        <w:t>x</w:t>
      </w:r>
      <w:r w:rsidR="00C44346">
        <w:rPr>
          <w:rFonts w:ascii="Tahoma" w:hAnsi="Tahoma" w:cs="Tahoma"/>
          <w:sz w:val="16"/>
          <w:szCs w:val="16"/>
        </w:rPr>
        <w:t>5</w:t>
      </w:r>
      <w:r w:rsidRPr="61C8735C">
        <w:rPr>
          <w:rFonts w:ascii="Tahoma" w:hAnsi="Tahoma" w:cs="Tahoma"/>
          <w:sz w:val="16"/>
          <w:szCs w:val="16"/>
        </w:rPr>
        <w:t xml:space="preserve"> od nahlášení vady objednatelem poskytovateli na </w:t>
      </w:r>
      <w:r w:rsidR="00740080">
        <w:rPr>
          <w:rFonts w:ascii="Tahoma" w:hAnsi="Tahoma" w:cs="Tahoma"/>
          <w:sz w:val="16"/>
          <w:szCs w:val="16"/>
        </w:rPr>
        <w:t>H</w:t>
      </w:r>
      <w:r w:rsidRPr="61C8735C">
        <w:rPr>
          <w:rFonts w:ascii="Tahoma" w:hAnsi="Tahoma" w:cs="Tahoma"/>
          <w:sz w:val="16"/>
          <w:szCs w:val="16"/>
        </w:rPr>
        <w:t xml:space="preserve">ot-line poskytovatele s následným písemným potvrzením na </w:t>
      </w:r>
      <w:r w:rsidR="00562346">
        <w:rPr>
          <w:rFonts w:ascii="Tahoma" w:hAnsi="Tahoma" w:cs="Tahoma"/>
          <w:sz w:val="16"/>
          <w:szCs w:val="16"/>
        </w:rPr>
        <w:t>H</w:t>
      </w:r>
      <w:r w:rsidRPr="61C8735C">
        <w:rPr>
          <w:rFonts w:ascii="Tahoma" w:hAnsi="Tahoma" w:cs="Tahoma"/>
          <w:sz w:val="16"/>
          <w:szCs w:val="16"/>
        </w:rPr>
        <w:t>elpdesk poskytovatele</w:t>
      </w:r>
      <w:r w:rsidR="00C57FC0" w:rsidRPr="61C8735C">
        <w:rPr>
          <w:rFonts w:ascii="Tahoma" w:hAnsi="Tahoma" w:cs="Tahoma"/>
          <w:sz w:val="16"/>
          <w:szCs w:val="16"/>
        </w:rPr>
        <w:t xml:space="preserve">, popř. přímo na webový portál společnosti </w:t>
      </w:r>
      <w:r w:rsidR="00C44346">
        <w:rPr>
          <w:rFonts w:ascii="Tahoma" w:hAnsi="Tahoma" w:cs="Tahoma"/>
          <w:sz w:val="16"/>
          <w:szCs w:val="16"/>
        </w:rPr>
        <w:t>Cisco</w:t>
      </w:r>
      <w:r w:rsidR="000F59B3" w:rsidRPr="61C8735C">
        <w:rPr>
          <w:rFonts w:ascii="Tahoma" w:hAnsi="Tahoma" w:cs="Tahoma"/>
          <w:sz w:val="16"/>
          <w:szCs w:val="16"/>
        </w:rPr>
        <w:t>.</w:t>
      </w:r>
    </w:p>
    <w:p w14:paraId="5AD72A7F" w14:textId="77777777" w:rsidR="00843BB1" w:rsidRDefault="00843BB1" w:rsidP="006B2FB8">
      <w:pPr>
        <w:ind w:hanging="357"/>
        <w:jc w:val="both"/>
        <w:rPr>
          <w:rFonts w:ascii="Tahoma" w:hAnsi="Tahoma" w:cs="Tahoma"/>
          <w:sz w:val="16"/>
          <w:szCs w:val="16"/>
        </w:rPr>
      </w:pPr>
    </w:p>
    <w:p w14:paraId="0B8630F1" w14:textId="5FBA51DD" w:rsidR="00843BB1" w:rsidRPr="00843BB1" w:rsidRDefault="00843BB1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Poskytovatel se zavazuje k vyřešení závady nejpozději do </w:t>
      </w:r>
      <w:r w:rsidR="00EC4C0E">
        <w:rPr>
          <w:rFonts w:ascii="Tahoma" w:hAnsi="Tahoma" w:cs="Tahoma"/>
          <w:sz w:val="16"/>
          <w:szCs w:val="16"/>
        </w:rPr>
        <w:t>následujícího pracovního dne</w:t>
      </w:r>
      <w:r w:rsidR="001A7705">
        <w:rPr>
          <w:rFonts w:ascii="Tahoma" w:hAnsi="Tahoma" w:cs="Tahoma"/>
          <w:sz w:val="16"/>
          <w:szCs w:val="16"/>
        </w:rPr>
        <w:t xml:space="preserve"> (NBD)</w:t>
      </w:r>
      <w:r w:rsidRPr="61C8735C">
        <w:rPr>
          <w:rFonts w:ascii="Tahoma" w:hAnsi="Tahoma" w:cs="Tahoma"/>
          <w:sz w:val="16"/>
          <w:szCs w:val="16"/>
        </w:rPr>
        <w:t xml:space="preserve"> od nahlášení vady objednatelem </w:t>
      </w:r>
      <w:r w:rsidR="002F6022">
        <w:rPr>
          <w:rFonts w:ascii="Tahoma" w:hAnsi="Tahoma" w:cs="Tahoma"/>
          <w:sz w:val="16"/>
          <w:szCs w:val="16"/>
        </w:rPr>
        <w:t xml:space="preserve">poskytovateli </w:t>
      </w:r>
      <w:r w:rsidRPr="61C8735C">
        <w:rPr>
          <w:rFonts w:ascii="Tahoma" w:hAnsi="Tahoma" w:cs="Tahoma"/>
          <w:sz w:val="16"/>
          <w:szCs w:val="16"/>
        </w:rPr>
        <w:t xml:space="preserve">na </w:t>
      </w:r>
      <w:r w:rsidR="003879F9">
        <w:rPr>
          <w:rFonts w:ascii="Tahoma" w:hAnsi="Tahoma" w:cs="Tahoma"/>
          <w:sz w:val="16"/>
          <w:szCs w:val="16"/>
        </w:rPr>
        <w:t>H</w:t>
      </w:r>
      <w:r w:rsidRPr="61C8735C">
        <w:rPr>
          <w:rFonts w:ascii="Tahoma" w:hAnsi="Tahoma" w:cs="Tahoma"/>
          <w:sz w:val="16"/>
          <w:szCs w:val="16"/>
        </w:rPr>
        <w:t xml:space="preserve">ot-line </w:t>
      </w:r>
      <w:r w:rsidR="002F6022">
        <w:rPr>
          <w:rFonts w:ascii="Tahoma" w:hAnsi="Tahoma" w:cs="Tahoma"/>
          <w:sz w:val="16"/>
          <w:szCs w:val="16"/>
        </w:rPr>
        <w:t>poskytovatele</w:t>
      </w:r>
      <w:r w:rsidR="002F22BC" w:rsidRPr="002F22BC">
        <w:rPr>
          <w:rFonts w:ascii="Tahoma" w:hAnsi="Tahoma" w:cs="Tahoma"/>
          <w:sz w:val="16"/>
          <w:szCs w:val="16"/>
        </w:rPr>
        <w:t>,</w:t>
      </w:r>
      <w:r w:rsidR="00EF0521">
        <w:rPr>
          <w:rFonts w:ascii="Tahoma" w:hAnsi="Tahoma" w:cs="Tahoma"/>
          <w:sz w:val="16"/>
          <w:szCs w:val="16"/>
        </w:rPr>
        <w:t xml:space="preserve"> s</w:t>
      </w:r>
      <w:r w:rsidRPr="61C8735C">
        <w:rPr>
          <w:rFonts w:ascii="Tahoma" w:hAnsi="Tahoma" w:cs="Tahoma"/>
          <w:sz w:val="16"/>
          <w:szCs w:val="16"/>
        </w:rPr>
        <w:t xml:space="preserve"> následným písemným potvrzením na </w:t>
      </w:r>
      <w:r w:rsidR="00A953BE">
        <w:rPr>
          <w:rFonts w:ascii="Tahoma" w:hAnsi="Tahoma" w:cs="Tahoma"/>
          <w:sz w:val="16"/>
          <w:szCs w:val="16"/>
        </w:rPr>
        <w:t>H</w:t>
      </w:r>
      <w:r w:rsidRPr="61C8735C">
        <w:rPr>
          <w:rFonts w:ascii="Tahoma" w:hAnsi="Tahoma" w:cs="Tahoma"/>
          <w:sz w:val="16"/>
          <w:szCs w:val="16"/>
        </w:rPr>
        <w:t xml:space="preserve">elpdesk </w:t>
      </w:r>
      <w:r w:rsidR="002F6022">
        <w:rPr>
          <w:rFonts w:ascii="Tahoma" w:hAnsi="Tahoma" w:cs="Tahoma"/>
          <w:sz w:val="16"/>
          <w:szCs w:val="16"/>
        </w:rPr>
        <w:t>poskytovatele</w:t>
      </w:r>
      <w:r w:rsidR="005F20E2" w:rsidRPr="005F20E2">
        <w:rPr>
          <w:rFonts w:ascii="Tahoma" w:hAnsi="Tahoma" w:cs="Tahoma"/>
          <w:sz w:val="16"/>
          <w:szCs w:val="16"/>
        </w:rPr>
        <w:t>.</w:t>
      </w:r>
      <w:r w:rsidR="005F20E2">
        <w:rPr>
          <w:rFonts w:ascii="Tahoma" w:hAnsi="Tahoma" w:cs="Tahoma"/>
          <w:sz w:val="16"/>
          <w:szCs w:val="16"/>
        </w:rPr>
        <w:t xml:space="preserve"> </w:t>
      </w:r>
    </w:p>
    <w:p w14:paraId="3610491F" w14:textId="77777777" w:rsidR="00232851" w:rsidRDefault="00232851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29D1ED40" w14:textId="77777777" w:rsidR="00232851" w:rsidRDefault="00232851" w:rsidP="006B2FB8">
      <w:pPr>
        <w:keepNext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 rámci podpory je:</w:t>
      </w:r>
    </w:p>
    <w:p w14:paraId="7587728F" w14:textId="215AEE3C" w:rsidR="00232851" w:rsidRDefault="00232851" w:rsidP="006B2FB8">
      <w:pPr>
        <w:numPr>
          <w:ilvl w:val="0"/>
          <w:numId w:val="11"/>
        </w:numPr>
        <w:ind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bezplatná výměna</w:t>
      </w:r>
      <w:r w:rsidR="00452EE0">
        <w:rPr>
          <w:rFonts w:ascii="Tahoma" w:hAnsi="Tahoma" w:cs="Tahoma"/>
          <w:sz w:val="16"/>
          <w:szCs w:val="16"/>
        </w:rPr>
        <w:t xml:space="preserve"> síťového prvku</w:t>
      </w:r>
      <w:r>
        <w:rPr>
          <w:rFonts w:ascii="Tahoma" w:hAnsi="Tahoma" w:cs="Tahoma"/>
          <w:sz w:val="16"/>
          <w:szCs w:val="16"/>
        </w:rPr>
        <w:t xml:space="preserve"> v místě plnění</w:t>
      </w:r>
      <w:r w:rsidR="00862582">
        <w:rPr>
          <w:rFonts w:ascii="Tahoma" w:hAnsi="Tahoma" w:cs="Tahoma"/>
          <w:sz w:val="16"/>
          <w:szCs w:val="16"/>
        </w:rPr>
        <w:t>,</w:t>
      </w:r>
    </w:p>
    <w:p w14:paraId="6842CEA2" w14:textId="3177C8B5" w:rsidR="00232851" w:rsidRDefault="00862582" w:rsidP="006B2FB8">
      <w:pPr>
        <w:numPr>
          <w:ilvl w:val="0"/>
          <w:numId w:val="11"/>
        </w:numPr>
        <w:ind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232851">
        <w:rPr>
          <w:rFonts w:ascii="Tahoma" w:hAnsi="Tahoma" w:cs="Tahoma"/>
          <w:sz w:val="16"/>
          <w:szCs w:val="16"/>
        </w:rPr>
        <w:t xml:space="preserve">polupráce techniků poskytovatele s IT </w:t>
      </w:r>
      <w:r w:rsidR="0062488F">
        <w:rPr>
          <w:rFonts w:ascii="Tahoma" w:hAnsi="Tahoma" w:cs="Tahoma"/>
          <w:sz w:val="16"/>
          <w:szCs w:val="16"/>
        </w:rPr>
        <w:t>specialisty objednatele</w:t>
      </w:r>
      <w:r w:rsidR="00232851">
        <w:rPr>
          <w:rFonts w:ascii="Tahoma" w:hAnsi="Tahoma" w:cs="Tahoma"/>
          <w:sz w:val="16"/>
          <w:szCs w:val="16"/>
        </w:rPr>
        <w:t xml:space="preserve"> při řešení </w:t>
      </w:r>
      <w:r w:rsidR="00232851" w:rsidRPr="00862582">
        <w:rPr>
          <w:rFonts w:ascii="Tahoma" w:hAnsi="Tahoma" w:cs="Tahoma"/>
          <w:sz w:val="16"/>
          <w:szCs w:val="16"/>
        </w:rPr>
        <w:t>provozních p</w:t>
      </w:r>
      <w:r w:rsidR="00232851">
        <w:rPr>
          <w:rFonts w:ascii="Tahoma" w:hAnsi="Tahoma" w:cs="Tahoma"/>
          <w:sz w:val="16"/>
          <w:szCs w:val="16"/>
        </w:rPr>
        <w:t>roblémů</w:t>
      </w:r>
      <w:r>
        <w:rPr>
          <w:rFonts w:ascii="Tahoma" w:hAnsi="Tahoma" w:cs="Tahoma"/>
          <w:sz w:val="16"/>
          <w:szCs w:val="16"/>
        </w:rPr>
        <w:t>,</w:t>
      </w:r>
    </w:p>
    <w:p w14:paraId="65FE1243" w14:textId="77777777" w:rsidR="00232851" w:rsidRPr="00E53389" w:rsidRDefault="00862582" w:rsidP="006B2FB8">
      <w:pPr>
        <w:numPr>
          <w:ilvl w:val="0"/>
          <w:numId w:val="11"/>
        </w:numPr>
        <w:ind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232851">
        <w:rPr>
          <w:rFonts w:ascii="Tahoma" w:hAnsi="Tahoma" w:cs="Tahoma"/>
          <w:sz w:val="16"/>
          <w:szCs w:val="16"/>
        </w:rPr>
        <w:t>omoc při diagnostice a řešení HW problémů</w:t>
      </w:r>
      <w:r>
        <w:rPr>
          <w:rFonts w:ascii="Tahoma" w:hAnsi="Tahoma" w:cs="Tahoma"/>
          <w:sz w:val="16"/>
          <w:szCs w:val="16"/>
        </w:rPr>
        <w:t>.</w:t>
      </w:r>
    </w:p>
    <w:p w14:paraId="5F0F8661" w14:textId="77777777" w:rsidR="00E53389" w:rsidRDefault="00E53389" w:rsidP="006B2FB8">
      <w:pPr>
        <w:ind w:left="426" w:hanging="357"/>
        <w:jc w:val="both"/>
        <w:rPr>
          <w:rFonts w:ascii="Tahoma" w:hAnsi="Tahoma" w:cs="Tahoma"/>
          <w:sz w:val="16"/>
          <w:szCs w:val="16"/>
        </w:rPr>
      </w:pPr>
    </w:p>
    <w:p w14:paraId="71A3229C" w14:textId="779F20C5" w:rsidR="005F690C" w:rsidRPr="00697764" w:rsidRDefault="00AA1C9A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Případné změny v</w:t>
      </w:r>
      <w:r w:rsidR="00390B77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>konfiguraci</w:t>
      </w:r>
      <w:r w:rsidR="00390B77">
        <w:rPr>
          <w:rFonts w:ascii="Tahoma" w:hAnsi="Tahoma" w:cs="Tahoma"/>
          <w:sz w:val="16"/>
          <w:szCs w:val="16"/>
        </w:rPr>
        <w:t xml:space="preserve"> síťo</w:t>
      </w:r>
      <w:r w:rsidR="00341CE1">
        <w:rPr>
          <w:rFonts w:ascii="Tahoma" w:hAnsi="Tahoma" w:cs="Tahoma"/>
          <w:sz w:val="16"/>
          <w:szCs w:val="16"/>
        </w:rPr>
        <w:t>vých prvků</w:t>
      </w:r>
      <w:r w:rsidRPr="00697764">
        <w:rPr>
          <w:rFonts w:ascii="Tahoma" w:hAnsi="Tahoma" w:cs="Tahoma"/>
          <w:sz w:val="16"/>
          <w:szCs w:val="16"/>
        </w:rPr>
        <w:t xml:space="preserve"> je možno provádět jen se souhlasem obou smluvních stran.</w:t>
      </w:r>
      <w:r w:rsidR="005F690C" w:rsidRPr="00697764">
        <w:rPr>
          <w:rFonts w:ascii="Tahoma" w:hAnsi="Tahoma" w:cs="Tahoma"/>
          <w:sz w:val="16"/>
          <w:szCs w:val="16"/>
        </w:rPr>
        <w:t xml:space="preserve"> </w:t>
      </w:r>
    </w:p>
    <w:p w14:paraId="1A739FAE" w14:textId="77777777" w:rsidR="006B5866" w:rsidRPr="00697764" w:rsidRDefault="006B5866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60C183FE" w14:textId="2EB92C83" w:rsidR="006B5866" w:rsidRDefault="006B5866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zajistí přímý přístup a možnost stažení aktuálního software, update software</w:t>
      </w:r>
      <w:r w:rsidR="00920C87" w:rsidRPr="00697764">
        <w:rPr>
          <w:rFonts w:ascii="Tahoma" w:hAnsi="Tahoma" w:cs="Tahoma"/>
          <w:sz w:val="16"/>
          <w:szCs w:val="16"/>
        </w:rPr>
        <w:t>,</w:t>
      </w:r>
      <w:r w:rsidRPr="00697764">
        <w:rPr>
          <w:rFonts w:ascii="Tahoma" w:hAnsi="Tahoma" w:cs="Tahoma"/>
          <w:sz w:val="16"/>
          <w:szCs w:val="16"/>
        </w:rPr>
        <w:t xml:space="preserve"> anebo firmware přímo z oficiálních zdrojů výrobce.</w:t>
      </w:r>
    </w:p>
    <w:p w14:paraId="6FA1E59A" w14:textId="77777777" w:rsidR="00504433" w:rsidRDefault="00504433" w:rsidP="006B2FB8">
      <w:pPr>
        <w:pStyle w:val="Odstavecseseznamem"/>
        <w:ind w:hanging="357"/>
        <w:rPr>
          <w:rFonts w:ascii="Tahoma" w:hAnsi="Tahoma" w:cs="Tahoma"/>
          <w:sz w:val="16"/>
          <w:szCs w:val="16"/>
        </w:rPr>
      </w:pPr>
    </w:p>
    <w:p w14:paraId="11FB7E08" w14:textId="77777777" w:rsidR="00504433" w:rsidRPr="00D941EC" w:rsidRDefault="00504433" w:rsidP="006B2FB8">
      <w:pPr>
        <w:pStyle w:val="rove2Oddl"/>
        <w:numPr>
          <w:ilvl w:val="0"/>
          <w:numId w:val="6"/>
        </w:numPr>
        <w:ind w:left="357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9630E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se zavazuje, že po dobu platnosti této smlouvy</w:t>
      </w:r>
      <w:r w:rsidRPr="009630E4">
        <w:rPr>
          <w:rFonts w:ascii="Tahoma" w:hAnsi="Tahoma" w:cs="Tahoma"/>
          <w:sz w:val="16"/>
          <w:szCs w:val="16"/>
        </w:rPr>
        <w:t xml:space="preserve"> minimálně dva jeho pracovníci mají certifikaci minimálně na úrovni CCNP.</w:t>
      </w:r>
    </w:p>
    <w:p w14:paraId="781EA2DD" w14:textId="77777777" w:rsidR="00504433" w:rsidRPr="00D941EC" w:rsidRDefault="00504433" w:rsidP="006B2FB8">
      <w:pPr>
        <w:pStyle w:val="rove2Oddl"/>
        <w:numPr>
          <w:ilvl w:val="0"/>
          <w:numId w:val="0"/>
        </w:numPr>
        <w:ind w:left="357" w:hanging="357"/>
        <w:rPr>
          <w:rFonts w:ascii="Tahoma" w:hAnsi="Tahoma" w:cs="Tahoma"/>
          <w:sz w:val="16"/>
          <w:szCs w:val="16"/>
        </w:rPr>
      </w:pPr>
    </w:p>
    <w:p w14:paraId="4A5AEDB3" w14:textId="579B4198" w:rsidR="00504433" w:rsidRPr="00DC1842" w:rsidRDefault="00504433" w:rsidP="006B2FB8">
      <w:pPr>
        <w:pStyle w:val="rove2Oddl"/>
        <w:numPr>
          <w:ilvl w:val="0"/>
          <w:numId w:val="6"/>
        </w:numPr>
        <w:ind w:left="357" w:hanging="357"/>
        <w:rPr>
          <w:rFonts w:ascii="Tahoma" w:hAnsi="Tahoma" w:cs="Tahoma"/>
          <w:b/>
          <w:bCs/>
          <w:sz w:val="16"/>
          <w:szCs w:val="16"/>
        </w:rPr>
      </w:pPr>
      <w:r w:rsidRPr="00DC1842">
        <w:rPr>
          <w:rFonts w:ascii="Tahoma" w:hAnsi="Tahoma" w:cs="Tahoma"/>
          <w:sz w:val="16"/>
          <w:szCs w:val="16"/>
        </w:rPr>
        <w:t>Technologie objednatele jsou umístěny v areálech V</w:t>
      </w:r>
      <w:r w:rsidR="00250165">
        <w:rPr>
          <w:rFonts w:ascii="Tahoma" w:hAnsi="Tahoma" w:cs="Tahoma"/>
          <w:sz w:val="16"/>
          <w:szCs w:val="16"/>
        </w:rPr>
        <w:t>šeobecné fakultní nemocnice</w:t>
      </w:r>
      <w:r w:rsidRPr="00DC1842">
        <w:rPr>
          <w:rFonts w:ascii="Tahoma" w:hAnsi="Tahoma" w:cs="Tahoma"/>
          <w:sz w:val="16"/>
          <w:szCs w:val="16"/>
        </w:rPr>
        <w:t xml:space="preserve"> v Praze</w:t>
      </w:r>
      <w:r w:rsidR="00250165">
        <w:rPr>
          <w:rFonts w:ascii="Tahoma" w:hAnsi="Tahoma" w:cs="Tahoma"/>
          <w:sz w:val="16"/>
          <w:szCs w:val="16"/>
        </w:rPr>
        <w:t xml:space="preserve"> (dále jen </w:t>
      </w:r>
      <w:r w:rsidR="00124E4E" w:rsidRPr="001C4A17">
        <w:rPr>
          <w:rFonts w:ascii="Tahoma" w:hAnsi="Tahoma" w:cs="Tahoma"/>
          <w:kern w:val="1"/>
          <w:sz w:val="16"/>
          <w:szCs w:val="16"/>
          <w:lang w:val="cs-CZ" w:eastAsia="ar-SA"/>
        </w:rPr>
        <w:t>“</w:t>
      </w:r>
      <w:r w:rsidR="00250165" w:rsidRPr="001C4A17">
        <w:rPr>
          <w:rFonts w:ascii="Tahoma" w:hAnsi="Tahoma" w:cs="Tahoma"/>
          <w:kern w:val="1"/>
          <w:sz w:val="16"/>
          <w:szCs w:val="16"/>
          <w:lang w:val="cs-CZ" w:eastAsia="ar-SA"/>
        </w:rPr>
        <w:t>VFN”</w:t>
      </w:r>
      <w:r w:rsidR="00250165">
        <w:rPr>
          <w:rFonts w:ascii="Tahoma" w:hAnsi="Tahoma" w:cs="Tahoma"/>
          <w:sz w:val="16"/>
          <w:szCs w:val="16"/>
        </w:rPr>
        <w:t>)</w:t>
      </w:r>
      <w:r w:rsidRPr="00DC1842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14:paraId="7AF1806F" w14:textId="77777777" w:rsidR="005F690C" w:rsidRPr="00697764" w:rsidRDefault="005F690C" w:rsidP="006B2FB8">
      <w:pPr>
        <w:ind w:hanging="357"/>
        <w:jc w:val="both"/>
        <w:rPr>
          <w:rFonts w:ascii="Tahoma" w:hAnsi="Tahoma" w:cs="Tahoma"/>
          <w:sz w:val="16"/>
          <w:szCs w:val="16"/>
        </w:rPr>
      </w:pPr>
    </w:p>
    <w:p w14:paraId="12FE7737" w14:textId="4A8886B2" w:rsidR="00AA1C9A" w:rsidRPr="00697764" w:rsidRDefault="00172667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Podpora </w:t>
      </w:r>
      <w:r w:rsidR="00AA1C9A" w:rsidRPr="00697764">
        <w:rPr>
          <w:rFonts w:ascii="Tahoma" w:hAnsi="Tahoma" w:cs="Tahoma"/>
          <w:sz w:val="16"/>
          <w:szCs w:val="16"/>
        </w:rPr>
        <w:t>se nevztahuje na poruchy, které byly způsobeny neodbornou obsluhou a údržbou, živelnou pohromou, nedodržením návodu od výrobce, nedodržením provozních podmínek nebo jiným způsobem než obvyklým provozem.</w:t>
      </w:r>
    </w:p>
    <w:p w14:paraId="473039F1" w14:textId="77777777" w:rsidR="00AA1C9A" w:rsidRPr="00697764" w:rsidRDefault="00AA1C9A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202BBEE6" w14:textId="01D4BF96" w:rsidR="00AA1C9A" w:rsidRPr="00697764" w:rsidRDefault="00AA1C9A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 dobu </w:t>
      </w:r>
      <w:r w:rsidR="000C013C">
        <w:rPr>
          <w:rFonts w:ascii="Tahoma" w:hAnsi="Tahoma" w:cs="Tahoma"/>
          <w:sz w:val="16"/>
          <w:szCs w:val="16"/>
        </w:rPr>
        <w:t xml:space="preserve">poskytování </w:t>
      </w:r>
      <w:r w:rsidR="00F97739" w:rsidRPr="00697764">
        <w:rPr>
          <w:rFonts w:ascii="Tahoma" w:hAnsi="Tahoma" w:cs="Tahoma"/>
          <w:sz w:val="16"/>
          <w:szCs w:val="16"/>
        </w:rPr>
        <w:t>podpory</w:t>
      </w:r>
      <w:r w:rsidRPr="00697764">
        <w:rPr>
          <w:rFonts w:ascii="Tahoma" w:hAnsi="Tahoma" w:cs="Tahoma"/>
          <w:sz w:val="16"/>
          <w:szCs w:val="16"/>
        </w:rPr>
        <w:t xml:space="preserve"> je </w:t>
      </w:r>
      <w:r w:rsidR="005F690C" w:rsidRPr="00697764">
        <w:rPr>
          <w:rFonts w:ascii="Tahoma" w:hAnsi="Tahoma" w:cs="Tahoma"/>
          <w:sz w:val="16"/>
          <w:szCs w:val="16"/>
        </w:rPr>
        <w:t>objednatel</w:t>
      </w:r>
      <w:r w:rsidRPr="00697764">
        <w:rPr>
          <w:rFonts w:ascii="Tahoma" w:hAnsi="Tahoma" w:cs="Tahoma"/>
          <w:sz w:val="16"/>
          <w:szCs w:val="16"/>
        </w:rPr>
        <w:t xml:space="preserve"> povinen využívat dodaná zařízení dle pokynů </w:t>
      </w:r>
      <w:r w:rsidR="005F690C" w:rsidRPr="00697764">
        <w:rPr>
          <w:rFonts w:ascii="Tahoma" w:hAnsi="Tahoma" w:cs="Tahoma"/>
          <w:sz w:val="16"/>
          <w:szCs w:val="16"/>
        </w:rPr>
        <w:t xml:space="preserve">poskytovatele, popřípadě dle pokynů </w:t>
      </w:r>
      <w:r w:rsidR="00151749">
        <w:rPr>
          <w:rFonts w:ascii="Tahoma" w:hAnsi="Tahoma" w:cs="Tahoma"/>
          <w:sz w:val="16"/>
          <w:szCs w:val="16"/>
        </w:rPr>
        <w:t>výrobce</w:t>
      </w:r>
      <w:r w:rsidRPr="00697764">
        <w:rPr>
          <w:rFonts w:ascii="Tahoma" w:hAnsi="Tahoma" w:cs="Tahoma"/>
          <w:sz w:val="16"/>
          <w:szCs w:val="16"/>
        </w:rPr>
        <w:t xml:space="preserve">, výlučně v souladu s jejich </w:t>
      </w:r>
      <w:r w:rsidR="00746A8B" w:rsidRPr="00697764">
        <w:rPr>
          <w:rFonts w:ascii="Tahoma" w:hAnsi="Tahoma" w:cs="Tahoma"/>
          <w:sz w:val="16"/>
          <w:szCs w:val="16"/>
        </w:rPr>
        <w:t>určením</w:t>
      </w:r>
      <w:r w:rsidRPr="00697764">
        <w:rPr>
          <w:rFonts w:ascii="Tahoma" w:hAnsi="Tahoma" w:cs="Tahoma"/>
          <w:sz w:val="16"/>
          <w:szCs w:val="16"/>
        </w:rPr>
        <w:t xml:space="preserve"> a příslušnými technickými podmínkami. Případná technická zlepšení nebo úpravy může </w:t>
      </w:r>
      <w:r w:rsidR="00F97739" w:rsidRPr="00697764">
        <w:rPr>
          <w:rFonts w:ascii="Tahoma" w:hAnsi="Tahoma" w:cs="Tahoma"/>
          <w:sz w:val="16"/>
          <w:szCs w:val="16"/>
        </w:rPr>
        <w:t xml:space="preserve">objednatel </w:t>
      </w:r>
      <w:r w:rsidRPr="00697764">
        <w:rPr>
          <w:rFonts w:ascii="Tahoma" w:hAnsi="Tahoma" w:cs="Tahoma"/>
          <w:sz w:val="16"/>
          <w:szCs w:val="16"/>
        </w:rPr>
        <w:t xml:space="preserve">vykonat jen na základě písemného souhlasu </w:t>
      </w:r>
      <w:r w:rsidR="005F690C" w:rsidRPr="00697764">
        <w:rPr>
          <w:rFonts w:ascii="Tahoma" w:hAnsi="Tahoma" w:cs="Tahoma"/>
          <w:sz w:val="16"/>
          <w:szCs w:val="16"/>
        </w:rPr>
        <w:t>poskytovatele</w:t>
      </w:r>
      <w:r w:rsidRPr="00697764">
        <w:rPr>
          <w:rFonts w:ascii="Tahoma" w:hAnsi="Tahoma" w:cs="Tahoma"/>
          <w:sz w:val="16"/>
          <w:szCs w:val="16"/>
        </w:rPr>
        <w:t>.</w:t>
      </w:r>
    </w:p>
    <w:p w14:paraId="49474A0E" w14:textId="77777777" w:rsidR="00B24C4A" w:rsidRPr="00697764" w:rsidRDefault="00B24C4A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4E16E713" w14:textId="7433EB5B" w:rsidR="00DE002D" w:rsidRPr="006133BE" w:rsidRDefault="00B24C4A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133BE">
        <w:rPr>
          <w:rFonts w:ascii="Tahoma" w:hAnsi="Tahoma" w:cs="Tahoma"/>
          <w:sz w:val="16"/>
          <w:szCs w:val="16"/>
        </w:rPr>
        <w:t>Veškeré poskytované služby nesmí být provozované na technických nebo programových prostředcích označených Národním centrem kybernetické bezpečnosti za hrozbu</w:t>
      </w:r>
      <w:r w:rsidR="2B3F4294" w:rsidRPr="006133BE">
        <w:rPr>
          <w:rFonts w:ascii="Tahoma" w:hAnsi="Tahoma" w:cs="Tahoma"/>
          <w:sz w:val="16"/>
          <w:szCs w:val="16"/>
        </w:rPr>
        <w:t xml:space="preserve"> (provozované NÚKIB)</w:t>
      </w:r>
      <w:r w:rsidRPr="006133BE">
        <w:rPr>
          <w:rFonts w:ascii="Tahoma" w:hAnsi="Tahoma" w:cs="Tahoma"/>
          <w:sz w:val="16"/>
          <w:szCs w:val="16"/>
        </w:rPr>
        <w:t>.</w:t>
      </w:r>
      <w:r w:rsidR="00DD3C08" w:rsidRPr="006133BE">
        <w:rPr>
          <w:rFonts w:ascii="Tahoma" w:hAnsi="Tahoma" w:cs="Tahoma"/>
          <w:sz w:val="16"/>
          <w:szCs w:val="16"/>
        </w:rPr>
        <w:t xml:space="preserve"> </w:t>
      </w:r>
      <w:r w:rsidR="00DE002D" w:rsidRPr="006133BE">
        <w:rPr>
          <w:rFonts w:ascii="Tahoma" w:hAnsi="Tahoma" w:cs="Tahoma"/>
          <w:sz w:val="16"/>
          <w:szCs w:val="16"/>
        </w:rPr>
        <w:t>Poskytovatel služeb a jeho poddodavatel nebo výrobce technického nebo programového prostředku nesmí být z území či oblastí označených Národním centrem kybernetické bezpečnosti za hrozbu.</w:t>
      </w:r>
    </w:p>
    <w:p w14:paraId="4EF0E662" w14:textId="52C206FA" w:rsidR="00B24C4A" w:rsidRPr="00697764" w:rsidRDefault="008502B6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DD3C08" w:rsidRPr="006133BE">
        <w:rPr>
          <w:rFonts w:ascii="Tahoma" w:hAnsi="Tahoma" w:cs="Tahoma"/>
          <w:sz w:val="16"/>
          <w:szCs w:val="16"/>
        </w:rPr>
        <w:t>V případě porušení této povinnosti je objednatel oprávněn od smlouvy odstoupit.</w:t>
      </w:r>
    </w:p>
    <w:p w14:paraId="0AC31BA4" w14:textId="77777777" w:rsidR="00B24C4A" w:rsidRPr="00697764" w:rsidRDefault="00B24C4A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7A08147A" w14:textId="73E13DF2" w:rsidR="00B24C4A" w:rsidRPr="00697764" w:rsidRDefault="00B24C4A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Poskytovatel je povinen neprodleně informovat objednatele prostřednictvím poskytovatelem určené odpovědné osoby Manažera kybernetické bezpečnosti, e-mail: </w:t>
      </w:r>
      <w:hyperlink r:id="rId13">
        <w:r w:rsidR="0002564B">
          <w:rPr>
            <w:rFonts w:ascii="Tahoma" w:hAnsi="Tahoma" w:cs="Tahoma"/>
            <w:sz w:val="16"/>
            <w:szCs w:val="16"/>
          </w:rPr>
          <w:t>xxxxx</w:t>
        </w:r>
      </w:hyperlink>
      <w:r w:rsidR="004659CE">
        <w:t>,</w:t>
      </w:r>
      <w:r w:rsidR="00151749">
        <w:rPr>
          <w:rFonts w:ascii="Tahoma" w:hAnsi="Tahoma" w:cs="Tahoma"/>
          <w:sz w:val="16"/>
          <w:szCs w:val="16"/>
        </w:rPr>
        <w:t xml:space="preserve"> </w:t>
      </w:r>
      <w:r w:rsidRPr="00697764">
        <w:rPr>
          <w:rFonts w:ascii="Tahoma" w:hAnsi="Tahoma" w:cs="Tahoma"/>
          <w:sz w:val="16"/>
          <w:szCs w:val="16"/>
        </w:rPr>
        <w:t>o kybernetických bezpečnostních incidentech souvisejících s poskytováním služeb podpory. </w:t>
      </w:r>
    </w:p>
    <w:p w14:paraId="23068B7A" w14:textId="77777777" w:rsidR="001D32C5" w:rsidRDefault="001D32C5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4D21843D" w14:textId="40E415A1" w:rsidR="001D32C5" w:rsidRPr="00697764" w:rsidRDefault="001D32C5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je povinen objednatele informovat prostřednictvím Manažer</w:t>
      </w:r>
      <w:r w:rsidR="00F97050">
        <w:rPr>
          <w:rFonts w:ascii="Tahoma" w:hAnsi="Tahoma" w:cs="Tahoma"/>
          <w:sz w:val="16"/>
          <w:szCs w:val="16"/>
        </w:rPr>
        <w:t>a</w:t>
      </w:r>
      <w:r w:rsidRPr="00697764">
        <w:rPr>
          <w:rFonts w:ascii="Tahoma" w:hAnsi="Tahoma" w:cs="Tahoma"/>
          <w:sz w:val="16"/>
          <w:szCs w:val="16"/>
        </w:rPr>
        <w:t xml:space="preserve"> kybernetické bezpečnosti o způsobu řízení rizik na</w:t>
      </w:r>
      <w:r w:rsidR="00220F24" w:rsidRPr="00697764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>straně poskytovatele a o zbytkových rizicích souvisejících s plněním smlouvy v ročním intervalu nebo v případě zjištění nových rizik nebo změn stávajících rizik informuje bezodkladně.</w:t>
      </w:r>
    </w:p>
    <w:p w14:paraId="19DAE57D" w14:textId="77777777" w:rsidR="001D32C5" w:rsidRDefault="001D32C5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7DA2B144" w14:textId="4AAEA697" w:rsidR="001D32C5" w:rsidRPr="00697764" w:rsidRDefault="001D32C5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je povinen objednatele informovat prostřednictvím Manažer</w:t>
      </w:r>
      <w:r w:rsidR="00004D30" w:rsidRPr="00697764">
        <w:rPr>
          <w:rFonts w:ascii="Tahoma" w:hAnsi="Tahoma" w:cs="Tahoma"/>
          <w:sz w:val="16"/>
          <w:szCs w:val="16"/>
        </w:rPr>
        <w:t>a</w:t>
      </w:r>
      <w:r w:rsidRPr="00697764">
        <w:rPr>
          <w:rFonts w:ascii="Tahoma" w:hAnsi="Tahoma" w:cs="Tahoma"/>
          <w:sz w:val="16"/>
          <w:szCs w:val="16"/>
        </w:rPr>
        <w:t xml:space="preserve"> kybernetické bezpečnosti o</w:t>
      </w:r>
      <w:r w:rsidR="00D22DCF" w:rsidRPr="00697764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>významné změně tohoto poskytovatele dle § 71 a násl. zákona č. 90/2012 Sb., o obchodních korporacích, či ekvivalentní</w:t>
      </w:r>
      <w:r w:rsidR="005C07A2" w:rsidRPr="00697764">
        <w:rPr>
          <w:rFonts w:ascii="Tahoma" w:hAnsi="Tahoma" w:cs="Tahoma"/>
          <w:sz w:val="16"/>
          <w:szCs w:val="16"/>
        </w:rPr>
        <w:t>m</w:t>
      </w:r>
      <w:r w:rsidRPr="00697764">
        <w:rPr>
          <w:rFonts w:ascii="Tahoma" w:hAnsi="Tahoma" w:cs="Tahoma"/>
          <w:sz w:val="16"/>
          <w:szCs w:val="16"/>
        </w:rPr>
        <w:t xml:space="preserve"> postavení, nebo o</w:t>
      </w:r>
      <w:r w:rsidR="00034285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 xml:space="preserve">změně vlastnictví zásadních aktiv, popřípadě změně oprávnění nakládat s těmito aktivy, využívaných tímto poskytovatelem </w:t>
      </w:r>
      <w:r w:rsidR="00A53CC4" w:rsidRPr="00697764">
        <w:rPr>
          <w:rFonts w:ascii="Tahoma" w:hAnsi="Tahoma" w:cs="Tahoma"/>
          <w:sz w:val="16"/>
          <w:szCs w:val="16"/>
        </w:rPr>
        <w:t>služeb podpory</w:t>
      </w:r>
      <w:r w:rsidRPr="00697764">
        <w:rPr>
          <w:rFonts w:ascii="Tahoma" w:hAnsi="Tahoma" w:cs="Tahoma"/>
          <w:sz w:val="16"/>
          <w:szCs w:val="16"/>
        </w:rPr>
        <w:t>. </w:t>
      </w:r>
    </w:p>
    <w:p w14:paraId="65777B22" w14:textId="77777777" w:rsidR="00F6488A" w:rsidRDefault="00F6488A" w:rsidP="006B2FB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33BBA3E4" w14:textId="6DC70CE0" w:rsidR="00F6488A" w:rsidRPr="00697764" w:rsidRDefault="00F6488A" w:rsidP="006B2FB8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Poskytovatel se zavazuje splňovat/dodržet relevantní požadavky na řízení bezpečnosti informací uvedené v příloze č. </w:t>
      </w:r>
      <w:r w:rsidR="00CF77FC">
        <w:rPr>
          <w:rFonts w:ascii="Tahoma" w:hAnsi="Tahoma" w:cs="Tahoma"/>
          <w:sz w:val="16"/>
          <w:szCs w:val="16"/>
        </w:rPr>
        <w:t>3</w:t>
      </w:r>
      <w:r w:rsidRPr="00697764">
        <w:rPr>
          <w:rFonts w:ascii="Tahoma" w:hAnsi="Tahoma" w:cs="Tahoma"/>
          <w:sz w:val="16"/>
          <w:szCs w:val="16"/>
        </w:rPr>
        <w:t xml:space="preserve"> této smlouvy „Požadavky systému řízení bezpečnosti informací na dodavatele“ vztahující se na prostředí a činnosti </w:t>
      </w:r>
      <w:r w:rsidR="002F6022" w:rsidRPr="00697764">
        <w:rPr>
          <w:rFonts w:ascii="Tahoma" w:hAnsi="Tahoma" w:cs="Tahoma"/>
          <w:sz w:val="16"/>
          <w:szCs w:val="16"/>
        </w:rPr>
        <w:t>p</w:t>
      </w:r>
      <w:r w:rsidRPr="00697764">
        <w:rPr>
          <w:rFonts w:ascii="Tahoma" w:hAnsi="Tahoma" w:cs="Tahoma"/>
          <w:sz w:val="16"/>
          <w:szCs w:val="16"/>
        </w:rPr>
        <w:t xml:space="preserve">oskytovatele. </w:t>
      </w:r>
    </w:p>
    <w:p w14:paraId="408B21D1" w14:textId="77777777" w:rsidR="00B24C4A" w:rsidRPr="00B24C4A" w:rsidRDefault="00B24C4A" w:rsidP="006B2FB8">
      <w:pPr>
        <w:ind w:hanging="357"/>
      </w:pPr>
    </w:p>
    <w:p w14:paraId="349D2D69" w14:textId="77777777" w:rsidR="00AA1C9A" w:rsidRPr="00B24C4A" w:rsidRDefault="00AA1C9A" w:rsidP="006B2FB8">
      <w:pPr>
        <w:ind w:hanging="357"/>
      </w:pPr>
    </w:p>
    <w:p w14:paraId="1F9BE7FD" w14:textId="4BEE4230" w:rsidR="00EC40EC" w:rsidRPr="00D941EC" w:rsidRDefault="00EC40EC" w:rsidP="006B2FB8">
      <w:pPr>
        <w:pStyle w:val="SSlnek-zkladntext"/>
        <w:spacing w:before="0"/>
        <w:ind w:left="426" w:hanging="357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III. Cena a platební podmínky</w:t>
      </w:r>
    </w:p>
    <w:p w14:paraId="3B1F9400" w14:textId="77777777" w:rsidR="00C7559D" w:rsidRPr="00D941EC" w:rsidRDefault="00C7559D" w:rsidP="006B2FB8">
      <w:pPr>
        <w:ind w:left="284" w:hanging="357"/>
        <w:jc w:val="both"/>
        <w:rPr>
          <w:rFonts w:ascii="Tahoma" w:hAnsi="Tahoma" w:cs="Tahoma"/>
          <w:sz w:val="16"/>
          <w:szCs w:val="16"/>
        </w:rPr>
      </w:pPr>
    </w:p>
    <w:p w14:paraId="141414FB" w14:textId="0E7F668B" w:rsidR="004B7ACE" w:rsidRPr="00556FC5" w:rsidRDefault="004B7ACE" w:rsidP="006B2FB8">
      <w:pPr>
        <w:pStyle w:val="rove2Oddl"/>
        <w:numPr>
          <w:ilvl w:val="0"/>
          <w:numId w:val="7"/>
        </w:numPr>
        <w:ind w:left="426" w:hanging="357"/>
        <w:rPr>
          <w:rFonts w:ascii="Tahoma" w:hAnsi="Tahoma" w:cs="Tahoma"/>
          <w:sz w:val="16"/>
          <w:szCs w:val="16"/>
        </w:rPr>
      </w:pPr>
      <w:r w:rsidRPr="0094573B">
        <w:rPr>
          <w:rFonts w:ascii="Tahoma" w:hAnsi="Tahoma" w:cs="Tahoma"/>
          <w:sz w:val="16"/>
          <w:szCs w:val="16"/>
        </w:rPr>
        <w:t>Objednatel</w:t>
      </w:r>
      <w:r w:rsidRPr="005F690C">
        <w:rPr>
          <w:rFonts w:ascii="Tahoma" w:hAnsi="Tahoma" w:cs="Tahoma"/>
          <w:sz w:val="16"/>
          <w:szCs w:val="16"/>
        </w:rPr>
        <w:t xml:space="preserve"> se zavazuje zaplatit </w:t>
      </w:r>
      <w:r w:rsidRPr="0094573B">
        <w:rPr>
          <w:rFonts w:ascii="Tahoma" w:hAnsi="Tahoma" w:cs="Tahoma"/>
          <w:sz w:val="16"/>
          <w:szCs w:val="16"/>
        </w:rPr>
        <w:t>poskytovat</w:t>
      </w:r>
      <w:r w:rsidRPr="005F690C">
        <w:rPr>
          <w:rFonts w:ascii="Tahoma" w:hAnsi="Tahoma" w:cs="Tahoma"/>
          <w:sz w:val="16"/>
          <w:szCs w:val="16"/>
        </w:rPr>
        <w:t>eli za plnění smlouvy cenu stanovenou dohodou, jejíž výše činí</w:t>
      </w:r>
      <w:r w:rsidRPr="0094573B">
        <w:rPr>
          <w:rFonts w:ascii="Tahoma" w:hAnsi="Tahoma" w:cs="Tahoma"/>
          <w:sz w:val="16"/>
          <w:szCs w:val="16"/>
        </w:rPr>
        <w:t xml:space="preserve"> celkem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851B90" w:rsidRPr="00495024">
        <w:rPr>
          <w:rFonts w:ascii="Tahoma" w:hAnsi="Tahoma" w:cs="Tahoma"/>
          <w:sz w:val="16"/>
          <w:szCs w:val="16"/>
          <w:lang w:val="cs-CZ"/>
        </w:rPr>
        <w:t>602 647,19</w:t>
      </w:r>
      <w:r w:rsidR="00851B90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Kč bez DPH (slovy</w:t>
      </w:r>
      <w:r>
        <w:rPr>
          <w:rFonts w:ascii="Tahoma" w:hAnsi="Tahoma" w:cs="Tahoma"/>
          <w:sz w:val="16"/>
          <w:szCs w:val="16"/>
        </w:rPr>
        <w:t>: „</w:t>
      </w:r>
      <w:r w:rsidR="00851B90" w:rsidRPr="00851B90">
        <w:rPr>
          <w:rFonts w:ascii="Tahoma" w:hAnsi="Tahoma" w:cs="Tahoma"/>
          <w:sz w:val="16"/>
          <w:szCs w:val="16"/>
          <w:lang w:val="cs-CZ"/>
        </w:rPr>
        <w:t>šest set dva tisíc šest set čtyřicet sedm korun českých devatenáct haléřů</w:t>
      </w:r>
      <w:r>
        <w:rPr>
          <w:rFonts w:ascii="Tahoma" w:hAnsi="Tahoma" w:cs="Tahoma"/>
          <w:sz w:val="16"/>
          <w:szCs w:val="16"/>
          <w:lang w:val="cs-CZ"/>
        </w:rPr>
        <w:t>“</w:t>
      </w:r>
      <w:r w:rsidR="00851B90">
        <w:rPr>
          <w:rFonts w:ascii="Tahoma" w:hAnsi="Tahoma" w:cs="Tahoma"/>
          <w:sz w:val="16"/>
          <w:szCs w:val="16"/>
          <w:lang w:val="cs-CZ"/>
        </w:rPr>
        <w:t>)</w:t>
      </w:r>
      <w:r w:rsidRPr="0094573B">
        <w:rPr>
          <w:rFonts w:ascii="Tahoma" w:hAnsi="Tahoma" w:cs="Tahoma"/>
          <w:sz w:val="16"/>
          <w:szCs w:val="16"/>
        </w:rPr>
        <w:t>. Podrobný cenový rozpis je uveden v příloze č. 1 této smlouvy.</w:t>
      </w:r>
    </w:p>
    <w:p w14:paraId="6175A1FF" w14:textId="77777777" w:rsidR="004B7ACE" w:rsidRPr="005F690C" w:rsidRDefault="004B7ACE" w:rsidP="006B2FB8">
      <w:pPr>
        <w:pStyle w:val="rove2Oddl"/>
        <w:numPr>
          <w:ilvl w:val="0"/>
          <w:numId w:val="0"/>
        </w:numPr>
        <w:ind w:hanging="357"/>
        <w:rPr>
          <w:rFonts w:ascii="Tahoma" w:hAnsi="Tahoma" w:cs="Tahoma"/>
          <w:sz w:val="16"/>
          <w:szCs w:val="16"/>
        </w:rPr>
      </w:pPr>
    </w:p>
    <w:p w14:paraId="78D4920B" w14:textId="77777777" w:rsidR="004B7ACE" w:rsidRPr="005F690C" w:rsidRDefault="004B7ACE" w:rsidP="006B2FB8">
      <w:pPr>
        <w:pStyle w:val="rove2Oddl"/>
        <w:numPr>
          <w:ilvl w:val="0"/>
          <w:numId w:val="7"/>
        </w:numPr>
        <w:ind w:left="426" w:hanging="357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Cena je stanovena jako konečná a zahrnuje cenu uhrazenou </w:t>
      </w:r>
      <w:r>
        <w:rPr>
          <w:rFonts w:ascii="Tahoma" w:hAnsi="Tahoma" w:cs="Tahoma"/>
          <w:sz w:val="16"/>
          <w:szCs w:val="16"/>
          <w:lang w:val="cs-CZ"/>
        </w:rPr>
        <w:t xml:space="preserve">výrobci </w:t>
      </w:r>
      <w:r w:rsidRPr="005F690C">
        <w:rPr>
          <w:rFonts w:ascii="Tahoma" w:hAnsi="Tahoma" w:cs="Tahoma"/>
          <w:sz w:val="16"/>
          <w:szCs w:val="16"/>
        </w:rPr>
        <w:t>za poskytnutí podpory a veškeré náklady poskytovat</w:t>
      </w:r>
      <w:r>
        <w:rPr>
          <w:rFonts w:ascii="Tahoma" w:hAnsi="Tahoma" w:cs="Tahoma"/>
          <w:sz w:val="16"/>
          <w:szCs w:val="16"/>
        </w:rPr>
        <w:t>e</w:t>
      </w:r>
      <w:r w:rsidRPr="005F690C">
        <w:rPr>
          <w:rFonts w:ascii="Tahoma" w:hAnsi="Tahoma" w:cs="Tahoma"/>
          <w:sz w:val="16"/>
          <w:szCs w:val="16"/>
        </w:rPr>
        <w:t>le n</w:t>
      </w:r>
      <w:r>
        <w:rPr>
          <w:rFonts w:ascii="Tahoma" w:hAnsi="Tahoma" w:cs="Tahoma"/>
          <w:sz w:val="16"/>
          <w:szCs w:val="16"/>
        </w:rPr>
        <w:t>a</w:t>
      </w:r>
      <w:r w:rsidRPr="005F690C">
        <w:rPr>
          <w:rFonts w:ascii="Tahoma" w:hAnsi="Tahoma" w:cs="Tahoma"/>
          <w:sz w:val="16"/>
          <w:szCs w:val="16"/>
        </w:rPr>
        <w:t xml:space="preserve"> plnění dle této smlouvy.</w:t>
      </w:r>
    </w:p>
    <w:p w14:paraId="0DF3AB1B" w14:textId="77777777" w:rsidR="004B7ACE" w:rsidRPr="005F690C" w:rsidRDefault="004B7ACE" w:rsidP="006B2FB8">
      <w:pPr>
        <w:pStyle w:val="rove2Oddl"/>
        <w:numPr>
          <w:ilvl w:val="0"/>
          <w:numId w:val="0"/>
        </w:numPr>
        <w:ind w:left="426" w:hanging="357"/>
        <w:rPr>
          <w:rFonts w:ascii="Tahoma" w:hAnsi="Tahoma" w:cs="Tahoma"/>
          <w:sz w:val="16"/>
          <w:szCs w:val="16"/>
        </w:rPr>
      </w:pPr>
    </w:p>
    <w:p w14:paraId="57F7EF11" w14:textId="41FB0C56" w:rsidR="004B7ACE" w:rsidRPr="005F690C" w:rsidRDefault="004B7ACE" w:rsidP="006B2FB8">
      <w:pPr>
        <w:pStyle w:val="rove2Oddl"/>
        <w:numPr>
          <w:ilvl w:val="0"/>
          <w:numId w:val="7"/>
        </w:numPr>
        <w:ind w:left="426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 xml:space="preserve">Cena za plnění dle této smlouvy bude </w:t>
      </w:r>
      <w:r w:rsidR="00C1390B">
        <w:rPr>
          <w:rFonts w:ascii="Tahoma" w:hAnsi="Tahoma" w:cs="Tahoma"/>
          <w:sz w:val="16"/>
          <w:szCs w:val="16"/>
          <w:lang w:val="cs-CZ"/>
        </w:rPr>
        <w:t>u</w:t>
      </w:r>
      <w:r>
        <w:rPr>
          <w:rFonts w:ascii="Tahoma" w:hAnsi="Tahoma" w:cs="Tahoma"/>
          <w:sz w:val="16"/>
          <w:szCs w:val="16"/>
          <w:lang w:val="cs-CZ"/>
        </w:rPr>
        <w:t>hrazena jednorázově po dodání celého předmětu plnění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, tzn. po </w:t>
      </w:r>
      <w:r w:rsidR="00896809">
        <w:rPr>
          <w:rFonts w:ascii="Tahoma" w:hAnsi="Tahoma" w:cs="Tahoma"/>
          <w:sz w:val="16"/>
          <w:szCs w:val="16"/>
          <w:lang w:val="cs-CZ"/>
        </w:rPr>
        <w:t xml:space="preserve">zajištění </w:t>
      </w:r>
      <w:r w:rsidR="00FF730B">
        <w:rPr>
          <w:rFonts w:ascii="Tahoma" w:hAnsi="Tahoma" w:cs="Tahoma"/>
          <w:sz w:val="16"/>
          <w:szCs w:val="16"/>
          <w:lang w:val="cs-CZ"/>
        </w:rPr>
        <w:t>aktivac</w:t>
      </w:r>
      <w:r w:rsidR="00896809">
        <w:rPr>
          <w:rFonts w:ascii="Tahoma" w:hAnsi="Tahoma" w:cs="Tahoma"/>
          <w:sz w:val="16"/>
          <w:szCs w:val="16"/>
          <w:lang w:val="cs-CZ"/>
        </w:rPr>
        <w:t>e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 podpory </w:t>
      </w:r>
      <w:r w:rsidR="00373E0A">
        <w:rPr>
          <w:rFonts w:ascii="Tahoma" w:hAnsi="Tahoma" w:cs="Tahoma"/>
          <w:sz w:val="16"/>
          <w:szCs w:val="16"/>
          <w:lang w:val="cs-CZ"/>
        </w:rPr>
        <w:t>všech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 </w:t>
      </w:r>
      <w:r w:rsidR="00EC6DFC">
        <w:rPr>
          <w:rFonts w:ascii="Tahoma" w:hAnsi="Tahoma" w:cs="Tahoma"/>
          <w:sz w:val="16"/>
          <w:szCs w:val="16"/>
          <w:lang w:val="cs-CZ"/>
        </w:rPr>
        <w:t>síťových prvků</w:t>
      </w:r>
      <w:r w:rsidR="00896809">
        <w:rPr>
          <w:rFonts w:ascii="Tahoma" w:hAnsi="Tahoma" w:cs="Tahoma"/>
          <w:sz w:val="16"/>
          <w:szCs w:val="16"/>
          <w:lang w:val="cs-CZ"/>
        </w:rPr>
        <w:t xml:space="preserve"> u výrobce</w:t>
      </w:r>
      <w:r w:rsidR="00EC6DFC">
        <w:rPr>
          <w:rFonts w:ascii="Tahoma" w:hAnsi="Tahoma" w:cs="Tahoma"/>
          <w:sz w:val="16"/>
          <w:szCs w:val="16"/>
          <w:lang w:val="cs-CZ"/>
        </w:rPr>
        <w:t>,</w:t>
      </w:r>
      <w:r>
        <w:rPr>
          <w:rFonts w:ascii="Tahoma" w:hAnsi="Tahoma" w:cs="Tahoma"/>
          <w:sz w:val="16"/>
          <w:szCs w:val="16"/>
          <w:lang w:val="cs-CZ"/>
        </w:rPr>
        <w:t xml:space="preserve"> na základě faktury vystavené poskytovatelem. </w:t>
      </w:r>
      <w:r w:rsidRPr="005F690C">
        <w:rPr>
          <w:rFonts w:ascii="Tahoma" w:hAnsi="Tahoma" w:cs="Tahoma"/>
          <w:sz w:val="16"/>
          <w:szCs w:val="16"/>
        </w:rPr>
        <w:t xml:space="preserve"> </w:t>
      </w:r>
    </w:p>
    <w:p w14:paraId="5D9B4B39" w14:textId="77777777" w:rsidR="004B7ACE" w:rsidRPr="005F690C" w:rsidRDefault="004B7ACE" w:rsidP="006B2FB8">
      <w:pPr>
        <w:pStyle w:val="rove2Oddl"/>
        <w:numPr>
          <w:ilvl w:val="0"/>
          <w:numId w:val="0"/>
        </w:numPr>
        <w:ind w:left="426" w:hanging="357"/>
        <w:rPr>
          <w:rFonts w:ascii="Tahoma" w:hAnsi="Tahoma" w:cs="Tahoma"/>
          <w:sz w:val="16"/>
          <w:szCs w:val="16"/>
        </w:rPr>
      </w:pPr>
    </w:p>
    <w:p w14:paraId="29A1A0B3" w14:textId="0E51FD6D" w:rsidR="004B7ACE" w:rsidRPr="005F690C" w:rsidRDefault="004B7ACE" w:rsidP="006B2FB8">
      <w:pPr>
        <w:pStyle w:val="rove2Oddl"/>
        <w:numPr>
          <w:ilvl w:val="0"/>
          <w:numId w:val="7"/>
        </w:numPr>
        <w:ind w:left="426" w:hanging="357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Daňový doklad (faktura) bude </w:t>
      </w:r>
      <w:r>
        <w:rPr>
          <w:rFonts w:ascii="Tahoma" w:hAnsi="Tahoma" w:cs="Tahoma"/>
          <w:sz w:val="16"/>
          <w:szCs w:val="16"/>
          <w:lang w:val="cs-CZ"/>
        </w:rPr>
        <w:t>poskytovatelem</w:t>
      </w:r>
      <w:r w:rsidRPr="005F690C">
        <w:rPr>
          <w:rFonts w:ascii="Tahoma" w:hAnsi="Tahoma" w:cs="Tahoma"/>
          <w:sz w:val="16"/>
          <w:szCs w:val="16"/>
        </w:rPr>
        <w:t xml:space="preserve"> vystaven, v souladu s ustanovením § 29 zákona č. 235/2004 Sb.</w:t>
      </w:r>
      <w:r w:rsidR="00A42744">
        <w:rPr>
          <w:rFonts w:ascii="Tahoma" w:hAnsi="Tahoma" w:cs="Tahoma"/>
          <w:sz w:val="16"/>
          <w:szCs w:val="16"/>
        </w:rPr>
        <w:t>,</w:t>
      </w:r>
      <w:r w:rsidRPr="005F690C">
        <w:rPr>
          <w:rFonts w:ascii="Tahoma" w:hAnsi="Tahoma" w:cs="Tahoma"/>
          <w:sz w:val="16"/>
          <w:szCs w:val="16"/>
        </w:rPr>
        <w:t xml:space="preserve"> o dani z</w:t>
      </w:r>
      <w:r>
        <w:rPr>
          <w:rFonts w:ascii="Tahoma" w:hAnsi="Tahoma" w:cs="Tahoma"/>
          <w:sz w:val="16"/>
          <w:szCs w:val="16"/>
          <w:lang w:val="cs-CZ"/>
        </w:rPr>
        <w:t> </w:t>
      </w:r>
      <w:r w:rsidRPr="005F690C">
        <w:rPr>
          <w:rFonts w:ascii="Tahoma" w:hAnsi="Tahoma" w:cs="Tahoma"/>
          <w:sz w:val="16"/>
          <w:szCs w:val="16"/>
        </w:rPr>
        <w:t xml:space="preserve">přidané hodnoty ve znění pozdějších předpisů, do 15 dnů od data uskutečnění zdanitelného plnění. </w:t>
      </w:r>
      <w:r w:rsidR="00A06B29">
        <w:rPr>
          <w:rFonts w:ascii="Tahoma" w:hAnsi="Tahoma" w:cs="Tahoma"/>
          <w:sz w:val="16"/>
          <w:szCs w:val="16"/>
          <w:lang w:val="cs-CZ"/>
        </w:rPr>
        <w:t xml:space="preserve">Dnem uskutečnění </w:t>
      </w:r>
      <w:r w:rsidR="00A06B29">
        <w:rPr>
          <w:rFonts w:ascii="Tahoma" w:hAnsi="Tahoma" w:cs="Tahoma"/>
          <w:sz w:val="16"/>
          <w:szCs w:val="16"/>
          <w:lang w:val="cs-CZ"/>
        </w:rPr>
        <w:lastRenderedPageBreak/>
        <w:t xml:space="preserve">zdanitelného plnění je den aktivace podpory u výrobce. </w:t>
      </w:r>
      <w:r w:rsidRPr="005F690C">
        <w:rPr>
          <w:rFonts w:ascii="Tahoma" w:hAnsi="Tahoma" w:cs="Tahoma"/>
          <w:sz w:val="16"/>
          <w:szCs w:val="16"/>
        </w:rPr>
        <w:t xml:space="preserve">Splatnost faktury je stanovena </w:t>
      </w:r>
      <w:r w:rsidRPr="000952E5">
        <w:rPr>
          <w:rFonts w:ascii="Tahoma" w:hAnsi="Tahoma" w:cs="Tahoma"/>
          <w:sz w:val="16"/>
          <w:szCs w:val="16"/>
        </w:rPr>
        <w:t xml:space="preserve">na </w:t>
      </w:r>
      <w:r w:rsidRPr="002218AB">
        <w:rPr>
          <w:rFonts w:ascii="Tahoma" w:hAnsi="Tahoma" w:cs="Tahoma"/>
          <w:sz w:val="16"/>
          <w:szCs w:val="16"/>
        </w:rPr>
        <w:t>60 dní</w:t>
      </w:r>
      <w:r w:rsidRPr="000952E5">
        <w:rPr>
          <w:rFonts w:ascii="Tahoma" w:hAnsi="Tahoma" w:cs="Tahoma"/>
          <w:sz w:val="16"/>
          <w:szCs w:val="16"/>
        </w:rPr>
        <w:t xml:space="preserve"> ode dne</w:t>
      </w:r>
      <w:r w:rsidRPr="005F690C">
        <w:rPr>
          <w:rFonts w:ascii="Tahoma" w:hAnsi="Tahoma" w:cs="Tahoma"/>
          <w:sz w:val="16"/>
          <w:szCs w:val="16"/>
        </w:rPr>
        <w:t xml:space="preserve"> jejího </w:t>
      </w:r>
      <w:r>
        <w:rPr>
          <w:rFonts w:ascii="Tahoma" w:hAnsi="Tahoma" w:cs="Tahoma"/>
          <w:sz w:val="16"/>
          <w:szCs w:val="16"/>
          <w:lang w:val="cs-CZ"/>
        </w:rPr>
        <w:t>doručení objednateli</w:t>
      </w:r>
      <w:r w:rsidRPr="005F690C">
        <w:rPr>
          <w:rFonts w:ascii="Tahoma" w:hAnsi="Tahoma" w:cs="Tahoma"/>
          <w:sz w:val="16"/>
          <w:szCs w:val="16"/>
        </w:rPr>
        <w:t>. Faktura bude zaslána elektronicky ve formátu PDF na adresu</w:t>
      </w:r>
      <w:r w:rsidR="004A069C">
        <w:rPr>
          <w:rFonts w:ascii="Tahoma" w:hAnsi="Tahoma" w:cs="Tahoma"/>
          <w:sz w:val="16"/>
          <w:szCs w:val="16"/>
        </w:rPr>
        <w:t xml:space="preserve"> xxxxx.</w:t>
      </w:r>
    </w:p>
    <w:p w14:paraId="389EC872" w14:textId="77777777" w:rsidR="004B7ACE" w:rsidRPr="005F690C" w:rsidRDefault="004B7ACE" w:rsidP="006B2FB8">
      <w:pPr>
        <w:ind w:left="426" w:hanging="357"/>
        <w:jc w:val="both"/>
        <w:rPr>
          <w:rFonts w:ascii="Tahoma" w:hAnsi="Tahoma" w:cs="Tahoma"/>
          <w:sz w:val="16"/>
          <w:szCs w:val="16"/>
        </w:rPr>
      </w:pPr>
    </w:p>
    <w:p w14:paraId="3E7C99F3" w14:textId="782B00D0" w:rsidR="004B7ACE" w:rsidRPr="005F690C" w:rsidRDefault="004B7ACE" w:rsidP="006B2FB8">
      <w:pPr>
        <w:numPr>
          <w:ilvl w:val="0"/>
          <w:numId w:val="7"/>
        </w:numPr>
        <w:ind w:left="426" w:hanging="357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</w:t>
      </w:r>
      <w:r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15 dnů od doručení vrátit poskytovateli s tím, že poskytovatel je poté povinen vystavit novou fakturu s novým termínem splatnosti. V takovém případě objednatel není v prodlení s úhradou faktury.</w:t>
      </w:r>
    </w:p>
    <w:p w14:paraId="4D2AE5A1" w14:textId="77777777" w:rsidR="004B7ACE" w:rsidRPr="005F690C" w:rsidRDefault="004B7ACE" w:rsidP="006B2FB8">
      <w:pPr>
        <w:ind w:left="426" w:hanging="357"/>
        <w:jc w:val="both"/>
        <w:rPr>
          <w:rFonts w:ascii="Tahoma" w:hAnsi="Tahoma" w:cs="Tahoma"/>
          <w:sz w:val="16"/>
          <w:szCs w:val="16"/>
        </w:rPr>
      </w:pPr>
    </w:p>
    <w:p w14:paraId="01B82FFA" w14:textId="77777777" w:rsidR="004B7ACE" w:rsidRPr="005F690C" w:rsidRDefault="004B7ACE" w:rsidP="006B2FB8">
      <w:pPr>
        <w:numPr>
          <w:ilvl w:val="0"/>
          <w:numId w:val="7"/>
        </w:numPr>
        <w:ind w:left="426" w:hanging="357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7C5A5E5F" w14:textId="77777777" w:rsid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31E35C0C" w14:textId="77777777" w:rsidR="00FD3C30" w:rsidRPr="00D941EC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7A4F03CF" w14:textId="77777777" w:rsidR="00EC40EC" w:rsidRDefault="00EC40EC" w:rsidP="00FD3C3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IV. Trvání smlouvy</w:t>
      </w:r>
    </w:p>
    <w:p w14:paraId="2638CF67" w14:textId="77777777" w:rsidR="004B0261" w:rsidRPr="00D941EC" w:rsidRDefault="004B0261" w:rsidP="00FD3C3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44521908" w14:textId="5B76305B" w:rsidR="00B24C4A" w:rsidRDefault="00B24C4A" w:rsidP="00995CCD">
      <w:pPr>
        <w:keepNext/>
        <w:numPr>
          <w:ilvl w:val="0"/>
          <w:numId w:val="9"/>
        </w:numPr>
        <w:suppressAutoHyphens w:val="0"/>
        <w:ind w:left="426" w:hanging="426"/>
        <w:jc w:val="both"/>
        <w:rPr>
          <w:rFonts w:ascii="Tahoma" w:hAnsi="Tahoma" w:cs="Tahoma"/>
          <w:kern w:val="0"/>
          <w:sz w:val="16"/>
          <w:szCs w:val="16"/>
          <w:lang w:eastAsia="cs-CZ"/>
        </w:rPr>
      </w:pPr>
      <w:r>
        <w:rPr>
          <w:rFonts w:ascii="Tahoma" w:hAnsi="Tahoma" w:cs="Tahoma"/>
          <w:sz w:val="16"/>
          <w:szCs w:val="16"/>
        </w:rPr>
        <w:t xml:space="preserve">Tato smlouva se uzavírá </w:t>
      </w:r>
      <w:r w:rsidR="002F6022">
        <w:rPr>
          <w:rFonts w:ascii="Tahoma" w:hAnsi="Tahoma" w:cs="Tahoma"/>
          <w:sz w:val="16"/>
          <w:szCs w:val="16"/>
        </w:rPr>
        <w:t xml:space="preserve">na dobu určitou </w:t>
      </w:r>
      <w:r w:rsidR="00877ECC">
        <w:rPr>
          <w:rFonts w:ascii="Tahoma" w:hAnsi="Tahoma" w:cs="Tahoma"/>
          <w:sz w:val="16"/>
          <w:szCs w:val="16"/>
        </w:rPr>
        <w:t>do 3</w:t>
      </w:r>
      <w:r w:rsidR="00D14C4F">
        <w:rPr>
          <w:rFonts w:ascii="Tahoma" w:hAnsi="Tahoma" w:cs="Tahoma"/>
          <w:sz w:val="16"/>
          <w:szCs w:val="16"/>
        </w:rPr>
        <w:t>0</w:t>
      </w:r>
      <w:r w:rsidR="00877ECC">
        <w:rPr>
          <w:rFonts w:ascii="Tahoma" w:hAnsi="Tahoma" w:cs="Tahoma"/>
          <w:sz w:val="16"/>
          <w:szCs w:val="16"/>
        </w:rPr>
        <w:t xml:space="preserve">. </w:t>
      </w:r>
      <w:r w:rsidR="00D14C4F">
        <w:rPr>
          <w:rFonts w:ascii="Tahoma" w:hAnsi="Tahoma" w:cs="Tahoma"/>
          <w:sz w:val="16"/>
          <w:szCs w:val="16"/>
        </w:rPr>
        <w:t>4</w:t>
      </w:r>
      <w:r w:rsidR="00877ECC">
        <w:rPr>
          <w:rFonts w:ascii="Tahoma" w:hAnsi="Tahoma" w:cs="Tahoma"/>
          <w:sz w:val="16"/>
          <w:szCs w:val="16"/>
        </w:rPr>
        <w:t>. 202</w:t>
      </w:r>
      <w:r w:rsidR="00D14C4F">
        <w:rPr>
          <w:rFonts w:ascii="Tahoma" w:hAnsi="Tahoma" w:cs="Tahoma"/>
          <w:sz w:val="16"/>
          <w:szCs w:val="16"/>
        </w:rPr>
        <w:t>7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1C971310" w14:textId="77777777" w:rsidR="00B24C4A" w:rsidRDefault="00B24C4A" w:rsidP="00FD3C30">
      <w:pPr>
        <w:keepNext/>
        <w:jc w:val="both"/>
        <w:rPr>
          <w:rFonts w:ascii="Tahoma" w:hAnsi="Tahoma" w:cs="Tahoma"/>
          <w:kern w:val="2"/>
          <w:sz w:val="16"/>
          <w:szCs w:val="16"/>
        </w:rPr>
      </w:pPr>
    </w:p>
    <w:p w14:paraId="6AC30767" w14:textId="77777777" w:rsidR="00B24C4A" w:rsidRDefault="00B24C4A" w:rsidP="00995CCD">
      <w:pPr>
        <w:keepNext/>
        <w:numPr>
          <w:ilvl w:val="0"/>
          <w:numId w:val="9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Smlouva může být ukončena:</w:t>
      </w:r>
    </w:p>
    <w:p w14:paraId="56FFFC45" w14:textId="1C55AB1E" w:rsidR="00B24C4A" w:rsidRPr="00FA10F7" w:rsidRDefault="00B24C4A" w:rsidP="00FA10F7">
      <w:pPr>
        <w:pStyle w:val="Odstavecseseznamem"/>
        <w:keepNext/>
        <w:numPr>
          <w:ilvl w:val="0"/>
          <w:numId w:val="22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A10F7">
        <w:rPr>
          <w:rFonts w:ascii="Tahoma" w:hAnsi="Tahoma" w:cs="Tahoma"/>
          <w:sz w:val="16"/>
          <w:szCs w:val="16"/>
        </w:rPr>
        <w:t>písemnou dohodou smluvních stran</w:t>
      </w:r>
      <w:r w:rsidR="00FA6457" w:rsidRPr="00FA10F7">
        <w:rPr>
          <w:rFonts w:ascii="Tahoma" w:hAnsi="Tahoma" w:cs="Tahoma"/>
          <w:sz w:val="16"/>
          <w:szCs w:val="16"/>
        </w:rPr>
        <w:t>;</w:t>
      </w:r>
    </w:p>
    <w:p w14:paraId="3285D04F" w14:textId="77777777" w:rsidR="00B24C4A" w:rsidRPr="00FA10F7" w:rsidRDefault="00B24C4A" w:rsidP="00FA10F7">
      <w:pPr>
        <w:pStyle w:val="Odstavecseseznamem"/>
        <w:keepNext/>
        <w:numPr>
          <w:ilvl w:val="0"/>
          <w:numId w:val="22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A10F7"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52953D2A" w14:textId="77777777" w:rsidR="00B24C4A" w:rsidRDefault="00B24C4A" w:rsidP="00995CCD">
      <w:pPr>
        <w:keepNext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425865A0" w14:textId="75492AB5" w:rsidR="00B24C4A" w:rsidRDefault="00B24C4A" w:rsidP="00995CCD">
      <w:pPr>
        <w:keepNext/>
        <w:numPr>
          <w:ilvl w:val="0"/>
          <w:numId w:val="9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Kterákoliv ze smluvních stran je oprávněna odstoupit od smlouvy v případě, že druhá smluvní strana hrubě poruší nebo opakovaně porušuje své 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 zejména nefunkčnost nebo nedostupnost některé z klíčových </w:t>
      </w:r>
      <w:r w:rsidR="0042453D">
        <w:rPr>
          <w:rFonts w:ascii="Tahoma" w:hAnsi="Tahoma" w:cs="Tahoma"/>
          <w:sz w:val="16"/>
          <w:szCs w:val="16"/>
        </w:rPr>
        <w:t>služeb</w:t>
      </w:r>
      <w:r>
        <w:rPr>
          <w:rFonts w:ascii="Tahoma" w:hAnsi="Tahoma" w:cs="Tahoma"/>
          <w:sz w:val="16"/>
          <w:szCs w:val="16"/>
        </w:rPr>
        <w:t xml:space="preserve"> v rozsahu delším než </w:t>
      </w:r>
      <w:r w:rsidR="00603DD7">
        <w:rPr>
          <w:rFonts w:ascii="Tahoma" w:hAnsi="Tahoma" w:cs="Tahoma"/>
          <w:sz w:val="16"/>
          <w:szCs w:val="16"/>
        </w:rPr>
        <w:t>30</w:t>
      </w:r>
      <w:r>
        <w:rPr>
          <w:rFonts w:ascii="Tahoma" w:hAnsi="Tahoma" w:cs="Tahoma"/>
          <w:sz w:val="16"/>
          <w:szCs w:val="16"/>
        </w:rPr>
        <w:t xml:space="preserve"> dnů.</w:t>
      </w:r>
    </w:p>
    <w:p w14:paraId="543F7E25" w14:textId="77777777" w:rsidR="00B24C4A" w:rsidRDefault="00B24C4A" w:rsidP="00995CCD">
      <w:pPr>
        <w:keepNext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22D7352C" w14:textId="77777777" w:rsidR="00B24C4A" w:rsidRDefault="00B24C4A" w:rsidP="00995CCD">
      <w:pPr>
        <w:keepNext/>
        <w:numPr>
          <w:ilvl w:val="0"/>
          <w:numId w:val="9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351FA9C2" w14:textId="77777777" w:rsidR="00EC40EC" w:rsidRPr="00D941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1AC049FA" w14:textId="77777777" w:rsidR="007625CC" w:rsidRPr="00D941EC" w:rsidRDefault="007625CC" w:rsidP="005C71BA"/>
    <w:p w14:paraId="5C57A92F" w14:textId="66481672" w:rsidR="00EC40EC" w:rsidRPr="00D941E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V. Smluvní pokuty, sankce</w:t>
      </w:r>
    </w:p>
    <w:p w14:paraId="2A026650" w14:textId="77777777" w:rsidR="00F639AD" w:rsidRPr="00D941E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C071C29" w14:textId="5EB33CED" w:rsidR="00F639AD" w:rsidRDefault="00EC40EC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Pro případ prodlení objednatele s úhradou ceny dle čl. III</w:t>
      </w:r>
      <w:r w:rsidR="00C077EF">
        <w:rPr>
          <w:rFonts w:ascii="Tahoma" w:hAnsi="Tahoma" w:cs="Tahoma"/>
          <w:sz w:val="16"/>
          <w:szCs w:val="16"/>
        </w:rPr>
        <w:t>.</w:t>
      </w:r>
      <w:r w:rsidRPr="61C8735C">
        <w:rPr>
          <w:rFonts w:ascii="Tahoma" w:hAnsi="Tahoma" w:cs="Tahoma"/>
          <w:sz w:val="16"/>
          <w:szCs w:val="16"/>
        </w:rPr>
        <w:t xml:space="preserve">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</w:t>
      </w:r>
      <w:r w:rsidR="00A850F2" w:rsidRPr="61C8735C">
        <w:rPr>
          <w:rFonts w:ascii="Tahoma" w:hAnsi="Tahoma" w:cs="Tahoma"/>
          <w:sz w:val="16"/>
          <w:szCs w:val="16"/>
        </w:rPr>
        <w:t>od 31</w:t>
      </w:r>
      <w:r w:rsidR="00C2078F" w:rsidRPr="61C8735C">
        <w:rPr>
          <w:rFonts w:ascii="Tahoma" w:hAnsi="Tahoma" w:cs="Tahoma"/>
          <w:sz w:val="16"/>
          <w:szCs w:val="16"/>
        </w:rPr>
        <w:t>.</w:t>
      </w:r>
      <w:r w:rsidR="00A850F2" w:rsidRPr="61C8735C">
        <w:rPr>
          <w:rFonts w:ascii="Tahoma" w:hAnsi="Tahoma" w:cs="Tahoma"/>
          <w:sz w:val="16"/>
          <w:szCs w:val="16"/>
        </w:rPr>
        <w:t xml:space="preserve"> dne</w:t>
      </w:r>
      <w:r w:rsidRPr="61C8735C">
        <w:rPr>
          <w:rFonts w:ascii="Tahoma" w:hAnsi="Tahoma" w:cs="Tahoma"/>
          <w:sz w:val="16"/>
          <w:szCs w:val="16"/>
        </w:rPr>
        <w:t xml:space="preserve"> od sjednané lhůty splatnosti.</w:t>
      </w:r>
    </w:p>
    <w:p w14:paraId="18A3B16B" w14:textId="77777777" w:rsidR="004768FC" w:rsidRPr="004768FC" w:rsidRDefault="004768FC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37D03A05" w14:textId="1D3540DE" w:rsidR="00F639AD" w:rsidRPr="004768FC" w:rsidRDefault="00F639AD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>Poskytovatel</w:t>
      </w:r>
      <w:r w:rsidR="00AA1C9A" w:rsidRPr="004768FC">
        <w:rPr>
          <w:rFonts w:ascii="Tahoma" w:hAnsi="Tahoma" w:cs="Tahoma"/>
          <w:sz w:val="16"/>
          <w:szCs w:val="16"/>
        </w:rPr>
        <w:t xml:space="preserve"> je v případě nedodržení termínu plnění dle čl. </w:t>
      </w:r>
      <w:r w:rsidR="00B41D69" w:rsidRPr="004768FC">
        <w:rPr>
          <w:rFonts w:ascii="Tahoma" w:hAnsi="Tahoma" w:cs="Tahoma"/>
          <w:sz w:val="16"/>
          <w:szCs w:val="16"/>
        </w:rPr>
        <w:t>II</w:t>
      </w:r>
      <w:r w:rsidR="00C077EF">
        <w:rPr>
          <w:rFonts w:ascii="Tahoma" w:hAnsi="Tahoma" w:cs="Tahoma"/>
          <w:sz w:val="16"/>
          <w:szCs w:val="16"/>
        </w:rPr>
        <w:t>.</w:t>
      </w:r>
      <w:r w:rsidR="00AA1C9A" w:rsidRPr="004768FC">
        <w:rPr>
          <w:rFonts w:ascii="Tahoma" w:hAnsi="Tahoma" w:cs="Tahoma"/>
          <w:sz w:val="16"/>
          <w:szCs w:val="16"/>
        </w:rPr>
        <w:t xml:space="preserve"> </w:t>
      </w:r>
      <w:r w:rsidR="005C19B9">
        <w:rPr>
          <w:rFonts w:ascii="Tahoma" w:hAnsi="Tahoma" w:cs="Tahoma"/>
          <w:sz w:val="16"/>
          <w:szCs w:val="16"/>
        </w:rPr>
        <w:t xml:space="preserve">odst. 1 </w:t>
      </w:r>
      <w:r w:rsidR="00AA1C9A" w:rsidRPr="004768FC">
        <w:rPr>
          <w:rFonts w:ascii="Tahoma" w:hAnsi="Tahoma" w:cs="Tahoma"/>
          <w:sz w:val="16"/>
          <w:szCs w:val="16"/>
        </w:rPr>
        <w:t xml:space="preserve">této smlouvy povinen uhradit </w:t>
      </w:r>
      <w:r w:rsidRPr="004768FC">
        <w:rPr>
          <w:rFonts w:ascii="Tahoma" w:hAnsi="Tahoma" w:cs="Tahoma"/>
          <w:sz w:val="16"/>
          <w:szCs w:val="16"/>
        </w:rPr>
        <w:t>objednateli</w:t>
      </w:r>
      <w:r w:rsidR="00AA1C9A" w:rsidRPr="004768FC">
        <w:rPr>
          <w:rFonts w:ascii="Tahoma" w:hAnsi="Tahoma" w:cs="Tahoma"/>
          <w:sz w:val="16"/>
          <w:szCs w:val="16"/>
        </w:rPr>
        <w:t xml:space="preserve"> smluvní pokutu ve výši 0,1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="00AA1C9A" w:rsidRPr="004768FC">
        <w:rPr>
          <w:rFonts w:ascii="Tahoma" w:hAnsi="Tahoma" w:cs="Tahoma"/>
          <w:sz w:val="16"/>
          <w:szCs w:val="16"/>
        </w:rPr>
        <w:t xml:space="preserve">% z celkové ceny za služby </w:t>
      </w:r>
      <w:r w:rsidR="004726E7">
        <w:rPr>
          <w:rFonts w:ascii="Tahoma" w:hAnsi="Tahoma" w:cs="Tahoma"/>
          <w:sz w:val="16"/>
          <w:szCs w:val="16"/>
        </w:rPr>
        <w:t>jednotlivé položky</w:t>
      </w:r>
      <w:r w:rsidR="003A64E5">
        <w:rPr>
          <w:rFonts w:ascii="Tahoma" w:hAnsi="Tahoma" w:cs="Tahoma"/>
          <w:sz w:val="16"/>
          <w:szCs w:val="16"/>
        </w:rPr>
        <w:t xml:space="preserve"> předmětu plnění </w:t>
      </w:r>
      <w:r w:rsidR="00AA1C9A" w:rsidRPr="004768FC">
        <w:rPr>
          <w:rFonts w:ascii="Tahoma" w:hAnsi="Tahoma" w:cs="Tahoma"/>
          <w:sz w:val="16"/>
          <w:szCs w:val="16"/>
        </w:rPr>
        <w:t>dle této smlouvy za každý i započatý den prodlení, jestliže se s</w:t>
      </w:r>
      <w:r w:rsidRPr="004768FC">
        <w:rPr>
          <w:rFonts w:ascii="Tahoma" w:hAnsi="Tahoma" w:cs="Tahoma"/>
          <w:sz w:val="16"/>
          <w:szCs w:val="16"/>
        </w:rPr>
        <w:t xml:space="preserve"> objednatelem </w:t>
      </w:r>
      <w:r w:rsidR="00AA1C9A" w:rsidRPr="004768FC">
        <w:rPr>
          <w:rFonts w:ascii="Tahoma" w:hAnsi="Tahoma" w:cs="Tahoma"/>
          <w:sz w:val="16"/>
          <w:szCs w:val="16"/>
        </w:rPr>
        <w:t xml:space="preserve">nedohodne jinak. </w:t>
      </w:r>
      <w:r w:rsidRPr="004768FC">
        <w:rPr>
          <w:rFonts w:ascii="Tahoma" w:hAnsi="Tahoma" w:cs="Tahoma"/>
          <w:sz w:val="16"/>
          <w:szCs w:val="16"/>
        </w:rPr>
        <w:t>Objednatel</w:t>
      </w:r>
      <w:r w:rsidR="00AA1C9A" w:rsidRPr="004768FC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4A4EA5A9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636280D" w14:textId="1D94F2B0" w:rsidR="00F43000" w:rsidRPr="004768FC" w:rsidRDefault="00F43000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Za nedodržení termínu uvedeného ve čl. II. odst. </w:t>
      </w:r>
      <w:r w:rsidR="00322E47" w:rsidRPr="004768FC">
        <w:rPr>
          <w:rFonts w:ascii="Tahoma" w:hAnsi="Tahoma" w:cs="Tahoma"/>
          <w:sz w:val="16"/>
          <w:szCs w:val="16"/>
        </w:rPr>
        <w:t>3</w:t>
      </w:r>
      <w:r w:rsidRPr="004768FC">
        <w:rPr>
          <w:rFonts w:ascii="Tahoma" w:hAnsi="Tahoma" w:cs="Tahoma"/>
          <w:sz w:val="16"/>
          <w:szCs w:val="16"/>
        </w:rPr>
        <w:t xml:space="preserve"> smlouvy, tzn. nástupu na opravu/výměnu vadného zařízení, má objednatel právo účtovat smluvní pokutu ve výši 1.000,-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Pr="004768FC">
        <w:rPr>
          <w:rFonts w:ascii="Tahoma" w:hAnsi="Tahoma" w:cs="Tahoma"/>
          <w:sz w:val="16"/>
          <w:szCs w:val="16"/>
        </w:rPr>
        <w:t>Kč za každou započatou hodinu prodlení.</w:t>
      </w:r>
    </w:p>
    <w:p w14:paraId="26AB4487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27B5706" w14:textId="3EDC1EC3" w:rsidR="00843BB1" w:rsidRPr="004768FC" w:rsidRDefault="00843BB1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Za nedodržení termínu odstranění závady uvedeného ve čl. II. odst. </w:t>
      </w:r>
      <w:r w:rsidR="00B930B5">
        <w:rPr>
          <w:rFonts w:ascii="Tahoma" w:hAnsi="Tahoma" w:cs="Tahoma"/>
          <w:sz w:val="16"/>
          <w:szCs w:val="16"/>
        </w:rPr>
        <w:t>4</w:t>
      </w:r>
      <w:r w:rsidRPr="004768FC">
        <w:rPr>
          <w:rFonts w:ascii="Tahoma" w:hAnsi="Tahoma" w:cs="Tahoma"/>
          <w:sz w:val="16"/>
          <w:szCs w:val="16"/>
        </w:rPr>
        <w:t xml:space="preserve"> má objednatel právo účtovat smluvní pokutu ve výši 10.000,-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Pr="004768FC">
        <w:rPr>
          <w:rFonts w:ascii="Tahoma" w:hAnsi="Tahoma" w:cs="Tahoma"/>
          <w:sz w:val="16"/>
          <w:szCs w:val="16"/>
        </w:rPr>
        <w:t>Kč za každý započatý den prodlení.</w:t>
      </w:r>
    </w:p>
    <w:p w14:paraId="70C63F4B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0771058" w14:textId="77777777" w:rsidR="00184F28" w:rsidRPr="004768FC" w:rsidRDefault="00184F28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27424" w:rsidRPr="004768FC">
        <w:rPr>
          <w:rFonts w:ascii="Tahoma" w:hAnsi="Tahoma" w:cs="Tahoma"/>
          <w:sz w:val="16"/>
          <w:szCs w:val="16"/>
        </w:rPr>
        <w:t>V</w:t>
      </w:r>
      <w:r w:rsidR="00322E47" w:rsidRPr="004768FC">
        <w:rPr>
          <w:rFonts w:ascii="Tahoma" w:hAnsi="Tahoma" w:cs="Tahoma"/>
          <w:sz w:val="16"/>
          <w:szCs w:val="16"/>
        </w:rPr>
        <w:t>I</w:t>
      </w:r>
      <w:r w:rsidR="00127424" w:rsidRPr="004768FC">
        <w:rPr>
          <w:rFonts w:ascii="Tahoma" w:hAnsi="Tahoma" w:cs="Tahoma"/>
          <w:sz w:val="16"/>
          <w:szCs w:val="16"/>
        </w:rPr>
        <w:t>I</w:t>
      </w:r>
      <w:r w:rsidRPr="004768FC">
        <w:rPr>
          <w:rFonts w:ascii="Tahoma" w:hAnsi="Tahoma" w:cs="Tahoma"/>
          <w:sz w:val="16"/>
          <w:szCs w:val="16"/>
        </w:rPr>
        <w:t xml:space="preserve">. odst. </w:t>
      </w:r>
      <w:r w:rsidR="00127424" w:rsidRPr="004768FC">
        <w:rPr>
          <w:rFonts w:ascii="Tahoma" w:hAnsi="Tahoma" w:cs="Tahoma"/>
          <w:sz w:val="16"/>
          <w:szCs w:val="16"/>
        </w:rPr>
        <w:t>2</w:t>
      </w:r>
      <w:r w:rsidRPr="004768FC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72BAA940" w14:textId="77777777" w:rsidR="00184F28" w:rsidRPr="004768FC" w:rsidRDefault="00184F28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DFBFFAC" w14:textId="6F9E6EC1" w:rsidR="006E1537" w:rsidRPr="004768FC" w:rsidRDefault="006E1537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>V případě nedodržení povinnosti poskytovatele dle čl. V</w:t>
      </w:r>
      <w:r w:rsidR="00322E47" w:rsidRPr="004768FC">
        <w:rPr>
          <w:rFonts w:ascii="Tahoma" w:hAnsi="Tahoma" w:cs="Tahoma"/>
          <w:sz w:val="16"/>
          <w:szCs w:val="16"/>
        </w:rPr>
        <w:t>I</w:t>
      </w:r>
      <w:r w:rsidRPr="004768FC">
        <w:rPr>
          <w:rFonts w:ascii="Tahoma" w:hAnsi="Tahoma" w:cs="Tahoma"/>
          <w:sz w:val="16"/>
          <w:szCs w:val="16"/>
        </w:rPr>
        <w:t>I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 xml:space="preserve"> odst. </w:t>
      </w:r>
      <w:r w:rsidR="00142370">
        <w:rPr>
          <w:rFonts w:ascii="Tahoma" w:hAnsi="Tahoma" w:cs="Tahoma"/>
          <w:sz w:val="16"/>
          <w:szCs w:val="16"/>
        </w:rPr>
        <w:t>5</w:t>
      </w:r>
      <w:r w:rsidR="00746A8B" w:rsidRPr="004768FC">
        <w:rPr>
          <w:rFonts w:ascii="Tahoma" w:hAnsi="Tahoma" w:cs="Tahoma"/>
          <w:sz w:val="16"/>
          <w:szCs w:val="16"/>
        </w:rPr>
        <w:t xml:space="preserve"> </w:t>
      </w:r>
      <w:r w:rsidR="00E869E8" w:rsidRPr="004768FC">
        <w:rPr>
          <w:rFonts w:ascii="Tahoma" w:hAnsi="Tahoma" w:cs="Tahoma"/>
          <w:sz w:val="16"/>
          <w:szCs w:val="16"/>
        </w:rPr>
        <w:t>- 7</w:t>
      </w:r>
      <w:r w:rsidRPr="004768F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10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>000,- Kč za každé jednotlivé porušení povinnosti.</w:t>
      </w:r>
    </w:p>
    <w:p w14:paraId="478C65CA" w14:textId="77777777" w:rsidR="00322E47" w:rsidRPr="004768FC" w:rsidRDefault="00322E47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029DD68" w14:textId="63AECCBB" w:rsidR="00322E47" w:rsidRPr="004768FC" w:rsidRDefault="00322E47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V případě nedodržení povinností poskytovatele dle čl. II. odst. </w:t>
      </w:r>
      <w:r w:rsidR="00D22DCF" w:rsidRPr="004768FC">
        <w:rPr>
          <w:rFonts w:ascii="Tahoma" w:hAnsi="Tahoma" w:cs="Tahoma"/>
          <w:sz w:val="16"/>
          <w:szCs w:val="16"/>
        </w:rPr>
        <w:t>1</w:t>
      </w:r>
      <w:r w:rsidR="005242C0">
        <w:rPr>
          <w:rFonts w:ascii="Tahoma" w:hAnsi="Tahoma" w:cs="Tahoma"/>
          <w:sz w:val="16"/>
          <w:szCs w:val="16"/>
        </w:rPr>
        <w:t>2</w:t>
      </w:r>
      <w:r w:rsidR="00F6488A" w:rsidRPr="004768FC">
        <w:rPr>
          <w:rFonts w:ascii="Tahoma" w:hAnsi="Tahoma" w:cs="Tahoma"/>
          <w:sz w:val="16"/>
          <w:szCs w:val="16"/>
        </w:rPr>
        <w:t xml:space="preserve"> - </w:t>
      </w:r>
      <w:r w:rsidR="00D22DCF" w:rsidRPr="004768FC">
        <w:rPr>
          <w:rFonts w:ascii="Tahoma" w:hAnsi="Tahoma" w:cs="Tahoma"/>
          <w:sz w:val="16"/>
          <w:szCs w:val="16"/>
        </w:rPr>
        <w:t>1</w:t>
      </w:r>
      <w:r w:rsidR="005242C0">
        <w:rPr>
          <w:rFonts w:ascii="Tahoma" w:hAnsi="Tahoma" w:cs="Tahoma"/>
          <w:sz w:val="16"/>
          <w:szCs w:val="16"/>
        </w:rPr>
        <w:t>6</w:t>
      </w:r>
      <w:r w:rsidRPr="004768FC">
        <w:rPr>
          <w:rFonts w:ascii="Tahoma" w:hAnsi="Tahoma" w:cs="Tahoma"/>
          <w:sz w:val="16"/>
          <w:szCs w:val="16"/>
        </w:rPr>
        <w:t xml:space="preserve"> a </w:t>
      </w:r>
      <w:r w:rsidR="00F6488A" w:rsidRPr="004768FC">
        <w:rPr>
          <w:rFonts w:ascii="Tahoma" w:hAnsi="Tahoma" w:cs="Tahoma"/>
          <w:sz w:val="16"/>
          <w:szCs w:val="16"/>
        </w:rPr>
        <w:t xml:space="preserve">dle čl. VI. </w:t>
      </w:r>
      <w:r w:rsidRPr="004768F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</w:t>
      </w:r>
      <w:r w:rsidR="001511A4">
        <w:rPr>
          <w:rFonts w:ascii="Tahoma" w:hAnsi="Tahoma" w:cs="Tahoma"/>
          <w:sz w:val="16"/>
          <w:szCs w:val="16"/>
        </w:rPr>
        <w:t>1</w:t>
      </w:r>
      <w:r w:rsidRPr="004768FC">
        <w:rPr>
          <w:rFonts w:ascii="Tahoma" w:hAnsi="Tahoma" w:cs="Tahoma"/>
          <w:sz w:val="16"/>
          <w:szCs w:val="16"/>
        </w:rPr>
        <w:t>00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>000,- Kč za každé jednotlivé porušení povinnosti.</w:t>
      </w:r>
    </w:p>
    <w:p w14:paraId="111FD59F" w14:textId="77777777" w:rsidR="00127424" w:rsidRPr="004768FC" w:rsidRDefault="00127424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D52EB8A" w14:textId="77777777" w:rsidR="00127424" w:rsidRPr="004768FC" w:rsidRDefault="00127424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6BFF20F5" w14:textId="77777777" w:rsidR="00FD3C30" w:rsidRDefault="00FD3C30" w:rsidP="005C71BA"/>
    <w:p w14:paraId="5E3977BC" w14:textId="71DB7E1E" w:rsidR="001106AE" w:rsidRPr="00FA5311" w:rsidRDefault="001106AE" w:rsidP="00FA5311">
      <w:pPr>
        <w:ind w:left="3966" w:firstLine="282"/>
        <w:rPr>
          <w:rFonts w:ascii="Tahoma" w:eastAsia="Calibri" w:hAnsi="Tahoma" w:cs="Tahoma"/>
          <w:b/>
          <w:sz w:val="16"/>
          <w:szCs w:val="16"/>
        </w:rPr>
      </w:pPr>
      <w:r w:rsidRPr="00FA5311">
        <w:rPr>
          <w:rFonts w:ascii="Tahoma" w:eastAsia="Calibri" w:hAnsi="Tahoma" w:cs="Tahoma"/>
          <w:b/>
          <w:sz w:val="16"/>
          <w:szCs w:val="16"/>
        </w:rPr>
        <w:t>VI. Mlčenlivost</w:t>
      </w:r>
    </w:p>
    <w:p w14:paraId="5DB3415C" w14:textId="77777777" w:rsidR="001106AE" w:rsidRDefault="001106AE" w:rsidP="001106AE">
      <w:pPr>
        <w:jc w:val="center"/>
        <w:rPr>
          <w:rFonts w:ascii="Tahoma" w:hAnsi="Tahoma" w:cs="Tahoma"/>
          <w:b/>
          <w:kern w:val="0"/>
          <w:sz w:val="16"/>
          <w:szCs w:val="16"/>
          <w:lang w:eastAsia="cs-CZ"/>
        </w:rPr>
      </w:pPr>
    </w:p>
    <w:p w14:paraId="0C059C0E" w14:textId="63FC8810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Poskytovatel se zavazuje zachovávat mlčenlivost ve vztahu ke všem informacím a skutečnostem, které se dozví o </w:t>
      </w:r>
      <w:r w:rsidR="002F6022">
        <w:rPr>
          <w:rFonts w:ascii="Tahoma" w:eastAsia="MS Mincho" w:hAnsi="Tahoma" w:cs="Tahoma"/>
          <w:sz w:val="16"/>
          <w:szCs w:val="16"/>
        </w:rPr>
        <w:t>objednateli</w:t>
      </w:r>
      <w:r>
        <w:rPr>
          <w:rFonts w:ascii="Tahoma" w:eastAsia="MS Mincho" w:hAnsi="Tahoma" w:cs="Tahoma"/>
          <w:sz w:val="16"/>
          <w:szCs w:val="16"/>
        </w:rPr>
        <w:t xml:space="preserve">, jeho zaměstnancích, pacientech atd. v souvislosti s uzavřením a plněním smlouvy, pokud tyto informace mají povahu obchodního tajemství, osobních údajů nebo mají být z jiných důvodů chráněny před zveřejněním. Poskytovatel je povinen nakládat s osobními údaji </w:t>
      </w:r>
      <w:r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 110/2019 Sb., o zpracování osobních údajů.</w:t>
      </w:r>
    </w:p>
    <w:p w14:paraId="40AF2B29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0179E585" w14:textId="6E65197D" w:rsidR="00685B7C" w:rsidRPr="008938C1" w:rsidRDefault="00755902" w:rsidP="008938C1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 zdravotních službách), a o bezpečnostních opatřeních, jejichž zveřejnění by ohrozilo zabezpečení Osobních údajů. </w:t>
      </w:r>
    </w:p>
    <w:p w14:paraId="5917CF55" w14:textId="77777777" w:rsidR="00685B7C" w:rsidRDefault="00685B7C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BA88F1D" w14:textId="520734DA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Pokud poskytovatel přijde při plnění </w:t>
      </w:r>
      <w:r w:rsidR="004850B4">
        <w:rPr>
          <w:rFonts w:ascii="Tahoma" w:eastAsia="MS Mincho" w:hAnsi="Tahoma" w:cs="Tahoma"/>
          <w:sz w:val="16"/>
          <w:szCs w:val="16"/>
        </w:rPr>
        <w:t>s</w:t>
      </w:r>
      <w:r>
        <w:rPr>
          <w:rFonts w:ascii="Tahoma" w:eastAsia="MS Mincho" w:hAnsi="Tahoma" w:cs="Tahoma"/>
          <w:sz w:val="16"/>
          <w:szCs w:val="16"/>
        </w:rPr>
        <w:t xml:space="preserve">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objednatelem </w:t>
      </w:r>
      <w:r>
        <w:rPr>
          <w:rFonts w:ascii="Tahoma" w:eastAsia="MS Mincho" w:hAnsi="Tahoma" w:cs="Tahoma"/>
          <w:sz w:val="16"/>
          <w:szCs w:val="16"/>
        </w:rPr>
        <w:t xml:space="preserve">a týkajících se </w:t>
      </w:r>
      <w:r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="002F6022">
        <w:rPr>
          <w:rFonts w:ascii="Tahoma" w:eastAsia="MS Mincho" w:hAnsi="Tahoma" w:cs="Tahoma"/>
          <w:sz w:val="16"/>
          <w:szCs w:val="16"/>
        </w:rPr>
        <w:t>objednatelem</w:t>
      </w:r>
      <w:r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poskytovány zdravotní služby, a dále v rozsahu Osobních údajů zaměstnanců </w:t>
      </w:r>
      <w:r w:rsidR="002F6022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eastAsia="MS Mincho" w:hAnsi="Tahoma" w:cs="Tahoma"/>
          <w:sz w:val="16"/>
          <w:szCs w:val="16"/>
        </w:rPr>
        <w:t xml:space="preserve"> 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Poskytovatel se zavazuje za účelem ochrany osobních údajů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eastAsia="MS Mincho" w:hAnsi="Tahoma" w:cs="Tahoma"/>
          <w:sz w:val="16"/>
          <w:szCs w:val="16"/>
        </w:rPr>
        <w:t xml:space="preserve">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 </w:t>
      </w:r>
    </w:p>
    <w:p w14:paraId="71CC20D5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2C87175D" w14:textId="11CB3AC8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Poskytovatel se zavazuje zajistit informovanost svých pracovníků (včetně poddodavatelů) o povinnostech vyplývajících z této </w:t>
      </w:r>
      <w:r w:rsidR="002F6022">
        <w:rPr>
          <w:rFonts w:ascii="Tahoma" w:eastAsia="MS Mincho" w:hAnsi="Tahoma" w:cs="Tahoma"/>
          <w:sz w:val="16"/>
          <w:szCs w:val="16"/>
        </w:rPr>
        <w:t>s</w:t>
      </w:r>
      <w:r>
        <w:rPr>
          <w:rFonts w:ascii="Tahoma" w:eastAsia="MS Mincho" w:hAnsi="Tahoma" w:cs="Tahoma"/>
          <w:sz w:val="16"/>
          <w:szCs w:val="16"/>
        </w:rPr>
        <w:t>mlouvy. Poskytovatel se zavazuje zajistit, aby jeho pracovníci, kteří budou přicházet do styku s osobními údaji, byli smluvně vázáni povinností mlčenlivosti ve smyslu GDPR a Zákona o zpracování osobních údajů a poučeni o možných následcích porušení těchto povinností s tím, že povinnost důvěrnosti bude jimi dodržována i po skončení jejich smluvního vztahu k</w:t>
      </w:r>
      <w:r w:rsidR="00B50444">
        <w:rPr>
          <w:rFonts w:ascii="Tahoma" w:eastAsia="MS Mincho" w:hAnsi="Tahoma" w:cs="Tahoma"/>
          <w:sz w:val="16"/>
          <w:szCs w:val="16"/>
        </w:rPr>
        <w:t> objednateli</w:t>
      </w:r>
      <w:r>
        <w:rPr>
          <w:rFonts w:ascii="Tahoma" w:eastAsia="MS Mincho" w:hAnsi="Tahoma" w:cs="Tahoma"/>
          <w:sz w:val="16"/>
          <w:szCs w:val="16"/>
        </w:rPr>
        <w:t>. Toto ujednání je sjednáno ve smyslu ustanovení čl. 28 GDPR. Poskytovatel se zavazuje informovat své poddodavatele o</w:t>
      </w:r>
      <w:r w:rsidR="00BC52E3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povinnosti mlčenlivosti dle této smlouvy. V případě porušení mlčenlivosti za strany poddodavatele, odpovídá poskytovatel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>
        <w:rPr>
          <w:rFonts w:ascii="Tahoma" w:eastAsia="MS Mincho" w:hAnsi="Tahoma" w:cs="Tahoma"/>
          <w:sz w:val="16"/>
          <w:szCs w:val="16"/>
        </w:rPr>
        <w:t>za vzniklou škodu, jako kdyby povinnost porušil sám.</w:t>
      </w:r>
    </w:p>
    <w:p w14:paraId="0F3387CC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55981DBB" w14:textId="74CA8C58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</w:t>
      </w:r>
      <w:r w:rsidR="00B50444">
        <w:rPr>
          <w:rFonts w:ascii="Tahoma" w:eastAsia="MS Mincho" w:hAnsi="Tahoma" w:cs="Tahoma"/>
          <w:sz w:val="16"/>
          <w:szCs w:val="16"/>
        </w:rPr>
        <w:t>,</w:t>
      </w:r>
      <w:r>
        <w:rPr>
          <w:rFonts w:ascii="Tahoma" w:eastAsia="MS Mincho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3F2A5300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47B96BB2" w14:textId="77777777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této smlouvy, a nebudou zjišťovány informace, které nejsou nezbytně nutné ke splnění povinností vyplývajících z této smlouvy.</w:t>
      </w:r>
    </w:p>
    <w:p w14:paraId="7C33D43A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2F65608F" w14:textId="77777777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>
        <w:rPr>
          <w:rFonts w:ascii="Tahoma" w:hAnsi="Tahoma" w:cs="Tahoma"/>
          <w:sz w:val="16"/>
          <w:szCs w:val="16"/>
        </w:rPr>
        <w:t>notit.</w:t>
      </w:r>
    </w:p>
    <w:p w14:paraId="3272DF56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F362012" w14:textId="6F73D364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se zavazuje plně respektovat bezpečnostní požadavky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hAnsi="Tahoma" w:cs="Tahoma"/>
          <w:sz w:val="16"/>
          <w:szCs w:val="16"/>
        </w:rPr>
        <w:t xml:space="preserve">k zajištění ochrany Osobních údajů pacientů a zaměstnanců </w:t>
      </w:r>
      <w:r w:rsidR="00B50444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>.</w:t>
      </w:r>
    </w:p>
    <w:p w14:paraId="78FFDF53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A792F60" w14:textId="77777777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 informacích obsahujících Osobní údaje trvá bez časového omezení.</w:t>
      </w:r>
    </w:p>
    <w:p w14:paraId="7507BB05" w14:textId="77777777" w:rsidR="00755902" w:rsidRDefault="00755902" w:rsidP="00286C57">
      <w:pPr>
        <w:tabs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61B51BC" w14:textId="43F11AF1" w:rsidR="00755902" w:rsidRDefault="00755902" w:rsidP="00286C57">
      <w:pPr>
        <w:numPr>
          <w:ilvl w:val="0"/>
          <w:numId w:val="12"/>
        </w:numPr>
        <w:tabs>
          <w:tab w:val="clear" w:pos="0"/>
          <w:tab w:val="num" w:pos="426"/>
        </w:tabs>
        <w:suppressAutoHyphens w:val="0"/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vylučují povinnosti jim uložené ve smyslu čl. </w:t>
      </w:r>
      <w:r w:rsidR="00A03AE9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I</w:t>
      </w:r>
      <w:r w:rsidR="00A8786F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</w:t>
      </w:r>
      <w:r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“).</w:t>
      </w:r>
    </w:p>
    <w:p w14:paraId="093865F9" w14:textId="77777777" w:rsidR="00F639AD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53ACC052" w14:textId="77777777" w:rsidR="00FD3C30" w:rsidRPr="00D941EC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2D22EEE9" w14:textId="6CA280CB" w:rsidR="00EC40E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Ostatní ujednání</w:t>
      </w:r>
    </w:p>
    <w:p w14:paraId="0D5FEAAC" w14:textId="77777777" w:rsidR="00716084" w:rsidRPr="00D941EC" w:rsidRDefault="00716084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30341B17" w14:textId="720F82C5" w:rsidR="00204E73" w:rsidRPr="00D941EC" w:rsidRDefault="00EC40EC" w:rsidP="00286C57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Poskytovatel bere na vědomí, že objednatel je povinen </w:t>
      </w:r>
      <w:r w:rsidR="008813E0" w:rsidRPr="00D941EC">
        <w:rPr>
          <w:rFonts w:ascii="Tahoma" w:hAnsi="Tahoma" w:cs="Tahoma"/>
          <w:sz w:val="16"/>
          <w:szCs w:val="16"/>
        </w:rPr>
        <w:t>dle zákona č. 340/2015 Sb.</w:t>
      </w:r>
      <w:r w:rsidR="00B2195B">
        <w:rPr>
          <w:rFonts w:ascii="Tahoma" w:hAnsi="Tahoma" w:cs="Tahoma"/>
          <w:sz w:val="16"/>
          <w:szCs w:val="16"/>
        </w:rPr>
        <w:t>,</w:t>
      </w:r>
      <w:r w:rsidR="008813E0" w:rsidRPr="00D941EC">
        <w:rPr>
          <w:rFonts w:ascii="Tahoma" w:hAnsi="Tahoma" w:cs="Tahoma"/>
          <w:sz w:val="16"/>
          <w:szCs w:val="16"/>
        </w:rPr>
        <w:t xml:space="preserve"> o registru smluv</w:t>
      </w:r>
      <w:r w:rsidR="008120FA">
        <w:rPr>
          <w:rFonts w:ascii="Tahoma" w:hAnsi="Tahoma" w:cs="Tahoma"/>
          <w:sz w:val="16"/>
          <w:szCs w:val="16"/>
        </w:rPr>
        <w:t>,</w:t>
      </w:r>
      <w:r w:rsidR="008813E0" w:rsidRPr="00D941EC">
        <w:rPr>
          <w:rFonts w:ascii="Tahoma" w:hAnsi="Tahoma" w:cs="Tahoma"/>
          <w:sz w:val="16"/>
          <w:szCs w:val="16"/>
        </w:rPr>
        <w:t xml:space="preserve"> </w:t>
      </w:r>
      <w:r w:rsidR="00F97739">
        <w:rPr>
          <w:rFonts w:ascii="Tahoma" w:hAnsi="Tahoma" w:cs="Tahoma"/>
          <w:sz w:val="16"/>
          <w:szCs w:val="16"/>
        </w:rPr>
        <w:t>u</w:t>
      </w:r>
      <w:r w:rsidR="008813E0" w:rsidRPr="00D941EC">
        <w:rPr>
          <w:rFonts w:ascii="Tahoma" w:hAnsi="Tahoma" w:cs="Tahoma"/>
          <w:sz w:val="16"/>
          <w:szCs w:val="16"/>
        </w:rPr>
        <w:t>veřejnit tuto smlouvu včetně případných dodatků zákonem stanoveným způsobem.</w:t>
      </w:r>
    </w:p>
    <w:p w14:paraId="5A000EE8" w14:textId="77777777" w:rsidR="00B41D69" w:rsidRPr="00D941EC" w:rsidRDefault="00B41D69" w:rsidP="00286C57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F48B40B" w14:textId="79837C5D" w:rsidR="008D2993" w:rsidRPr="00127424" w:rsidRDefault="008813E0" w:rsidP="00286C57">
      <w:pPr>
        <w:numPr>
          <w:ilvl w:val="0"/>
          <w:numId w:val="2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Poskytovatel je oprávněn postoupit pohledávku vyplývající z plnění dle této smlouvy na třetí osobu pouze s předchozím písemným souhlasem </w:t>
      </w:r>
      <w:r w:rsidR="002644F5">
        <w:rPr>
          <w:rFonts w:ascii="Tahoma" w:hAnsi="Tahoma" w:cs="Tahoma"/>
          <w:sz w:val="16"/>
          <w:szCs w:val="16"/>
        </w:rPr>
        <w:t>objednatele</w:t>
      </w:r>
      <w:r w:rsidRPr="00D941EC">
        <w:rPr>
          <w:rFonts w:ascii="Tahoma" w:hAnsi="Tahoma" w:cs="Tahoma"/>
          <w:sz w:val="16"/>
          <w:szCs w:val="16"/>
        </w:rPr>
        <w:t>.</w:t>
      </w:r>
      <w:r w:rsidR="00EC40EC" w:rsidRPr="00D941EC">
        <w:rPr>
          <w:rFonts w:ascii="Tahoma" w:hAnsi="Tahoma" w:cs="Tahoma"/>
          <w:sz w:val="16"/>
          <w:szCs w:val="16"/>
        </w:rPr>
        <w:t xml:space="preserve"> </w:t>
      </w:r>
    </w:p>
    <w:p w14:paraId="332FFB10" w14:textId="77777777" w:rsidR="00127424" w:rsidRPr="00127424" w:rsidRDefault="00127424" w:rsidP="00286C57">
      <w:p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</w:p>
    <w:p w14:paraId="52BF7252" w14:textId="77777777" w:rsidR="00127424" w:rsidRDefault="00127424" w:rsidP="00286C57">
      <w:pPr>
        <w:numPr>
          <w:ilvl w:val="0"/>
          <w:numId w:val="2"/>
        </w:numPr>
        <w:suppressAutoHyphens w:val="0"/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>
        <w:rPr>
          <w:rFonts w:ascii="Tahoma" w:eastAsia="MS Mincho" w:hAnsi="Tahoma" w:cs="Tahoma"/>
          <w:sz w:val="16"/>
          <w:szCs w:val="16"/>
        </w:rPr>
        <w:t xml:space="preserve"> bere na vědomí, že objednatel je povinným subjektem podle zák. č. 106/1999 Sb., zákona o svobodném přístupu k informacím, ve znění pozdějších předpisů.</w:t>
      </w:r>
    </w:p>
    <w:p w14:paraId="2B9D36CD" w14:textId="77777777" w:rsidR="00127424" w:rsidRPr="00DA174E" w:rsidRDefault="00127424" w:rsidP="002A42E7">
      <w:pPr>
        <w:suppressAutoHyphens w:val="0"/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494C0F1E" w14:textId="77777777" w:rsidR="00127424" w:rsidRPr="00127424" w:rsidRDefault="00127424" w:rsidP="00286C57">
      <w:pPr>
        <w:numPr>
          <w:ilvl w:val="0"/>
          <w:numId w:val="2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5C7404">
        <w:rPr>
          <w:rFonts w:ascii="Tahoma" w:hAnsi="Tahoma" w:cs="Tahoma"/>
          <w:sz w:val="16"/>
          <w:szCs w:val="16"/>
        </w:rPr>
        <w:t xml:space="preserve"> se zavazuje dodržovat nařízení </w:t>
      </w:r>
      <w:r>
        <w:rPr>
          <w:rFonts w:ascii="Tahoma" w:hAnsi="Tahoma" w:cs="Tahoma"/>
          <w:sz w:val="16"/>
          <w:szCs w:val="16"/>
        </w:rPr>
        <w:t>objednatele</w:t>
      </w:r>
      <w:r w:rsidRPr="005C7404">
        <w:rPr>
          <w:rFonts w:ascii="Tahoma" w:hAnsi="Tahoma" w:cs="Tahoma"/>
          <w:sz w:val="16"/>
          <w:szCs w:val="16"/>
        </w:rPr>
        <w:t>, kterým je zakázáno kouření ve všech prostorách i plochách areálu nabyvatele s výjimkou vyhrazených míst.</w:t>
      </w:r>
    </w:p>
    <w:p w14:paraId="05ECD808" w14:textId="77777777" w:rsidR="00B41D69" w:rsidRPr="00D941EC" w:rsidRDefault="00B41D69" w:rsidP="00286C57">
      <w:pPr>
        <w:pStyle w:val="Odstavecseseznamem"/>
        <w:ind w:left="426" w:hanging="426"/>
        <w:rPr>
          <w:rFonts w:ascii="Tahoma" w:eastAsia="MS Mincho" w:hAnsi="Tahoma" w:cs="Tahoma"/>
          <w:sz w:val="16"/>
          <w:szCs w:val="16"/>
        </w:rPr>
      </w:pPr>
    </w:p>
    <w:p w14:paraId="6A284E1F" w14:textId="4F82C264" w:rsidR="00EC40EC" w:rsidRPr="00D941EC" w:rsidRDefault="00EC40EC" w:rsidP="00286C57">
      <w:pPr>
        <w:numPr>
          <w:ilvl w:val="0"/>
          <w:numId w:val="2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zadavateli či třetím osobám při výkonu podnikatelské činnosti, která je předmětem této smlouvy, s limitem pojistného plnění v minimální výši </w:t>
      </w:r>
      <w:r w:rsidR="00204E73" w:rsidRPr="00D941EC">
        <w:rPr>
          <w:rFonts w:ascii="Tahoma" w:eastAsia="MS Mincho" w:hAnsi="Tahoma" w:cs="Tahoma"/>
          <w:sz w:val="16"/>
          <w:szCs w:val="16"/>
        </w:rPr>
        <w:t>1.0</w:t>
      </w:r>
      <w:r w:rsidR="007625CC" w:rsidRPr="00D941EC">
        <w:rPr>
          <w:rFonts w:ascii="Tahoma" w:eastAsia="MS Mincho" w:hAnsi="Tahoma" w:cs="Tahoma"/>
          <w:sz w:val="16"/>
          <w:szCs w:val="16"/>
        </w:rPr>
        <w:t>00</w:t>
      </w:r>
      <w:r w:rsidR="00204E73" w:rsidRPr="00D941EC">
        <w:rPr>
          <w:rFonts w:ascii="Tahoma" w:eastAsia="MS Mincho" w:hAnsi="Tahoma" w:cs="Tahoma"/>
          <w:sz w:val="16"/>
          <w:szCs w:val="16"/>
        </w:rPr>
        <w:t>.</w:t>
      </w:r>
      <w:r w:rsidR="007625CC" w:rsidRPr="00D941EC">
        <w:rPr>
          <w:rFonts w:ascii="Tahoma" w:eastAsia="MS Mincho" w:hAnsi="Tahoma" w:cs="Tahoma"/>
          <w:sz w:val="16"/>
          <w:szCs w:val="16"/>
        </w:rPr>
        <w:t xml:space="preserve">000,- </w:t>
      </w:r>
      <w:r w:rsidRPr="00D941EC">
        <w:rPr>
          <w:rFonts w:ascii="Tahoma" w:eastAsia="MS Mincho" w:hAnsi="Tahoma" w:cs="Tahoma"/>
          <w:sz w:val="16"/>
          <w:szCs w:val="16"/>
        </w:rPr>
        <w:t>Kč.</w:t>
      </w:r>
    </w:p>
    <w:p w14:paraId="2749E357" w14:textId="77777777" w:rsidR="00B41D69" w:rsidRPr="00D941EC" w:rsidRDefault="00B41D69" w:rsidP="00286C57">
      <w:pPr>
        <w:pStyle w:val="Odstavecseseznamem"/>
        <w:ind w:left="426" w:hanging="426"/>
        <w:rPr>
          <w:rFonts w:ascii="Tahoma" w:eastAsia="MS Mincho" w:hAnsi="Tahoma" w:cs="Tahoma"/>
          <w:sz w:val="16"/>
          <w:szCs w:val="16"/>
        </w:rPr>
      </w:pPr>
    </w:p>
    <w:p w14:paraId="58A33F8B" w14:textId="1380419B" w:rsidR="00EC40EC" w:rsidRPr="005853A9" w:rsidRDefault="00EC40EC" w:rsidP="00286C57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 </w:t>
      </w:r>
      <w:r w:rsidRPr="00D941EC">
        <w:rPr>
          <w:rFonts w:ascii="Tahoma" w:eastAsia="MS Mincho" w:hAnsi="Tahoma" w:cs="Tahoma"/>
          <w:sz w:val="16"/>
          <w:szCs w:val="16"/>
        </w:rPr>
        <w:t>oprávněn od smlouvy, která bude uzavřena na základě výsledku tohoto zadávacího řízení</w:t>
      </w:r>
      <w:r w:rsidR="007B3BB7">
        <w:rPr>
          <w:rFonts w:ascii="Tahoma" w:eastAsia="MS Mincho" w:hAnsi="Tahoma" w:cs="Tahoma"/>
          <w:sz w:val="16"/>
          <w:szCs w:val="16"/>
        </w:rPr>
        <w:t>,</w:t>
      </w:r>
      <w:r w:rsidRPr="00D941EC">
        <w:rPr>
          <w:rFonts w:ascii="Tahoma" w:eastAsia="MS Mincho" w:hAnsi="Tahoma" w:cs="Tahoma"/>
          <w:sz w:val="16"/>
          <w:szCs w:val="16"/>
        </w:rPr>
        <w:t xml:space="preserve"> odstoupit. Na žádost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 w:rsidRPr="00D941EC">
        <w:rPr>
          <w:rFonts w:ascii="Tahoma" w:eastAsia="MS Mincho" w:hAnsi="Tahoma" w:cs="Tahoma"/>
          <w:sz w:val="16"/>
          <w:szCs w:val="16"/>
        </w:rPr>
        <w:t xml:space="preserve">je poskytovatel povinen předložit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 w:rsidRPr="00D941EC">
        <w:rPr>
          <w:rFonts w:ascii="Tahoma" w:eastAsia="MS Mincho" w:hAnsi="Tahoma" w:cs="Tahoma"/>
          <w:sz w:val="16"/>
          <w:szCs w:val="16"/>
        </w:rPr>
        <w:t xml:space="preserve">dokumenty prokazující, že pojištění v požadovaném rozsahu a výši trvá. Pokud by v důsledku pojistného plnění nebo jiné události mělo dojít k zániku </w:t>
      </w:r>
      <w:r w:rsidR="006D750B">
        <w:rPr>
          <w:rFonts w:ascii="Tahoma" w:eastAsia="MS Mincho" w:hAnsi="Tahoma" w:cs="Tahoma"/>
          <w:sz w:val="16"/>
          <w:szCs w:val="16"/>
        </w:rPr>
        <w:t>pojištění</w:t>
      </w:r>
      <w:r w:rsidRPr="00D941EC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D750B">
        <w:rPr>
          <w:rFonts w:ascii="Tahoma" w:eastAsia="MS Mincho" w:hAnsi="Tahoma" w:cs="Tahoma"/>
          <w:sz w:val="16"/>
          <w:szCs w:val="16"/>
        </w:rPr>
        <w:t>plnění</w:t>
      </w:r>
      <w:r w:rsidRPr="00D941EC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09C9A784" w14:textId="77777777" w:rsidR="005853A9" w:rsidRDefault="005853A9" w:rsidP="00286C57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182C3BA3" w14:textId="2C909BF4" w:rsidR="005853A9" w:rsidRPr="00D941EC" w:rsidRDefault="005853A9" w:rsidP="00286C57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se zavazuje, že při poskytování předmětu plnění této smlouvy, nedojde k žádnému porušení licenčních podmínek výrobce </w:t>
      </w:r>
      <w:r w:rsidR="00BD0641">
        <w:rPr>
          <w:rFonts w:ascii="Tahoma" w:hAnsi="Tahoma" w:cs="Tahoma"/>
          <w:sz w:val="16"/>
          <w:szCs w:val="16"/>
        </w:rPr>
        <w:t>nebo</w:t>
      </w:r>
      <w:r w:rsidR="00F67E65">
        <w:rPr>
          <w:rFonts w:ascii="Tahoma" w:hAnsi="Tahoma" w:cs="Tahoma"/>
          <w:sz w:val="16"/>
          <w:szCs w:val="16"/>
        </w:rPr>
        <w:t xml:space="preserve"> </w:t>
      </w:r>
      <w:r w:rsidR="00B50444">
        <w:rPr>
          <w:rFonts w:ascii="Tahoma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73F89708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22C6FE4D" w14:textId="77777777" w:rsidR="000F59B3" w:rsidRPr="00D941EC" w:rsidRDefault="000F59B3" w:rsidP="005F690C">
      <w:pPr>
        <w:rPr>
          <w:rFonts w:ascii="Tahoma" w:hAnsi="Tahoma" w:cs="Tahoma"/>
          <w:sz w:val="16"/>
          <w:szCs w:val="16"/>
        </w:rPr>
      </w:pPr>
    </w:p>
    <w:p w14:paraId="486405EE" w14:textId="14667783" w:rsidR="00EC40EC" w:rsidRPr="00D941EC" w:rsidRDefault="00B41D69" w:rsidP="00B7581F">
      <w:pPr>
        <w:pStyle w:val="SSlnek"/>
        <w:spacing w:before="0"/>
        <w:ind w:hanging="5322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Závěrečná ujednání</w:t>
      </w:r>
    </w:p>
    <w:p w14:paraId="4044475D" w14:textId="77777777" w:rsidR="00F639AD" w:rsidRPr="00D941EC" w:rsidRDefault="00F639AD" w:rsidP="00327B97">
      <w:pPr>
        <w:jc w:val="both"/>
        <w:rPr>
          <w:rFonts w:ascii="Tahoma" w:hAnsi="Tahoma" w:cs="Tahoma"/>
          <w:sz w:val="16"/>
          <w:szCs w:val="16"/>
        </w:rPr>
      </w:pPr>
    </w:p>
    <w:p w14:paraId="26DC9B54" w14:textId="77777777" w:rsidR="009278CF" w:rsidRDefault="009278CF" w:rsidP="00286C57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783FA55A" w14:textId="77777777" w:rsidR="009278CF" w:rsidRPr="00D941EC" w:rsidRDefault="009278CF" w:rsidP="00286C57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CB7649B" w14:textId="77777777" w:rsidR="009278CF" w:rsidRPr="00734927" w:rsidRDefault="009278CF" w:rsidP="00286C57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Tato smlouva je vyhotovena ve dvou stejnopisech</w:t>
      </w:r>
      <w:r>
        <w:rPr>
          <w:rFonts w:ascii="Tahoma" w:hAnsi="Tahoma" w:cs="Tahoma"/>
          <w:sz w:val="16"/>
          <w:szCs w:val="16"/>
        </w:rPr>
        <w:t xml:space="preserve"> s platností originálu</w:t>
      </w:r>
      <w:r w:rsidRPr="001A2A81">
        <w:rPr>
          <w:rFonts w:ascii="Tahoma" w:hAnsi="Tahoma" w:cs="Tahoma"/>
          <w:sz w:val="16"/>
          <w:szCs w:val="16"/>
        </w:rPr>
        <w:t xml:space="preserve">, z nichž každá ze smluvních stran obdrží po jednom vyhotovení. </w:t>
      </w:r>
      <w:r w:rsidRPr="00734927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transakce. </w:t>
      </w:r>
      <w:r w:rsidRPr="001A2A81">
        <w:rPr>
          <w:rFonts w:ascii="Tahoma" w:hAnsi="Tahoma" w:cs="Tahoma"/>
          <w:sz w:val="16"/>
          <w:szCs w:val="16"/>
        </w:rPr>
        <w:t>Nedílnou součástí této smlouvy jsou přílohy dle textu smlouvy.</w:t>
      </w:r>
    </w:p>
    <w:p w14:paraId="629B7256" w14:textId="77777777" w:rsidR="009278CF" w:rsidRDefault="009278CF" w:rsidP="00286C57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007E39E4" w14:textId="77777777" w:rsidR="009278CF" w:rsidRPr="00D941EC" w:rsidRDefault="009278CF" w:rsidP="00286C57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Autentičnost této smlouvy potvrzují smluvní strany svými podpisy.</w:t>
      </w:r>
    </w:p>
    <w:p w14:paraId="1640B5EB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4B8FBBA8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641EFA37" w14:textId="25837E27" w:rsidR="00EC40EC" w:rsidRPr="00D941E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 Praze dne</w:t>
      </w:r>
      <w:r w:rsidR="00286C57">
        <w:rPr>
          <w:rFonts w:ascii="Tahoma" w:hAnsi="Tahoma" w:cs="Tahoma"/>
          <w:sz w:val="16"/>
          <w:szCs w:val="16"/>
        </w:rPr>
        <w:t xml:space="preserve"> dle el. podpisu</w:t>
      </w:r>
      <w:r w:rsidRPr="00D941EC">
        <w:rPr>
          <w:rFonts w:ascii="Tahoma" w:hAnsi="Tahoma" w:cs="Tahoma"/>
          <w:sz w:val="16"/>
          <w:szCs w:val="16"/>
        </w:rPr>
        <w:t>:</w:t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  <w:t xml:space="preserve">V </w:t>
      </w:r>
      <w:r w:rsidR="00A07684" w:rsidRPr="00D941EC">
        <w:rPr>
          <w:rFonts w:ascii="Tahoma" w:hAnsi="Tahoma" w:cs="Tahoma"/>
          <w:sz w:val="16"/>
          <w:szCs w:val="16"/>
        </w:rPr>
        <w:t>Praze</w:t>
      </w:r>
      <w:r w:rsidRPr="00D941EC">
        <w:rPr>
          <w:rFonts w:ascii="Tahoma" w:hAnsi="Tahoma" w:cs="Tahoma"/>
          <w:sz w:val="16"/>
          <w:szCs w:val="16"/>
        </w:rPr>
        <w:t xml:space="preserve"> dne</w:t>
      </w:r>
      <w:r w:rsidR="00851B90">
        <w:rPr>
          <w:rFonts w:ascii="Tahoma" w:hAnsi="Tahoma" w:cs="Tahoma"/>
          <w:sz w:val="16"/>
          <w:szCs w:val="16"/>
        </w:rPr>
        <w:t xml:space="preserve"> dle el. podpisu</w:t>
      </w:r>
      <w:r w:rsidRPr="00D941EC">
        <w:rPr>
          <w:rFonts w:ascii="Tahoma" w:hAnsi="Tahoma" w:cs="Tahoma"/>
          <w:sz w:val="16"/>
          <w:szCs w:val="16"/>
        </w:rPr>
        <w:t>:</w:t>
      </w:r>
      <w:r w:rsidR="00454C55" w:rsidRPr="00D941EC">
        <w:rPr>
          <w:rFonts w:ascii="Tahoma" w:hAnsi="Tahoma" w:cs="Tahoma"/>
          <w:sz w:val="16"/>
          <w:szCs w:val="16"/>
        </w:rPr>
        <w:t xml:space="preserve"> </w:t>
      </w:r>
    </w:p>
    <w:p w14:paraId="1371F63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5FE39A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54F56CB7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6588E28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528106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2CC3FB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675750" w14:textId="408B6952" w:rsidR="00EC40EC" w:rsidRPr="00D941EC" w:rsidRDefault="00EC40EC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------------------------------------------------------------------ </w:t>
      </w:r>
      <w:r w:rsidR="00397921">
        <w:rPr>
          <w:rFonts w:ascii="Tahoma" w:hAnsi="Tahoma" w:cs="Tahoma"/>
          <w:sz w:val="16"/>
          <w:szCs w:val="16"/>
        </w:rPr>
        <w:tab/>
      </w:r>
      <w:r w:rsidR="00397921" w:rsidRPr="00D941EC">
        <w:rPr>
          <w:rFonts w:ascii="Tahoma" w:hAnsi="Tahoma" w:cs="Tahoma"/>
          <w:sz w:val="16"/>
          <w:szCs w:val="16"/>
        </w:rPr>
        <w:t>------------------------------------------------------------------</w:t>
      </w:r>
    </w:p>
    <w:p w14:paraId="058D7DE5" w14:textId="002E9CB5" w:rsidR="00EC40EC" w:rsidRPr="00D941EC" w:rsidRDefault="00397921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4E4FAE">
        <w:rPr>
          <w:rFonts w:ascii="Tahoma" w:hAnsi="Tahoma" w:cs="Tahoma"/>
          <w:sz w:val="16"/>
          <w:szCs w:val="16"/>
        </w:rPr>
        <w:t>p</w:t>
      </w:r>
      <w:r w:rsidR="000F0967">
        <w:rPr>
          <w:rFonts w:ascii="Tahoma" w:hAnsi="Tahoma" w:cs="Tahoma"/>
          <w:sz w:val="16"/>
          <w:szCs w:val="16"/>
        </w:rPr>
        <w:t>rof. MUDr. David Feltl, Ph.D., MBA</w:t>
      </w:r>
      <w:r w:rsidR="00851B90">
        <w:rPr>
          <w:rFonts w:ascii="Tahoma" w:hAnsi="Tahoma" w:cs="Tahoma"/>
          <w:sz w:val="16"/>
          <w:szCs w:val="16"/>
        </w:rPr>
        <w:t xml:space="preserve">                                                </w:t>
      </w:r>
      <w:r w:rsidR="00851B90">
        <w:rPr>
          <w:rFonts w:ascii="Tahoma" w:hAnsi="Tahoma" w:cs="Tahoma"/>
          <w:color w:val="000000"/>
          <w:sz w:val="16"/>
          <w:szCs w:val="16"/>
        </w:rPr>
        <w:t>Simac Technik ČR, a.s.</w:t>
      </w:r>
      <w:r w:rsidR="00A07684" w:rsidRPr="00D941EC">
        <w:rPr>
          <w:rFonts w:ascii="Tahoma" w:hAnsi="Tahoma" w:cs="Tahoma"/>
          <w:sz w:val="16"/>
          <w:szCs w:val="16"/>
        </w:rPr>
        <w:tab/>
      </w:r>
    </w:p>
    <w:p w14:paraId="202367E6" w14:textId="28C69EDA" w:rsidR="00EC40EC" w:rsidRPr="00D941EC" w:rsidRDefault="00286C57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ředitel</w:t>
      </w:r>
      <w:r w:rsidR="00397921">
        <w:rPr>
          <w:rFonts w:ascii="Tahoma" w:hAnsi="Tahoma" w:cs="Tahoma"/>
          <w:sz w:val="16"/>
          <w:szCs w:val="16"/>
        </w:rPr>
        <w:tab/>
      </w:r>
      <w:r w:rsidR="001144CE">
        <w:rPr>
          <w:rFonts w:ascii="Tahoma" w:hAnsi="Tahoma" w:cs="Tahoma"/>
          <w:sz w:val="16"/>
          <w:szCs w:val="16"/>
        </w:rPr>
        <w:tab/>
      </w:r>
    </w:p>
    <w:p w14:paraId="0955B4C1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8040D8E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0E88D855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2DFDCE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129F08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Přílohy:</w:t>
      </w:r>
    </w:p>
    <w:p w14:paraId="1078EE5C" w14:textId="1AAA41D4" w:rsidR="00A050EE" w:rsidRDefault="00A050EE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Přílo</w:t>
      </w:r>
      <w:r w:rsidR="00454C55" w:rsidRPr="00D941EC">
        <w:rPr>
          <w:rFonts w:ascii="Tahoma" w:hAnsi="Tahoma" w:cs="Tahoma"/>
          <w:sz w:val="16"/>
          <w:szCs w:val="16"/>
        </w:rPr>
        <w:t xml:space="preserve">ha č. </w:t>
      </w:r>
      <w:r w:rsidR="00A34322">
        <w:rPr>
          <w:rFonts w:ascii="Tahoma" w:hAnsi="Tahoma" w:cs="Tahoma"/>
          <w:sz w:val="16"/>
          <w:szCs w:val="16"/>
        </w:rPr>
        <w:t>1</w:t>
      </w:r>
      <w:r w:rsidR="00454C55" w:rsidRPr="00D941EC">
        <w:rPr>
          <w:rFonts w:ascii="Tahoma" w:hAnsi="Tahoma" w:cs="Tahoma"/>
          <w:sz w:val="16"/>
          <w:szCs w:val="16"/>
        </w:rPr>
        <w:t xml:space="preserve"> – Položkový ceník </w:t>
      </w:r>
      <w:r w:rsidR="003A6A11">
        <w:rPr>
          <w:rFonts w:ascii="Tahoma" w:hAnsi="Tahoma" w:cs="Tahoma"/>
          <w:sz w:val="16"/>
          <w:szCs w:val="16"/>
        </w:rPr>
        <w:t>– Cenová kalkulace</w:t>
      </w:r>
      <w:r w:rsidR="007B38EB">
        <w:rPr>
          <w:rFonts w:ascii="Tahoma" w:hAnsi="Tahoma" w:cs="Tahoma"/>
          <w:sz w:val="16"/>
          <w:szCs w:val="16"/>
        </w:rPr>
        <w:t xml:space="preserve"> </w:t>
      </w:r>
    </w:p>
    <w:p w14:paraId="2904E891" w14:textId="3F1B3387" w:rsidR="00BB1A86" w:rsidRPr="005F690C" w:rsidRDefault="00BB1A86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Příloha č. </w:t>
      </w:r>
      <w:r w:rsidR="00F67E65">
        <w:rPr>
          <w:rFonts w:ascii="Tahoma" w:hAnsi="Tahoma" w:cs="Tahoma"/>
          <w:sz w:val="16"/>
          <w:szCs w:val="16"/>
        </w:rPr>
        <w:t>2</w:t>
      </w:r>
      <w:r w:rsidRPr="00D941EC">
        <w:rPr>
          <w:rFonts w:ascii="Tahoma" w:hAnsi="Tahoma" w:cs="Tahoma"/>
          <w:sz w:val="16"/>
          <w:szCs w:val="16"/>
        </w:rPr>
        <w:t xml:space="preserve"> – Seznam oprávněných osob</w:t>
      </w:r>
      <w:r w:rsidR="008A3B67">
        <w:rPr>
          <w:rFonts w:ascii="Tahoma" w:hAnsi="Tahoma" w:cs="Tahoma"/>
          <w:sz w:val="16"/>
          <w:szCs w:val="16"/>
        </w:rPr>
        <w:t xml:space="preserve"> </w:t>
      </w:r>
    </w:p>
    <w:p w14:paraId="3C5AD180" w14:textId="6827030F" w:rsidR="00A53CC4" w:rsidRPr="00327830" w:rsidRDefault="00A53CC4" w:rsidP="00A53CC4">
      <w:pPr>
        <w:jc w:val="both"/>
        <w:rPr>
          <w:rFonts w:ascii="Tahoma" w:hAnsi="Tahoma" w:cs="Tahoma"/>
          <w:sz w:val="16"/>
          <w:szCs w:val="16"/>
        </w:rPr>
      </w:pPr>
      <w:r w:rsidRPr="00327830">
        <w:rPr>
          <w:rFonts w:ascii="Tahoma" w:hAnsi="Tahoma" w:cs="Tahoma"/>
          <w:sz w:val="16"/>
          <w:szCs w:val="16"/>
        </w:rPr>
        <w:t xml:space="preserve">Příloha č. </w:t>
      </w:r>
      <w:r w:rsidR="00F67E65">
        <w:rPr>
          <w:rFonts w:ascii="Tahoma" w:hAnsi="Tahoma" w:cs="Tahoma"/>
          <w:sz w:val="16"/>
          <w:szCs w:val="16"/>
        </w:rPr>
        <w:t>3</w:t>
      </w:r>
      <w:r w:rsidR="00286C57">
        <w:rPr>
          <w:rFonts w:ascii="Tahoma" w:hAnsi="Tahoma" w:cs="Tahoma"/>
          <w:sz w:val="16"/>
          <w:szCs w:val="16"/>
        </w:rPr>
        <w:t xml:space="preserve"> – </w:t>
      </w:r>
      <w:r w:rsidRPr="00327830">
        <w:rPr>
          <w:rFonts w:ascii="Tahoma" w:hAnsi="Tahoma" w:cs="Tahoma"/>
          <w:sz w:val="16"/>
          <w:szCs w:val="16"/>
        </w:rPr>
        <w:t xml:space="preserve">Požadavky systému řízení bezpečnosti informací na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</w:p>
    <w:p w14:paraId="0C349C61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595FDE39" w14:textId="77777777" w:rsidR="00A42CF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4DDD1842" w14:textId="77777777" w:rsidR="00D64BCA" w:rsidRDefault="00D64BCA" w:rsidP="005F690C">
      <w:pPr>
        <w:jc w:val="both"/>
        <w:rPr>
          <w:rFonts w:ascii="Tahoma" w:hAnsi="Tahoma" w:cs="Tahoma"/>
          <w:sz w:val="16"/>
          <w:szCs w:val="16"/>
        </w:rPr>
      </w:pPr>
    </w:p>
    <w:p w14:paraId="35F876DE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17F4E2CA" w14:textId="77777777" w:rsidR="001106AE" w:rsidRDefault="00FD3C30" w:rsidP="005F690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12552135" w14:textId="3E3B56D0" w:rsidR="00823889" w:rsidRPr="00DC224D" w:rsidRDefault="0082388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0758D9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 w:rsidRPr="00DC224D">
        <w:rPr>
          <w:rFonts w:ascii="Calibri" w:hAnsi="Calibri" w:cs="Calibri"/>
          <w:b w:val="0"/>
          <w:bCs/>
          <w:sz w:val="22"/>
          <w:szCs w:val="22"/>
        </w:rPr>
        <w:t xml:space="preserve">Položkový ceník – cenová kalkulace </w:t>
      </w:r>
    </w:p>
    <w:p w14:paraId="7C9870DA" w14:textId="06F1F193" w:rsidR="00DC224D" w:rsidRPr="00DC224D" w:rsidRDefault="002E04E7" w:rsidP="000758D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2E04E7">
        <w:rPr>
          <w:noProof/>
        </w:rPr>
        <w:drawing>
          <wp:inline distT="0" distB="0" distL="0" distR="0" wp14:anchorId="4B77BA5F" wp14:editId="5F5C8A73">
            <wp:extent cx="5760720" cy="6664325"/>
            <wp:effectExtent l="0" t="0" r="0" b="3175"/>
            <wp:docPr id="208510708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71AB" w14:textId="77777777" w:rsidR="00A07252" w:rsidRDefault="00A07252">
      <w:pPr>
        <w:suppressAutoHyphens w:val="0"/>
        <w:rPr>
          <w:rFonts w:ascii="Calibri" w:eastAsia="HG Mincho Light J" w:hAnsi="Calibri" w:cs="Calibri"/>
          <w:b/>
          <w:color w:val="000000"/>
          <w:kern w:val="0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1E1B6E3" w14:textId="60297DCB" w:rsidR="00A07252" w:rsidRDefault="00A07252">
      <w:pPr>
        <w:suppressAutoHyphens w:val="0"/>
        <w:rPr>
          <w:rFonts w:ascii="Calibri" w:eastAsia="HG Mincho Light J" w:hAnsi="Calibri" w:cs="Calibri"/>
          <w:b/>
          <w:color w:val="000000"/>
          <w:kern w:val="0"/>
          <w:sz w:val="22"/>
          <w:szCs w:val="22"/>
          <w:lang w:eastAsia="cs-CZ"/>
        </w:rPr>
      </w:pPr>
    </w:p>
    <w:p w14:paraId="42DB6C6F" w14:textId="6ED66563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4558A7">
        <w:rPr>
          <w:noProof/>
        </w:rPr>
        <w:drawing>
          <wp:inline distT="0" distB="0" distL="0" distR="0" wp14:anchorId="7C26EF8A" wp14:editId="5F01D089">
            <wp:extent cx="5760720" cy="6833235"/>
            <wp:effectExtent l="0" t="0" r="0" b="0"/>
            <wp:docPr id="45880485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DB3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8B45F88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3F6E1077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0C5FA19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E81AAEF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BA3EA30" w14:textId="67B36083" w:rsidR="004558A7" w:rsidRDefault="00CB66A5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CB66A5">
        <w:rPr>
          <w:noProof/>
        </w:rPr>
        <w:lastRenderedPageBreak/>
        <w:drawing>
          <wp:inline distT="0" distB="0" distL="0" distR="0" wp14:anchorId="197C8470" wp14:editId="3EE73F59">
            <wp:extent cx="5760720" cy="6203950"/>
            <wp:effectExtent l="0" t="0" r="0" b="0"/>
            <wp:docPr id="1586037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701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6AADC414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234A62B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C549FDF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181F8390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49E311BE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081775A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244BFFA8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3884322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6D2C77CE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1B4D9BE2" w14:textId="3165041D" w:rsidR="004558A7" w:rsidRDefault="00B3477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B34779">
        <w:rPr>
          <w:noProof/>
        </w:rPr>
        <w:drawing>
          <wp:inline distT="0" distB="0" distL="0" distR="0" wp14:anchorId="51086DAE" wp14:editId="0204A6B4">
            <wp:extent cx="5760720" cy="6492875"/>
            <wp:effectExtent l="0" t="0" r="0" b="0"/>
            <wp:docPr id="112312637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B574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8479A54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A405B47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37E0074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8BA540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4E1E91D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75880C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24A77CE9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6156419" w14:textId="094C0E32" w:rsidR="004558A7" w:rsidRDefault="001D6742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1D6742">
        <w:rPr>
          <w:noProof/>
        </w:rPr>
        <w:drawing>
          <wp:inline distT="0" distB="0" distL="0" distR="0" wp14:anchorId="0A340300" wp14:editId="03C945E8">
            <wp:extent cx="5760720" cy="8251825"/>
            <wp:effectExtent l="0" t="0" r="0" b="0"/>
            <wp:docPr id="105233242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0459" w14:textId="0227338B" w:rsidR="004558A7" w:rsidRDefault="0060632A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60632A">
        <w:rPr>
          <w:noProof/>
        </w:rPr>
        <w:lastRenderedPageBreak/>
        <w:drawing>
          <wp:inline distT="0" distB="0" distL="0" distR="0" wp14:anchorId="5D1F4DA0" wp14:editId="1D1AFCB6">
            <wp:extent cx="5760720" cy="7070725"/>
            <wp:effectExtent l="0" t="0" r="0" b="0"/>
            <wp:docPr id="39820560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72DD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E1DF3C7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96A4D69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95D791D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A80B62F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1926080" w14:textId="37ED4924" w:rsidR="004558A7" w:rsidRDefault="00CA03DC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CA03DC">
        <w:rPr>
          <w:noProof/>
        </w:rPr>
        <w:lastRenderedPageBreak/>
        <w:drawing>
          <wp:inline distT="0" distB="0" distL="0" distR="0" wp14:anchorId="47484BF9" wp14:editId="29A30F10">
            <wp:extent cx="5760720" cy="7457440"/>
            <wp:effectExtent l="0" t="0" r="0" b="0"/>
            <wp:docPr id="143514968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B2CD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CD241B3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3399B5AA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316A267D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2AF39E4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47F12A78" w14:textId="14C707D6" w:rsidR="004558A7" w:rsidRDefault="00DE3152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DE3152">
        <w:rPr>
          <w:noProof/>
        </w:rPr>
        <w:drawing>
          <wp:inline distT="0" distB="0" distL="0" distR="0" wp14:anchorId="15DDD59A" wp14:editId="4DECBB98">
            <wp:extent cx="5760720" cy="6830060"/>
            <wp:effectExtent l="0" t="0" r="0" b="8890"/>
            <wp:docPr id="164735141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5BCA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21D92E5" w14:textId="338E1FDF" w:rsidR="004558A7" w:rsidRDefault="005023C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  <w:r w:rsidRPr="005023C9">
        <w:rPr>
          <w:noProof/>
        </w:rPr>
        <w:drawing>
          <wp:inline distT="0" distB="0" distL="0" distR="0" wp14:anchorId="264EE1F4" wp14:editId="7002C631">
            <wp:extent cx="5760720" cy="690880"/>
            <wp:effectExtent l="0" t="0" r="0" b="0"/>
            <wp:docPr id="1907555653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69FA" w14:textId="77777777" w:rsidR="004558A7" w:rsidRDefault="004558A7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28AD2571" w14:textId="79B86C91" w:rsidR="001106AE" w:rsidRPr="00DC224D" w:rsidRDefault="005023C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</w:t>
      </w:r>
      <w:r w:rsidR="001106AE">
        <w:rPr>
          <w:rFonts w:ascii="Calibri" w:hAnsi="Calibri" w:cs="Calibri"/>
          <w:sz w:val="22"/>
          <w:szCs w:val="22"/>
        </w:rPr>
        <w:t xml:space="preserve">říloha č. </w:t>
      </w:r>
      <w:r w:rsidR="00A67B9C">
        <w:rPr>
          <w:rFonts w:ascii="Calibri" w:hAnsi="Calibri" w:cs="Calibri"/>
          <w:sz w:val="22"/>
          <w:szCs w:val="22"/>
        </w:rPr>
        <w:t>2</w:t>
      </w:r>
      <w:r w:rsidR="001106AE">
        <w:rPr>
          <w:rFonts w:ascii="Calibri" w:hAnsi="Calibri" w:cs="Calibri"/>
          <w:sz w:val="22"/>
          <w:szCs w:val="22"/>
        </w:rPr>
        <w:t xml:space="preserve"> </w:t>
      </w:r>
      <w:r w:rsidR="001106AE" w:rsidRPr="00DC224D">
        <w:rPr>
          <w:rFonts w:ascii="Calibri" w:hAnsi="Calibri" w:cs="Calibri"/>
          <w:b w:val="0"/>
          <w:bCs/>
          <w:sz w:val="22"/>
          <w:szCs w:val="22"/>
        </w:rPr>
        <w:t>Seznam oprávněných osob</w:t>
      </w:r>
    </w:p>
    <w:p w14:paraId="15823386" w14:textId="77777777" w:rsidR="001106AE" w:rsidRDefault="001106AE" w:rsidP="001106AE">
      <w:pPr>
        <w:pStyle w:val="10czbcap"/>
        <w:tabs>
          <w:tab w:val="clear" w:pos="0"/>
          <w:tab w:val="left" w:pos="2835"/>
        </w:tabs>
        <w:rPr>
          <w:rFonts w:ascii="Calibri" w:hAnsi="Calibri" w:cs="Calibri"/>
          <w:sz w:val="22"/>
          <w:szCs w:val="22"/>
        </w:rPr>
      </w:pPr>
    </w:p>
    <w:p w14:paraId="3EFF5C7E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A. Seznam kontaktních osob poskytovatele</w:t>
      </w:r>
      <w:r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481"/>
        <w:gridCol w:w="3537"/>
      </w:tblGrid>
      <w:tr w:rsidR="001106AE" w14:paraId="1C72C60A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C2E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DBD1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B79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</w:tr>
      <w:tr w:rsidR="00FC684D" w14:paraId="483164CC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274" w14:textId="2DC5C335" w:rsidR="00FC684D" w:rsidRPr="006D217F" w:rsidRDefault="0006065D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sz w:val="16"/>
                <w:szCs w:val="16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E84" w14:textId="4CCAA028" w:rsidR="00FC684D" w:rsidRDefault="00DB1278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Account manager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E3" w14:textId="4FD2291F" w:rsidR="00FC684D" w:rsidRDefault="0006065D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FC684D" w14:paraId="5638B151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33" w14:textId="0FC4E5DF" w:rsidR="00FC684D" w:rsidRPr="006D217F" w:rsidRDefault="00FC684D" w:rsidP="00FC684D">
            <w:pPr>
              <w:spacing w:line="254" w:lineRule="auto"/>
              <w:rPr>
                <w:rFonts w:ascii="Tahoma" w:hAnsi="Tahoma" w:cs="Tahoma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03E" w14:textId="48F8E70E" w:rsidR="00FC684D" w:rsidRDefault="00FC684D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3" w14:textId="7406192B" w:rsidR="00FC684D" w:rsidRDefault="00FC684D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57F75F65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48137FE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2F1EB56F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 B. Seznam kontaktních osob objednatele </w:t>
      </w:r>
    </w:p>
    <w:p w14:paraId="4823281C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2509"/>
        <w:gridCol w:w="2367"/>
        <w:gridCol w:w="2517"/>
      </w:tblGrid>
      <w:tr w:rsidR="001106AE" w14:paraId="4B32FC2D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8A46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599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47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BD4D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e-mail</w:t>
            </w:r>
          </w:p>
        </w:tc>
      </w:tr>
      <w:tr w:rsidR="00AB4564" w14:paraId="23FFF63B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5F1" w14:textId="3BF98122" w:rsidR="00AB4564" w:rsidRPr="00356F0D" w:rsidRDefault="0006065D" w:rsidP="00AB4564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i w:val="0"/>
                <w:iCs/>
                <w:sz w:val="16"/>
                <w:szCs w:val="16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876" w14:textId="4E51BC14" w:rsidR="00AB4564" w:rsidRPr="00356F0D" w:rsidRDefault="00AB4564" w:rsidP="00AB4564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 w:rsidRPr="00356F0D">
              <w:rPr>
                <w:i w:val="0"/>
                <w:iCs/>
                <w:sz w:val="16"/>
                <w:szCs w:val="16"/>
              </w:rPr>
              <w:t xml:space="preserve">Vedoucí Odboru provozu IT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EBA" w14:textId="5DBD64AA" w:rsidR="00AB4564" w:rsidRPr="00356F0D" w:rsidRDefault="0006065D" w:rsidP="00AB4564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i w:val="0"/>
                <w:iCs/>
                <w:sz w:val="16"/>
                <w:szCs w:val="16"/>
              </w:rPr>
              <w:t>xxxxx</w:t>
            </w:r>
            <w:r w:rsidR="00AB4564" w:rsidRPr="00356F0D">
              <w:rPr>
                <w:i w:val="0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077" w14:textId="7557E2AC" w:rsidR="00AB4564" w:rsidRPr="00356F0D" w:rsidRDefault="0006065D" w:rsidP="00AB4564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  <w:t>xxxxx</w:t>
            </w:r>
          </w:p>
        </w:tc>
      </w:tr>
      <w:tr w:rsidR="00356F0D" w14:paraId="41CB3973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679" w14:textId="101D4D9D" w:rsidR="00356F0D" w:rsidRPr="00356F0D" w:rsidRDefault="0006065D" w:rsidP="00356F0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i w:val="0"/>
                <w:iCs/>
                <w:sz w:val="16"/>
                <w:szCs w:val="16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CE8" w14:textId="4E96108E" w:rsidR="00356F0D" w:rsidRPr="00356F0D" w:rsidRDefault="00356F0D" w:rsidP="00356F0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 w:rsidRPr="00356F0D">
              <w:rPr>
                <w:i w:val="0"/>
                <w:iCs/>
                <w:sz w:val="16"/>
                <w:szCs w:val="16"/>
              </w:rPr>
              <w:t xml:space="preserve">Vedoucí Oddělení správy sítí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F07" w14:textId="1ADAAA89" w:rsidR="00356F0D" w:rsidRPr="00356F0D" w:rsidRDefault="0006065D" w:rsidP="00356F0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i w:val="0"/>
                <w:iCs/>
                <w:sz w:val="16"/>
                <w:szCs w:val="16"/>
              </w:rPr>
              <w:t>xxxxx</w:t>
            </w:r>
            <w:r w:rsidR="00356F0D" w:rsidRPr="00356F0D">
              <w:rPr>
                <w:i w:val="0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501" w14:textId="1031F4ED" w:rsidR="00356F0D" w:rsidRPr="00356F0D" w:rsidRDefault="0006065D" w:rsidP="00356F0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  <w:t>xxxxx</w:t>
            </w:r>
          </w:p>
        </w:tc>
      </w:tr>
      <w:tr w:rsidR="001106AE" w14:paraId="54EF78CD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28F" w14:textId="77777777" w:rsidR="001106AE" w:rsidRPr="00356F0D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35D" w14:textId="77777777" w:rsidR="001106AE" w:rsidRPr="00356F0D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157" w14:textId="77777777" w:rsidR="001106AE" w:rsidRPr="00356F0D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62F" w14:textId="77777777" w:rsidR="001106AE" w:rsidRPr="00356F0D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</w:p>
        </w:tc>
      </w:tr>
    </w:tbl>
    <w:p w14:paraId="01FA455D" w14:textId="77777777" w:rsidR="001106AE" w:rsidRDefault="001106AE" w:rsidP="001106AE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p w14:paraId="7943C20B" w14:textId="77777777" w:rsidR="001106AE" w:rsidRDefault="001106AE" w:rsidP="001106AE">
      <w:pPr>
        <w:rPr>
          <w:rFonts w:cs="Arial"/>
        </w:rPr>
      </w:pPr>
    </w:p>
    <w:p w14:paraId="3778283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C. Seznam kontaktních osob objednatele určených k hlášení oznámení, požadavků, událostí nebo incidentů poskytovatele ve vztahu k ochraně osobních údajů nebo bezpečnosti informací nebo kybernetické bezpečnosti</w:t>
      </w:r>
    </w:p>
    <w:p w14:paraId="17ABBF71" w14:textId="77777777" w:rsidR="001106AE" w:rsidRDefault="001106AE" w:rsidP="001106AE">
      <w:pPr>
        <w:rPr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2659"/>
      </w:tblGrid>
      <w:tr w:rsidR="001106AE" w14:paraId="01224CDD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1663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Oblast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09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A044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Kontakt</w:t>
            </w:r>
          </w:p>
        </w:tc>
      </w:tr>
      <w:tr w:rsidR="001106AE" w14:paraId="48B18254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6C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 xml:space="preserve">Ochrana osobních údajů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04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Pověřenec pro ochranu osobních údajů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0B0" w14:textId="77777777" w:rsidR="001106AE" w:rsidRDefault="001106AE">
            <w:pPr>
              <w:pStyle w:val="9en"/>
              <w:spacing w:before="60" w:after="60" w:line="254" w:lineRule="auto"/>
              <w:ind w:left="-21" w:firstLine="21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Poverenec@vfn.cz</w:t>
            </w:r>
          </w:p>
        </w:tc>
      </w:tr>
      <w:tr w:rsidR="001106AE" w14:paraId="6020D671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D0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Bezpečnosti informací, kybernetické bezpečnost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DA6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Manažer kybernetické bezpečnosti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1CB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ManazerKB@vfn.cz</w:t>
            </w:r>
          </w:p>
        </w:tc>
      </w:tr>
    </w:tbl>
    <w:p w14:paraId="66CF83E4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1F901385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1931598" w14:textId="0D680538" w:rsidR="00A07252" w:rsidRDefault="00A07252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1A0032FD" w14:textId="592A9263" w:rsidR="0023066D" w:rsidRPr="00DC224D" w:rsidRDefault="0023066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DC224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 w:rsidR="00CF77FC">
        <w:rPr>
          <w:rFonts w:ascii="Calibri" w:hAnsi="Calibri" w:cs="Calibri"/>
          <w:sz w:val="22"/>
          <w:szCs w:val="22"/>
        </w:rPr>
        <w:t>3</w:t>
      </w:r>
      <w:r w:rsidRPr="00DC224D">
        <w:rPr>
          <w:rFonts w:ascii="Calibri" w:hAnsi="Calibri" w:cs="Calibri"/>
          <w:sz w:val="22"/>
          <w:szCs w:val="22"/>
        </w:rPr>
        <w:t xml:space="preserve"> - </w:t>
      </w:r>
      <w:r w:rsidRPr="00DC224D">
        <w:rPr>
          <w:rFonts w:ascii="Calibri" w:hAnsi="Calibri" w:cs="Calibri"/>
          <w:b w:val="0"/>
          <w:bCs/>
          <w:sz w:val="22"/>
          <w:szCs w:val="22"/>
        </w:rPr>
        <w:t>Požadavky systému řízení bezpečnosti informací na </w:t>
      </w:r>
      <w:r w:rsidR="00B50444">
        <w:rPr>
          <w:rFonts w:ascii="Calibri" w:hAnsi="Calibri" w:cs="Calibri"/>
          <w:b w:val="0"/>
          <w:bCs/>
          <w:sz w:val="22"/>
          <w:szCs w:val="22"/>
        </w:rPr>
        <w:t xml:space="preserve">poskytovatele </w:t>
      </w:r>
    </w:p>
    <w:p w14:paraId="14B0C331" w14:textId="77777777" w:rsidR="0023066D" w:rsidRDefault="0023066D" w:rsidP="0023066D">
      <w:pPr>
        <w:spacing w:after="160" w:line="252" w:lineRule="auto"/>
        <w:jc w:val="right"/>
        <w:rPr>
          <w:rFonts w:ascii="Tahoma" w:hAnsi="Tahoma" w:cs="Tahoma"/>
          <w:sz w:val="24"/>
          <w:szCs w:val="24"/>
          <w:lang w:eastAsia="cs-CZ"/>
        </w:rPr>
      </w:pPr>
    </w:p>
    <w:p w14:paraId="5C3CF9E1" w14:textId="77777777" w:rsidR="0023066D" w:rsidRDefault="0023066D">
      <w:pPr>
        <w:pStyle w:val="Nadpis1"/>
        <w:numPr>
          <w:ilvl w:val="0"/>
          <w:numId w:val="13"/>
        </w:numPr>
        <w:tabs>
          <w:tab w:val="num" w:pos="0"/>
          <w:tab w:val="num" w:pos="360"/>
          <w:tab w:val="num" w:pos="510"/>
        </w:tabs>
        <w:ind w:left="357" w:hanging="357"/>
        <w:rPr>
          <w:rFonts w:ascii="Calibri" w:hAnsi="Calibri"/>
          <w:sz w:val="24"/>
        </w:rPr>
      </w:pPr>
      <w:bookmarkStart w:id="0" w:name="_Hlk17273340"/>
      <w:r>
        <w:rPr>
          <w:sz w:val="24"/>
        </w:rPr>
        <w:t>Účel</w:t>
      </w:r>
    </w:p>
    <w:p w14:paraId="2A4B06BB" w14:textId="14A1BA1C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Účelem toho dokumentu je stanovit požadavky vyplývající ze systému řízení bezpečnosti informací ve VFN pro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jako provozovatele, Poskytovatele služeb nebo zajištující podporu základních služeb: zdravotních služeb dle zákona č. 181/2014 Sb., o kybernetické bezpečnosti (dále jen ZKB).</w:t>
      </w:r>
    </w:p>
    <w:p w14:paraId="1B4DED2E" w14:textId="0D01AEF6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vymezuje obecná pravidla a zásady kybernetické bezpečnosti vztahující se na smluvní plnění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, pokud nejsou detailně specifikovány </w:t>
      </w:r>
      <w:r w:rsidR="00B50444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 xml:space="preserve">mlouvou. Tato příloha nerozšiřuje předmět plnění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 xml:space="preserve">vymezený smlouvou, ale pouze specifikuje relevantní požadavky systému řízení bezpečnosti informací ve VFN, které musí </w:t>
      </w:r>
      <w:r w:rsidR="00B50444">
        <w:rPr>
          <w:rFonts w:ascii="Tahoma" w:hAnsi="Tahoma" w:cs="Tahoma"/>
          <w:sz w:val="16"/>
          <w:szCs w:val="16"/>
        </w:rPr>
        <w:t xml:space="preserve">poskytovatel </w:t>
      </w:r>
      <w:r>
        <w:rPr>
          <w:rFonts w:ascii="Tahoma" w:hAnsi="Tahoma" w:cs="Tahoma"/>
          <w:sz w:val="16"/>
          <w:szCs w:val="16"/>
        </w:rPr>
        <w:t>při plnění dodržovat.</w:t>
      </w:r>
    </w:p>
    <w:p w14:paraId="1790CEDC" w14:textId="1B6D7421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prokazatelně seznámit všechny své zainteresované zaměstnance s obsahem tohoto dokumentu.</w:t>
      </w:r>
    </w:p>
    <w:p w14:paraId="295C9CE6" w14:textId="77777777" w:rsidR="0023066D" w:rsidRDefault="0023066D">
      <w:pPr>
        <w:keepNext/>
        <w:numPr>
          <w:ilvl w:val="0"/>
          <w:numId w:val="14"/>
        </w:numPr>
        <w:tabs>
          <w:tab w:val="num" w:pos="360"/>
          <w:tab w:val="num" w:pos="510"/>
        </w:tabs>
        <w:suppressAutoHyphens w:val="0"/>
        <w:spacing w:before="240" w:after="60"/>
        <w:ind w:left="510" w:hanging="510"/>
        <w:outlineLvl w:val="0"/>
        <w:rPr>
          <w:rFonts w:ascii="Calibri" w:hAnsi="Calibri"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</w:rPr>
        <w:t>Bezpečnostní požadavky</w:t>
      </w:r>
    </w:p>
    <w:p w14:paraId="60FBE843" w14:textId="2F998850" w:rsidR="0023066D" w:rsidRDefault="00B50444" w:rsidP="0023066D">
      <w:pPr>
        <w:jc w:val="both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ve vztahu k předmětu plnění smlouvy musí definovat v interních předpisech, konfiguračních a instalačních manuálech, postupech nebo jiných dokumentech sloužících k předmětu dodávané služby či musí plnit zde popsané povinnosti.</w:t>
      </w:r>
    </w:p>
    <w:p w14:paraId="3B0A41D5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Obecná pravidla bezpečnosti informací</w:t>
      </w:r>
    </w:p>
    <w:p w14:paraId="138C6D03" w14:textId="74099B59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0D3EBD65" w14:textId="510CD30E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vydefinovat rozsah prací/služeb/podpory v kompetenci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a podmínky spolupráce mezi smluvními stranami,</w:t>
      </w:r>
    </w:p>
    <w:p w14:paraId="3AF49319" w14:textId="300F3CF4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specifikovat popis používání každé služby provozované nebo spravované </w:t>
      </w:r>
      <w:r w:rsidR="00B50444">
        <w:rPr>
          <w:rFonts w:ascii="Tahoma" w:hAnsi="Tahoma" w:cs="Tahoma"/>
          <w:sz w:val="16"/>
          <w:szCs w:val="16"/>
        </w:rPr>
        <w:t>poskytovatelem</w:t>
      </w:r>
      <w:r>
        <w:rPr>
          <w:rFonts w:ascii="Tahoma" w:hAnsi="Tahoma" w:cs="Tahoma"/>
          <w:sz w:val="16"/>
          <w:szCs w:val="16"/>
        </w:rPr>
        <w:t>,</w:t>
      </w:r>
    </w:p>
    <w:p w14:paraId="53BC03E4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cílové úrovně služby a neakceptovatelné nebo zakázané úrovně služby,</w:t>
      </w:r>
    </w:p>
    <w:p w14:paraId="6EEE2B8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vést seznam jednotlivců, kteří vzhledem ke svým předdefinovaným právům a privilegiím jsou oprávněni zajišťovat smluvní služby,</w:t>
      </w:r>
    </w:p>
    <w:p w14:paraId="4209A560" w14:textId="1F24A176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umožnit VFN právo monitorovat nebo auditovat smluvní povinnosti i u</w:t>
      </w:r>
      <w:r w:rsidR="00B50444">
        <w:rPr>
          <w:rFonts w:ascii="Tahoma" w:hAnsi="Tahoma" w:cs="Tahoma"/>
          <w:sz w:val="16"/>
          <w:szCs w:val="16"/>
        </w:rPr>
        <w:t xml:space="preserve"> poskytovatele</w:t>
      </w:r>
      <w:r>
        <w:rPr>
          <w:rFonts w:ascii="Tahoma" w:hAnsi="Tahoma" w:cs="Tahoma"/>
          <w:sz w:val="16"/>
          <w:szCs w:val="16"/>
        </w:rPr>
        <w:t>,</w:t>
      </w:r>
    </w:p>
    <w:p w14:paraId="071A361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popis eskalace problému v případech řešení havárie s popisem pravidel pro řešení havarijních situací,</w:t>
      </w:r>
    </w:p>
    <w:p w14:paraId="139A88AC" w14:textId="3D948094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zajistit školení zainteresovaných uživatelů a správců </w:t>
      </w:r>
      <w:r w:rsidR="00CC7300">
        <w:rPr>
          <w:rFonts w:ascii="Tahoma" w:hAnsi="Tahoma" w:cs="Tahoma"/>
          <w:sz w:val="16"/>
          <w:szCs w:val="16"/>
        </w:rPr>
        <w:t>poskytovatele</w:t>
      </w:r>
      <w:r w:rsidR="00B5044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 metodách, postupech a v bezpečnosti,</w:t>
      </w:r>
    </w:p>
    <w:p w14:paraId="2A79E050" w14:textId="116FBA1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upřesnit podmínky spolupráce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se subdodavateli (třetí stranou),</w:t>
      </w:r>
    </w:p>
    <w:p w14:paraId="209F2EE3" w14:textId="2470C870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informovat </w:t>
      </w:r>
      <w:r w:rsidR="00B50444">
        <w:rPr>
          <w:rFonts w:ascii="Tahoma" w:hAnsi="Tahoma" w:cs="Tahoma"/>
          <w:sz w:val="16"/>
          <w:szCs w:val="16"/>
        </w:rPr>
        <w:t>o</w:t>
      </w:r>
      <w:r w:rsidRPr="00B50444">
        <w:rPr>
          <w:rFonts w:ascii="Tahoma" w:hAnsi="Tahoma" w:cs="Tahoma"/>
          <w:sz w:val="16"/>
          <w:szCs w:val="16"/>
        </w:rPr>
        <w:t>bjednatele o způsobu řízení rizik a o zbytkových rizicích,</w:t>
      </w:r>
    </w:p>
    <w:p w14:paraId="15D67B6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informovat o významné změně dle § 71 a násl. zákona č. 90/2012 Sb., o obchodních korporacích, či ekvivalentním postavení, nebo o změně vlastnictví zásadních aktiv, popřípadě změně oprávnění nakládat s těmito aktivy,</w:t>
      </w:r>
    </w:p>
    <w:p w14:paraId="6049F0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provést neprodlené nahlášení identifikovaných bezpečnostních událostí a slabin kontaktní osobě za VFN.</w:t>
      </w:r>
    </w:p>
    <w:p w14:paraId="0FAD406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Fyzická bezpečnost</w:t>
      </w:r>
    </w:p>
    <w:p w14:paraId="048D0DCF" w14:textId="0642C8D8" w:rsidR="0023066D" w:rsidRDefault="00B50444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25775DF" w14:textId="4B1FBAB2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nastavit komplexní opatření fyzické bezpečnosti v prostředí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jež zabrání nebo sníží pravděpodobnost vzniku ohrožení IS základní služby, ztrát dat a jiného duševního vlastnictví, přerušení činností či poškozování jiných důležitých zájmů VFN,</w:t>
      </w:r>
    </w:p>
    <w:p w14:paraId="6051C44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režimová nebo organizační opatření VFN při vjezdu do objektů nebo vstupu do prostor nebo překonávání fyzických/logických zábran těchto objektů nebo prostor VFN,</w:t>
      </w:r>
    </w:p>
    <w:p w14:paraId="3BE3B0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dobrovolně se podrobit případným kontrolám vnášených/vynášených osobních věcí nebo jakýchkoliv předmětů při vstupu nebo odchodu z objektů nebo prostor VFN prováděné oprávněnými zaměstnanci VFN (ostraha, vrátný, recepce apod.),</w:t>
      </w:r>
    </w:p>
    <w:p w14:paraId="28FA27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neprovádět fotografování, video/audio záznam nebo kopírování/scanování dokumentů bez souhlasu oprávněného zaměstnance VFN. V prostorách kategorie zóny „C“ (např. serverovna) pouze na základě písemného povolení vedení VFN.</w:t>
      </w:r>
    </w:p>
    <w:p w14:paraId="1FC3D49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lidských zdrojů</w:t>
      </w:r>
    </w:p>
    <w:p w14:paraId="36BFE0ED" w14:textId="6293E4F5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7A24BAC9" w14:textId="5EC3861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prokazatelně seznámit zaměstnance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s dodržováním bezpečnostních pravidel a zásad požadovaných VFN,</w:t>
      </w:r>
    </w:p>
    <w:p w14:paraId="6E1EB74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ochranu aktiv VFN před neautorizovaným přístupem, vyzrazením, modifikací, zničením nebo narušením,</w:t>
      </w:r>
    </w:p>
    <w:p w14:paraId="2B6A7EE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zachovávat mlčenlivost o důvěrných údajích nebo sděleních VFN a o jejich ochraně,</w:t>
      </w:r>
    </w:p>
    <w:p w14:paraId="2F9348D9" w14:textId="0DFCCAB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stanovit odpovědnosti zaměstnanců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pro nakládání s informacemi,</w:t>
      </w:r>
    </w:p>
    <w:p w14:paraId="405E7A02" w14:textId="616212E0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poučit zaměstnance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hlásit zjištěné bezpečnostní události nebo jiná bezpečnostní rizika odpovědné osobě </w:t>
      </w:r>
      <w:r w:rsidR="00B50444">
        <w:rPr>
          <w:rFonts w:ascii="Tahoma" w:hAnsi="Tahoma" w:cs="Tahoma"/>
          <w:sz w:val="16"/>
          <w:szCs w:val="16"/>
        </w:rPr>
        <w:t>poskytovatele</w:t>
      </w:r>
      <w:r w:rsidRPr="00B50444">
        <w:rPr>
          <w:rFonts w:ascii="Tahoma" w:hAnsi="Tahoma" w:cs="Tahoma"/>
          <w:sz w:val="16"/>
          <w:szCs w:val="16"/>
        </w:rPr>
        <w:t>,</w:t>
      </w:r>
    </w:p>
    <w:p w14:paraId="037B7C04" w14:textId="4D2A0DD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provádět pravidelné školení zaměstnanců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v souvislosti s bezpečností informací,</w:t>
      </w:r>
    </w:p>
    <w:p w14:paraId="33515E66" w14:textId="0A7AFB70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při porušení pracovních povinnosti zaměstnance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ve vztahu k bezpečnosti informací nebo způsobení bezpečnostního incidentu, musí být zahájeno formální disciplinární řízení. Způsob řízení odpovídá povaze porušení nebo incidentu a jeho dopadu na VFN.</w:t>
      </w:r>
    </w:p>
    <w:p w14:paraId="539F4AB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přístupu</w:t>
      </w:r>
    </w:p>
    <w:p w14:paraId="210147C3" w14:textId="2B0CA5EB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492AC7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princip minimálních oprávnění: přidělovat oprávnění na nejnižší možné úrovni, která umožní jejich správnou funkci,</w:t>
      </w:r>
    </w:p>
    <w:p w14:paraId="092314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1" w:name="_Toc489392074"/>
      <w:bookmarkStart w:id="2" w:name="_Toc6903381"/>
      <w:r>
        <w:rPr>
          <w:rFonts w:ascii="Tahoma" w:hAnsi="Tahoma" w:cs="Tahoma"/>
          <w:sz w:val="16"/>
          <w:szCs w:val="16"/>
        </w:rPr>
        <w:t>dodržovat požadavky na řízení přístupu</w:t>
      </w:r>
      <w:bookmarkEnd w:id="1"/>
      <w:bookmarkEnd w:id="2"/>
      <w:r>
        <w:rPr>
          <w:rFonts w:ascii="Tahoma" w:hAnsi="Tahoma" w:cs="Tahoma"/>
          <w:sz w:val="16"/>
          <w:szCs w:val="16"/>
        </w:rPr>
        <w:t>:</w:t>
      </w:r>
    </w:p>
    <w:p w14:paraId="21E72583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procesy přidělování, správy oprávnění, pravidelně provádět audit přidělených oprávnění a odstraňovat účty při odchodu zaměstnance nebo změně jeho zařazení,</w:t>
      </w:r>
    </w:p>
    <w:p w14:paraId="3B96E2C4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přidělovat privilegovaná oprávnění takovým způsobem, aby byla zajištěna jednoznačná auditovatelnost všech kroků provedených pod těmito účty ve vztahu ke konkrétním osobám.</w:t>
      </w:r>
    </w:p>
    <w:p w14:paraId="26863A5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Bezpečné chování uživatelů</w:t>
      </w:r>
    </w:p>
    <w:p w14:paraId="06780959" w14:textId="77777777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Uvedené povinnosti se vztahují na prostředí VFN nebo zařízení používané ke správě nebo administraci předmětu smlouvy.</w:t>
      </w:r>
    </w:p>
    <w:p w14:paraId="460B5F97" w14:textId="4446EE93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Zaměstnanec </w:t>
      </w:r>
      <w:r w:rsidR="00C7406C">
        <w:rPr>
          <w:rFonts w:ascii="Tahoma" w:hAnsi="Tahoma" w:cs="Tahoma"/>
          <w:sz w:val="16"/>
          <w:szCs w:val="16"/>
        </w:rPr>
        <w:t>p</w:t>
      </w:r>
      <w:r w:rsidR="007E0BD2">
        <w:rPr>
          <w:rFonts w:ascii="Tahoma" w:hAnsi="Tahoma" w:cs="Tahoma"/>
          <w:sz w:val="16"/>
          <w:szCs w:val="16"/>
        </w:rPr>
        <w:t>oskytovatele</w:t>
      </w:r>
      <w:r>
        <w:rPr>
          <w:rFonts w:ascii="Tahoma" w:hAnsi="Tahoma" w:cs="Tahoma"/>
          <w:sz w:val="16"/>
          <w:szCs w:val="16"/>
        </w:rPr>
        <w:t>:</w:t>
      </w:r>
    </w:p>
    <w:p w14:paraId="3D5F0FE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šířit a vědomě používat SW získaný v rozporu s právními předpisy, zejména s autorským zákonem a SW, získaný v souladu s těmito předpisy nesmí užívat v rozporu se smlouvou,</w:t>
      </w:r>
    </w:p>
    <w:p w14:paraId="02F1E7E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používat počítačové prostředky a SW vybavení VFN jen v rámci smluvního ujednání a stanovené kompetence,</w:t>
      </w:r>
    </w:p>
    <w:p w14:paraId="155AAB1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 povinen respektovat pravidla tvorby a nakládání s přístupovými hesly definovaná VFN, </w:t>
      </w:r>
    </w:p>
    <w:p w14:paraId="5261615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povinen zachovávat důvěrnost hesel jemu přidělených v rámci své kompetence,</w:t>
      </w:r>
    </w:p>
    <w:p w14:paraId="7CE090AF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žádnými prostředky se pokusit získat přístupová práva či privilegovaný stav, který mu nebyl přidělen,</w:t>
      </w:r>
    </w:p>
    <w:p w14:paraId="4E1B855B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se pokusit získat přístup k chráněným informacím a datům jiných uživatelů nebo systémů,</w:t>
      </w:r>
    </w:p>
    <w:p w14:paraId="10D7D099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dodržovat předepsaná opatření pro užití prostředků pro vzdálený přístup (aktualizace systému, spuštěný FW a antivir, využití veřejných sítí apod.).</w:t>
      </w:r>
    </w:p>
    <w:p w14:paraId="426A3D92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mobilních zařízení a vzdáleného přístupu</w:t>
      </w:r>
    </w:p>
    <w:p w14:paraId="00C8E887" w14:textId="5FADD7FC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Přístup externích zařízení do prostředí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 je možný po provedení registrace zařízení při dodržení postupu „</w:t>
      </w:r>
      <w:hyperlink r:id="rId23" w:history="1">
        <w:r>
          <w:rPr>
            <w:rStyle w:val="Hypertextovodkaz"/>
            <w:rFonts w:ascii="Tahoma" w:hAnsi="Tahoma" w:cs="Tahoma"/>
            <w:sz w:val="16"/>
            <w:szCs w:val="16"/>
          </w:rPr>
          <w:t>Přístup do počítačové sítě VFN pro externí zaměstnance/firmy</w:t>
        </w:r>
      </w:hyperlink>
      <w:r>
        <w:rPr>
          <w:rFonts w:ascii="Tahoma" w:hAnsi="Tahoma" w:cs="Tahoma"/>
          <w:sz w:val="16"/>
          <w:szCs w:val="16"/>
        </w:rPr>
        <w:t>“, zde uvedených povinností a směrnice Používání sítě VFN externími uživateli (</w:t>
      </w:r>
      <w:hyperlink r:id="rId24" w:history="1">
        <w:r>
          <w:rPr>
            <w:rStyle w:val="Hypertextovodkaz"/>
            <w:rFonts w:ascii="Tahoma" w:hAnsi="Tahoma" w:cs="Tahoma"/>
            <w:sz w:val="16"/>
            <w:szCs w:val="16"/>
          </w:rPr>
          <w:t>SM-UI-02</w:t>
        </w:r>
      </w:hyperlink>
      <w:r>
        <w:rPr>
          <w:rFonts w:ascii="Tahoma" w:hAnsi="Tahoma" w:cs="Tahoma"/>
          <w:sz w:val="16"/>
          <w:szCs w:val="16"/>
        </w:rPr>
        <w:t xml:space="preserve">). Uživatel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připojený do sítě VFN je povinen:</w:t>
      </w:r>
    </w:p>
    <w:p w14:paraId="368D386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je pouze k účelům a po dobu souvisejícím s výkonem smluvní činnosti v takovém rozsahu, který odpovídá potřebám uživatele pro výkon této činnosti, </w:t>
      </w:r>
    </w:p>
    <w:p w14:paraId="62B93AC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své připojení takovým způsobem, který nenaruší funkci sítě ani práva ostatních uživatelů, </w:t>
      </w:r>
    </w:p>
    <w:p w14:paraId="770FEF0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chránit svá hesla před vyzrazením, a v případě podezření, že heslo zná jiná osoba, tuto situaci neprodleně nahlásit Poskytovateli připojení, </w:t>
      </w:r>
    </w:p>
    <w:p w14:paraId="3951D57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zabránit využití či zneužití jeho vzdáleného připojení třetí osobou, </w:t>
      </w:r>
    </w:p>
    <w:p w14:paraId="1377A5EE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chovat se v souladu s dobrými mravy a právním řádem České republiky.</w:t>
      </w:r>
    </w:p>
    <w:p w14:paraId="7025518E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Ochrana před škodlivým kódem</w:t>
      </w:r>
    </w:p>
    <w:p w14:paraId="62B6BA55" w14:textId="2B43D2C3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Ve vztahu k dodavatelským pracím a službám zajišťujícím provoz a fungování základních služeb VFN musí být zajištěna ochrana vnějšího perimetru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komunikace, IS, úložišť a koncových stanic nebo mobilních zařízení před škodlivým kódem.</w:t>
      </w:r>
    </w:p>
    <w:p w14:paraId="171731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Zálohování a obnova dat</w:t>
      </w:r>
    </w:p>
    <w:p w14:paraId="6FD51D41" w14:textId="5C39FE81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 provádět zálohování dat a informací v provozovaných nebo spravovaných HW, IS a jejich datech k zajištění jejich dostupnosti v případě nestandardních událostí (chyba paměťového média, havárie systému, poškození integrity dat atp.), aby bylo možné zálohovaná data použít pro jejich obnovu nebo přesun do jiného prostředí.</w:t>
      </w:r>
    </w:p>
    <w:p w14:paraId="5DD02C70" w14:textId="77777777" w:rsidR="0023066D" w:rsidRDefault="0023066D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Zálohovaná data musí splňovat požadavky:</w:t>
      </w:r>
    </w:p>
    <w:p w14:paraId="1645BF33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 kompletní obnovu dat,</w:t>
      </w:r>
    </w:p>
    <w:p w14:paraId="0CC4BA5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dodržet maximálně tolerovaný prostoj (MTD) definovaný ve smlouvě,</w:t>
      </w:r>
    </w:p>
    <w:p w14:paraId="722D0832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pravidelné provádění záloh a testování jejich obnovy,</w:t>
      </w:r>
    </w:p>
    <w:p w14:paraId="44A064A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 ochrany záloh a obsažených dat včetně jejich integrity,</w:t>
      </w:r>
    </w:p>
    <w:p w14:paraId="5841D8C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vydefinovaná správa (včetně řízení přístupu), doba uchování, cykly a počet kopií zálohovaných dat.</w:t>
      </w:r>
    </w:p>
    <w:p w14:paraId="7126CF3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lastRenderedPageBreak/>
        <w:t>Technické zranitelnosti</w:t>
      </w:r>
    </w:p>
    <w:p w14:paraId="78E776C5" w14:textId="37E5753A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2C45A0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identifikovat a odstraňovat technické zranitelnosti spojené s bezpečnostním nastavením nebo fungováním jím provozovaných/spravovaných zařízení nebo systémů,</w:t>
      </w:r>
    </w:p>
    <w:p w14:paraId="21BE9F2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upozorňovat VFN na identifikované zranitelnosti zařízení nebo systémů ve správě VFN nebo subdodavatelů,</w:t>
      </w:r>
    </w:p>
    <w:p w14:paraId="28EB6DA3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ověření/testování opravy zranitelnosti v testovacím nebo integračním prostředí před instalací opravy programového vybavení do produkčního prostředí.</w:t>
      </w:r>
    </w:p>
    <w:p w14:paraId="6AD9C5F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komunikační sítě</w:t>
      </w:r>
    </w:p>
    <w:p w14:paraId="3F8CF7C3" w14:textId="78CF0E27" w:rsidR="0023066D" w:rsidRDefault="007E0BD2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omezit riziko napadení systémů nebo služeb prostřednictvím počítačové sítě, např. využitím:</w:t>
      </w:r>
    </w:p>
    <w:p w14:paraId="1E09DC1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šifrování,</w:t>
      </w:r>
    </w:p>
    <w:p w14:paraId="7B4C45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řízené kontroly přístupu,</w:t>
      </w:r>
    </w:p>
    <w:p w14:paraId="3801EB80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zamezením napadení aktivním útočníkem,</w:t>
      </w:r>
    </w:p>
    <w:p w14:paraId="3CB4570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řízením zátěže,</w:t>
      </w:r>
    </w:p>
    <w:p w14:paraId="6D7AA278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zajištěním integrity dat,</w:t>
      </w:r>
    </w:p>
    <w:p w14:paraId="14B7BF0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samostatné lokální sítě,</w:t>
      </w:r>
    </w:p>
    <w:p w14:paraId="6827EC2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víceúrovňovou bezpečností,</w:t>
      </w:r>
    </w:p>
    <w:p w14:paraId="5E9C272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využitím vhodné sítě.</w:t>
      </w:r>
    </w:p>
    <w:p w14:paraId="2796F4D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Bezpečnostní zásady pro práci s daty</w:t>
      </w:r>
    </w:p>
    <w:p w14:paraId="653B7E45" w14:textId="3A5EF770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66816A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stanovená pravidla ochrany dat zahrnující speciální nakládání s tajnými, důvěrnými, osobními a citlivými údaji dle jednotlivých zákonů (např. nařízení č. 2016/679 - GDPR, zákona č. 110/2019 Sb., zákon č. 412/2005 Sb. apod.),</w:t>
      </w:r>
    </w:p>
    <w:p w14:paraId="523ABD1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zajistit řízení přístupu k datům s využitím principu minimálních oprávnění,</w:t>
      </w:r>
    </w:p>
    <w:p w14:paraId="327612A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ochránit data při přenosu, předání a v datovém úložišti,</w:t>
      </w:r>
    </w:p>
    <w:p w14:paraId="76B7241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plnit povinnosti ochrany osobních údajů, a to především technická nebo organizační opatření, hlášení úniku osobních údajů, spolupráce na řešení incidentů nebo auditu ochrany osobních údajů apod.,</w:t>
      </w:r>
    </w:p>
    <w:p w14:paraId="6AF0EE8E" w14:textId="0515745A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dodržet závazek </w:t>
      </w:r>
      <w:r w:rsidR="007E0BD2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(a subdodavatele) neporušovat integritu a dostupnost aktiv,</w:t>
      </w:r>
    </w:p>
    <w:p w14:paraId="37FCBA3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omezení platná pro kopírování a šíření informací,</w:t>
      </w:r>
    </w:p>
    <w:p w14:paraId="757FC6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přijmout opatření zajišťující vrácení či zničení informací po ukončení smluvního vztahu nebo v jeho průběhu,</w:t>
      </w:r>
    </w:p>
    <w:p w14:paraId="41E8B7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postupy bezpečné likvidace dat.</w:t>
      </w:r>
    </w:p>
    <w:p w14:paraId="17D820D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Používání kryptografické ochrany</w:t>
      </w:r>
    </w:p>
    <w:p w14:paraId="597134D8" w14:textId="68475488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70520A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využívat úrovně ochrany s ohledem na typ a sílu kryptografického algoritmu ve vztahu k citlivosti jednotlivých informačních aktiv,</w:t>
      </w:r>
    </w:p>
    <w:p w14:paraId="4AC28CDF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zohledňovat známá nebo odhalená rizika a zranitelnosti pro použité typy a síly kryptografických algoritmů výměnou za „bezpečné“ (neprolomené) kryptografické algoritmy.</w:t>
      </w:r>
    </w:p>
    <w:p w14:paraId="24A317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Akvizice, vývoj a údržba informačních systémů</w:t>
      </w:r>
    </w:p>
    <w:p w14:paraId="1FCBACE8" w14:textId="1382E53D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63B4FF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bezpečnostní pravidla, noremy a best practices (např. OWASP - Open Web Application Security Project) v rámci celého životního cyklu nákupu a vývoje SW od zadání, návrhu, přes vývoj a testování až po nasazení do provozu,</w:t>
      </w:r>
    </w:p>
    <w:p w14:paraId="31BE56B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zavést oddělení rolí vývoje, testu a provozu; vytvářet a provozovat vývojové, integrační, testovací a provozní prostředí tak, aby byla zcela oddělena v sítích a byla podporována oddělenými stroji,</w:t>
      </w:r>
    </w:p>
    <w:p w14:paraId="6E1184E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zohlednit bezpečnostní požadavky VFN na dodávaný nebo vyvíjený SW, a to především:</w:t>
      </w:r>
    </w:p>
    <w:p w14:paraId="31250E6D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podporované frameworky a platformy v prostředí VFN,</w:t>
      </w:r>
    </w:p>
    <w:p w14:paraId="75A74A87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nefunkční bezpečnostní požadavky,</w:t>
      </w:r>
    </w:p>
    <w:p w14:paraId="2DE32291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 codereview v jednotlivých fázích vývoje a testování,</w:t>
      </w:r>
    </w:p>
    <w:p w14:paraId="7DB1E286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spolupracovat na bezpečnostním testování včetně penetračních testů,</w:t>
      </w:r>
    </w:p>
    <w:p w14:paraId="2C4C2452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dodávat systémové a provozní bezpečnostní dokumentace,</w:t>
      </w:r>
    </w:p>
    <w:p w14:paraId="001A182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způsob převzetí, akceptace a instalaci do produkčního prostředí,</w:t>
      </w:r>
    </w:p>
    <w:p w14:paraId="041DA37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používat jasný a specifikovaný proces řízení změn.</w:t>
      </w:r>
    </w:p>
    <w:p w14:paraId="00155D3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lastRenderedPageBreak/>
        <w:t>Zvládání bezpečnostních incidentů</w:t>
      </w:r>
    </w:p>
    <w:p w14:paraId="4EA592F4" w14:textId="1FA103FE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4103865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mít ve svém prostředí zavedený systém hlášení, upozorňování a vyšetřování bezpečnostních nebo kybernetických incidentů a případů prolomení bezpečnosti,</w:t>
      </w:r>
    </w:p>
    <w:p w14:paraId="3F463131" w14:textId="3121251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neprodleně oznámit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bjednateli bezpečnostní nebo kybernetický incidenty a prolomení bezpečnosti v prostředí </w:t>
      </w:r>
      <w:r w:rsidR="00734945">
        <w:rPr>
          <w:rFonts w:ascii="Tahoma" w:hAnsi="Tahoma" w:cs="Tahoma"/>
          <w:sz w:val="16"/>
          <w:szCs w:val="16"/>
        </w:rPr>
        <w:t>p</w:t>
      </w:r>
      <w:r w:rsidR="007E0BD2">
        <w:rPr>
          <w:rFonts w:ascii="Tahoma" w:hAnsi="Tahoma" w:cs="Tahoma"/>
          <w:sz w:val="16"/>
          <w:szCs w:val="16"/>
        </w:rPr>
        <w:t>oskytovatele</w:t>
      </w:r>
      <w:r>
        <w:rPr>
          <w:rFonts w:ascii="Tahoma" w:hAnsi="Tahoma" w:cs="Tahoma"/>
          <w:sz w:val="16"/>
          <w:szCs w:val="16"/>
        </w:rPr>
        <w:t xml:space="preserve"> nebo </w:t>
      </w:r>
      <w:r w:rsidR="00734945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bjednatele,</w:t>
      </w:r>
    </w:p>
    <w:p w14:paraId="02DA005E" w14:textId="381491F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spolupracovat s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bjednatelem na vyšetření, vyhodnocení a přijetí opatření z bezpečnostního nebo kybernetického incidentu v prostředí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bjednatele.</w:t>
      </w:r>
    </w:p>
    <w:p w14:paraId="004CC84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kontinuity činností</w:t>
      </w:r>
    </w:p>
    <w:p w14:paraId="1CAC1321" w14:textId="6261F347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1066A078" w14:textId="5F98BB65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vytvořit takové postupy a fungující prostředí, které umožní zajistit kontinuitu a obnovu klíčových procesů a činností základních služeb VFN provozovaných nebo spravovaných </w:t>
      </w:r>
      <w:r w:rsidR="00CC1675">
        <w:rPr>
          <w:rFonts w:ascii="Tahoma" w:hAnsi="Tahoma" w:cs="Tahoma"/>
          <w:sz w:val="16"/>
          <w:szCs w:val="16"/>
        </w:rPr>
        <w:t>poskytovatelem</w:t>
      </w:r>
      <w:r>
        <w:rPr>
          <w:rFonts w:ascii="Tahoma" w:hAnsi="Tahoma" w:cs="Tahoma"/>
          <w:sz w:val="16"/>
          <w:szCs w:val="16"/>
        </w:rPr>
        <w:t xml:space="preserve"> HW, IS a jejich dat v případě jejich narušení nebo ztráty,</w:t>
      </w:r>
    </w:p>
    <w:p w14:paraId="4C26C9C0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pravidelné testování, vyhodnocování a případně aktualizování havarijních plánů obnovy (DRP).</w:t>
      </w:r>
    </w:p>
    <w:p w14:paraId="0716A06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Legislativní a normativní požadavky</w:t>
      </w:r>
    </w:p>
    <w:p w14:paraId="0A140DC6" w14:textId="461DDAD9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splnit legislativní a normativní požadavky:</w:t>
      </w:r>
    </w:p>
    <w:p w14:paraId="3E61188E" w14:textId="0159FBF2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3" w:name="_Toc436830485"/>
      <w:bookmarkStart w:id="4" w:name="_Toc7689421"/>
      <w:bookmarkStart w:id="5" w:name="_Toc11182581"/>
      <w:r>
        <w:rPr>
          <w:rFonts w:ascii="Tahoma" w:hAnsi="Tahoma" w:cs="Tahoma"/>
          <w:sz w:val="16"/>
          <w:szCs w:val="16"/>
        </w:rPr>
        <w:t>zákon č. 181/2014 Sb., o kybernetické bezpečnosti</w:t>
      </w:r>
      <w:bookmarkEnd w:id="3"/>
      <w:bookmarkEnd w:id="4"/>
      <w:bookmarkEnd w:id="5"/>
      <w:r>
        <w:rPr>
          <w:rFonts w:ascii="Tahoma" w:hAnsi="Tahoma" w:cs="Tahoma"/>
          <w:sz w:val="16"/>
          <w:szCs w:val="16"/>
        </w:rPr>
        <w:t xml:space="preserve"> a vyhlášk</w:t>
      </w:r>
      <w:r w:rsidR="00BE1074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 xml:space="preserve"> č. 82/2018Sb., o kybernetické bezpečnosti,</w:t>
      </w:r>
    </w:p>
    <w:p w14:paraId="2DF7DF32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nařízení EU č. 2016/679, o ochraně fyzických osob v souvislosti se zpracováním osobních údajů a o volném pohybu těchto údajů (GDPR), </w:t>
      </w:r>
    </w:p>
    <w:p w14:paraId="193A5250" w14:textId="19C665F0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zákon č. 110/2019 Sb., </w:t>
      </w:r>
      <w:r w:rsidR="00BE1074">
        <w:rPr>
          <w:rFonts w:ascii="Tahoma" w:hAnsi="Tahoma" w:cs="Tahoma"/>
          <w:sz w:val="16"/>
          <w:szCs w:val="16"/>
        </w:rPr>
        <w:t xml:space="preserve">o </w:t>
      </w:r>
      <w:r>
        <w:rPr>
          <w:rFonts w:ascii="Tahoma" w:hAnsi="Tahoma" w:cs="Tahoma"/>
          <w:sz w:val="16"/>
          <w:szCs w:val="16"/>
        </w:rPr>
        <w:t>zpracování osobních údajů,</w:t>
      </w:r>
    </w:p>
    <w:p w14:paraId="6D749609" w14:textId="742315C1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směrnic</w:t>
      </w:r>
      <w:r w:rsidR="00BE1074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 EU č. 2016/1148, o opatřeních k zajištění vysoké společné úrovně bezpečnosti sítí a informačních systémů (NIS),</w:t>
      </w:r>
    </w:p>
    <w:p w14:paraId="2CACC25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nařízení EU č. 910/2014, o elektronické identifikaci a službách vytvářejících důvěru pro elektronické transakce na vnitřním trhu (eIDAS),</w:t>
      </w:r>
    </w:p>
    <w:p w14:paraId="7AA8732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standardy systému řízení bezpečnosti řady ISO/IEC 27000 – Information Security Management System (ISMS), především ISO/IEC 27001, ISO/IEC 27002 a ISO/IEC 27799,</w:t>
      </w:r>
    </w:p>
    <w:p w14:paraId="2B574A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související normy nebo best-practice.</w:t>
      </w:r>
    </w:p>
    <w:p w14:paraId="4ED509AC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Kontroly zavedení bezpečnostních opatření</w:t>
      </w:r>
    </w:p>
    <w:p w14:paraId="5DE0F9A1" w14:textId="010678B7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provádět kontroly zavedených bezpečnostních opatření v prostředí </w:t>
      </w:r>
      <w:r w:rsidR="001840D3"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z w:val="16"/>
          <w:szCs w:val="16"/>
        </w:rPr>
        <w:t xml:space="preserve">oskytovatele </w:t>
      </w:r>
      <w:r w:rsidR="0023066D">
        <w:rPr>
          <w:rFonts w:ascii="Tahoma" w:hAnsi="Tahoma" w:cs="Tahoma"/>
          <w:sz w:val="16"/>
          <w:szCs w:val="16"/>
        </w:rPr>
        <w:t>v pravidelných intervalech a následně přijímat odpovídající preventivní nebo systémová nebo organizační opatření na zjištěné nedostatky nebo zranitelnosti a umožnit VFN ověření provádění kontrol a aplikaci následných opatření.</w:t>
      </w:r>
    </w:p>
    <w:p w14:paraId="1AD56FC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Audity plnění bezpečnostních požadavků</w:t>
      </w:r>
    </w:p>
    <w:p w14:paraId="092DFA6A" w14:textId="51F48D48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umožnit VFN provedení auditu plnění požadavků uvedených v tomto dokumentu nebo s kterými byl prokazatelně </w:t>
      </w: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seznámen, a to po předchozím upozornění. Audit bude proveden zaměstnanci VFN nebo jím smluvně pověřeným subjektem.</w:t>
      </w:r>
      <w:bookmarkEnd w:id="0"/>
    </w:p>
    <w:p w14:paraId="43EC752C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157E975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B0A4BC4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sectPr w:rsidR="0023066D" w:rsidSect="007A14A5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7919" w14:textId="77777777" w:rsidR="00BE6365" w:rsidRDefault="00BE6365">
      <w:r>
        <w:separator/>
      </w:r>
    </w:p>
  </w:endnote>
  <w:endnote w:type="continuationSeparator" w:id="0">
    <w:p w14:paraId="1B0FFB9B" w14:textId="77777777" w:rsidR="00BE6365" w:rsidRDefault="00BE6365">
      <w:r>
        <w:continuationSeparator/>
      </w:r>
    </w:p>
  </w:endnote>
  <w:endnote w:type="continuationNotice" w:id="1">
    <w:p w14:paraId="1F4C4528" w14:textId="77777777" w:rsidR="00BE6365" w:rsidRDefault="00BE6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17AC" w14:textId="0B188C1C" w:rsidR="00EC40EC" w:rsidRDefault="00EC40EC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7A14A5">
      <w:rPr>
        <w:noProof/>
      </w:rPr>
      <w:t>2</w:t>
    </w:r>
    <w:r>
      <w:fldChar w:fldCharType="end"/>
    </w:r>
  </w:p>
  <w:p w14:paraId="77D1FAFE" w14:textId="77777777" w:rsidR="00C852E5" w:rsidRDefault="00C852E5"/>
  <w:p w14:paraId="3688E8D4" w14:textId="77777777" w:rsidR="00C852E5" w:rsidRDefault="00C852E5"/>
  <w:p w14:paraId="1B9164C5" w14:textId="77777777" w:rsidR="00C852E5" w:rsidRDefault="00C852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F34C" w14:textId="2F4B1230" w:rsidR="007A14A5" w:rsidRPr="007A14A5" w:rsidRDefault="007A14A5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391F2C">
      <w:rPr>
        <w:rFonts w:ascii="Arial" w:hAnsi="Arial" w:cs="Arial"/>
        <w:noProof/>
        <w:sz w:val="18"/>
        <w:szCs w:val="18"/>
      </w:rPr>
      <w:t>2</w:t>
    </w:r>
    <w:r w:rsidRPr="007A14A5">
      <w:rPr>
        <w:rFonts w:ascii="Arial" w:hAnsi="Arial" w:cs="Arial"/>
        <w:sz w:val="18"/>
        <w:szCs w:val="18"/>
      </w:rPr>
      <w:fldChar w:fldCharType="end"/>
    </w:r>
  </w:p>
  <w:p w14:paraId="0FF48C3F" w14:textId="77777777" w:rsidR="00EC40EC" w:rsidRDefault="00EC40EC">
    <w:pPr>
      <w:pStyle w:val="Zpat"/>
    </w:pPr>
  </w:p>
  <w:p w14:paraId="4905AC4E" w14:textId="77777777" w:rsidR="00C852E5" w:rsidRDefault="00C852E5"/>
  <w:p w14:paraId="3B78C24C" w14:textId="77777777" w:rsidR="00C852E5" w:rsidRDefault="00C852E5"/>
  <w:p w14:paraId="7ED45412" w14:textId="77777777" w:rsidR="00C852E5" w:rsidRDefault="00C85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8C91" w14:textId="77777777" w:rsidR="00BE6365" w:rsidRDefault="00BE6365">
      <w:r>
        <w:separator/>
      </w:r>
    </w:p>
  </w:footnote>
  <w:footnote w:type="continuationSeparator" w:id="0">
    <w:p w14:paraId="7F2E499F" w14:textId="77777777" w:rsidR="00BE6365" w:rsidRDefault="00BE6365">
      <w:r>
        <w:continuationSeparator/>
      </w:r>
    </w:p>
  </w:footnote>
  <w:footnote w:type="continuationNotice" w:id="1">
    <w:p w14:paraId="6D0F8E40" w14:textId="77777777" w:rsidR="00BE6365" w:rsidRDefault="00BE6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9EFD" w14:textId="3DC6E167" w:rsidR="00EC40EC" w:rsidRDefault="00EC40EC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 …../S/14</w:t>
    </w:r>
  </w:p>
  <w:p w14:paraId="2660AE5D" w14:textId="77777777" w:rsidR="00C852E5" w:rsidRDefault="00C852E5"/>
  <w:p w14:paraId="506B84D4" w14:textId="77777777" w:rsidR="00C852E5" w:rsidRDefault="00C852E5"/>
  <w:p w14:paraId="61A58002" w14:textId="77777777" w:rsidR="00C852E5" w:rsidRDefault="00C85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499C" w14:textId="685EE905" w:rsidR="00EC40EC" w:rsidRDefault="00831ED2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r w:rsidR="00495024">
      <w:rPr>
        <w:rFonts w:ascii="Arial" w:hAnsi="Arial" w:cs="Arial"/>
        <w:b/>
        <w:sz w:val="18"/>
        <w:szCs w:val="18"/>
      </w:rPr>
      <w:t>943</w:t>
    </w:r>
    <w:r>
      <w:rPr>
        <w:rFonts w:ascii="Arial" w:hAnsi="Arial" w:cs="Arial"/>
        <w:b/>
        <w:sz w:val="18"/>
        <w:szCs w:val="18"/>
      </w:rPr>
      <w:t>/S/2</w:t>
    </w:r>
    <w:r w:rsidR="00B056A4">
      <w:rPr>
        <w:rFonts w:ascii="Arial" w:hAnsi="Arial" w:cs="Arial"/>
        <w:b/>
        <w:sz w:val="18"/>
        <w:szCs w:val="18"/>
      </w:rPr>
      <w:t>5</w:t>
    </w:r>
  </w:p>
  <w:p w14:paraId="588E71D4" w14:textId="77777777" w:rsidR="00C852E5" w:rsidRDefault="00C852E5"/>
  <w:p w14:paraId="487BAA1E" w14:textId="77777777" w:rsidR="00C852E5" w:rsidRDefault="00C852E5"/>
  <w:p w14:paraId="4C23F212" w14:textId="77777777" w:rsidR="00C852E5" w:rsidRDefault="00C852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68AAA74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ahoma" w:hAnsi="Tahoma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613299E"/>
    <w:multiLevelType w:val="hybridMultilevel"/>
    <w:tmpl w:val="F1F621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17DDD"/>
    <w:multiLevelType w:val="hybridMultilevel"/>
    <w:tmpl w:val="78C45ECC"/>
    <w:lvl w:ilvl="0" w:tplc="51465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44314BB"/>
    <w:multiLevelType w:val="multilevel"/>
    <w:tmpl w:val="922ABBA2"/>
    <w:numStyleLink w:val="OdrkaSimac"/>
  </w:abstractNum>
  <w:abstractNum w:abstractNumId="17" w15:restartNumberingAfterBreak="0">
    <w:nsid w:val="2072643E"/>
    <w:multiLevelType w:val="hybridMultilevel"/>
    <w:tmpl w:val="648480B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D021D8"/>
    <w:multiLevelType w:val="hybridMultilevel"/>
    <w:tmpl w:val="362EF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C259E"/>
    <w:multiLevelType w:val="hybridMultilevel"/>
    <w:tmpl w:val="8CAE9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83528"/>
    <w:multiLevelType w:val="hybridMultilevel"/>
    <w:tmpl w:val="E826B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1245D"/>
    <w:multiLevelType w:val="hybridMultilevel"/>
    <w:tmpl w:val="0248F440"/>
    <w:lvl w:ilvl="0" w:tplc="E1BEEA6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2650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E7621A"/>
    <w:multiLevelType w:val="multilevel"/>
    <w:tmpl w:val="922ABBA2"/>
    <w:styleLink w:val="OdrkaSimac"/>
    <w:lvl w:ilvl="0">
      <w:start w:val="1"/>
      <w:numFmt w:val="bullet"/>
      <w:pStyle w:val="nadpi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23F8A"/>
    <w:multiLevelType w:val="hybridMultilevel"/>
    <w:tmpl w:val="75965B54"/>
    <w:lvl w:ilvl="0" w:tplc="B91A8D5A">
      <w:start w:val="1"/>
      <w:numFmt w:val="decimal"/>
      <w:pStyle w:val="rove2Oddl"/>
      <w:lvlText w:val="%1."/>
      <w:lvlJc w:val="left"/>
      <w:pPr>
        <w:ind w:left="720" w:hanging="360"/>
      </w:pPr>
      <w:rPr>
        <w:rFonts w:hint="default"/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764E0"/>
    <w:multiLevelType w:val="hybridMultilevel"/>
    <w:tmpl w:val="7520BEAC"/>
    <w:lvl w:ilvl="0" w:tplc="021EA68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693845950">
    <w:abstractNumId w:val="0"/>
  </w:num>
  <w:num w:numId="2" w16cid:durableId="1575164796">
    <w:abstractNumId w:val="8"/>
  </w:num>
  <w:num w:numId="3" w16cid:durableId="1123576528">
    <w:abstractNumId w:val="9"/>
  </w:num>
  <w:num w:numId="4" w16cid:durableId="1158570860">
    <w:abstractNumId w:val="15"/>
  </w:num>
  <w:num w:numId="5" w16cid:durableId="352150819">
    <w:abstractNumId w:val="25"/>
  </w:num>
  <w:num w:numId="6" w16cid:durableId="154684101">
    <w:abstractNumId w:val="21"/>
  </w:num>
  <w:num w:numId="7" w16cid:durableId="1359548955">
    <w:abstractNumId w:val="26"/>
  </w:num>
  <w:num w:numId="8" w16cid:durableId="688684654">
    <w:abstractNumId w:val="24"/>
  </w:num>
  <w:num w:numId="9" w16cid:durableId="132409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146331">
    <w:abstractNumId w:val="10"/>
  </w:num>
  <w:num w:numId="11" w16cid:durableId="253368007">
    <w:abstractNumId w:val="18"/>
  </w:num>
  <w:num w:numId="12" w16cid:durableId="1662271816">
    <w:abstractNumId w:val="1"/>
    <w:lvlOverride w:ilvl="0">
      <w:startOverride w:val="1"/>
    </w:lvlOverride>
  </w:num>
  <w:num w:numId="13" w16cid:durableId="1696418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7214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553960">
    <w:abstractNumId w:val="14"/>
  </w:num>
  <w:num w:numId="16" w16cid:durableId="9842460">
    <w:abstractNumId w:val="20"/>
  </w:num>
  <w:num w:numId="17" w16cid:durableId="706756043">
    <w:abstractNumId w:val="19"/>
  </w:num>
  <w:num w:numId="18" w16cid:durableId="1227915258">
    <w:abstractNumId w:val="13"/>
  </w:num>
  <w:num w:numId="19" w16cid:durableId="1312714280">
    <w:abstractNumId w:val="16"/>
  </w:num>
  <w:num w:numId="20" w16cid:durableId="1186140949">
    <w:abstractNumId w:val="23"/>
  </w:num>
  <w:num w:numId="21" w16cid:durableId="175847287">
    <w:abstractNumId w:val="25"/>
    <w:lvlOverride w:ilvl="0">
      <w:startOverride w:val="12"/>
    </w:lvlOverride>
  </w:num>
  <w:num w:numId="22" w16cid:durableId="199703158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C"/>
    <w:rsid w:val="000016B9"/>
    <w:rsid w:val="00001755"/>
    <w:rsid w:val="0000250B"/>
    <w:rsid w:val="0000499D"/>
    <w:rsid w:val="00004D30"/>
    <w:rsid w:val="00011824"/>
    <w:rsid w:val="00014C0F"/>
    <w:rsid w:val="000200D1"/>
    <w:rsid w:val="00021740"/>
    <w:rsid w:val="0002564B"/>
    <w:rsid w:val="00026E4C"/>
    <w:rsid w:val="000316A6"/>
    <w:rsid w:val="00034285"/>
    <w:rsid w:val="00036B07"/>
    <w:rsid w:val="00045DD9"/>
    <w:rsid w:val="00047F06"/>
    <w:rsid w:val="000509C0"/>
    <w:rsid w:val="000541EC"/>
    <w:rsid w:val="0005452E"/>
    <w:rsid w:val="00054980"/>
    <w:rsid w:val="000577D3"/>
    <w:rsid w:val="0006065D"/>
    <w:rsid w:val="00064094"/>
    <w:rsid w:val="00064F0F"/>
    <w:rsid w:val="00064F1E"/>
    <w:rsid w:val="00065995"/>
    <w:rsid w:val="00071E7A"/>
    <w:rsid w:val="000758D9"/>
    <w:rsid w:val="00075F9A"/>
    <w:rsid w:val="00076768"/>
    <w:rsid w:val="00076A3D"/>
    <w:rsid w:val="00077C56"/>
    <w:rsid w:val="000802D1"/>
    <w:rsid w:val="00080B81"/>
    <w:rsid w:val="0009284A"/>
    <w:rsid w:val="00096118"/>
    <w:rsid w:val="000A356B"/>
    <w:rsid w:val="000C013C"/>
    <w:rsid w:val="000C21F3"/>
    <w:rsid w:val="000C39BA"/>
    <w:rsid w:val="000D55B5"/>
    <w:rsid w:val="000D573F"/>
    <w:rsid w:val="000D5A60"/>
    <w:rsid w:val="000E445D"/>
    <w:rsid w:val="000F0967"/>
    <w:rsid w:val="000F59B3"/>
    <w:rsid w:val="000F66A2"/>
    <w:rsid w:val="001060F1"/>
    <w:rsid w:val="001106AE"/>
    <w:rsid w:val="001135FD"/>
    <w:rsid w:val="001144CE"/>
    <w:rsid w:val="0012222C"/>
    <w:rsid w:val="00124E4E"/>
    <w:rsid w:val="0012689E"/>
    <w:rsid w:val="00127424"/>
    <w:rsid w:val="001320B6"/>
    <w:rsid w:val="001321DA"/>
    <w:rsid w:val="00132524"/>
    <w:rsid w:val="00142370"/>
    <w:rsid w:val="00143E2D"/>
    <w:rsid w:val="0015008B"/>
    <w:rsid w:val="001511A4"/>
    <w:rsid w:val="00151749"/>
    <w:rsid w:val="0015206C"/>
    <w:rsid w:val="001522DD"/>
    <w:rsid w:val="0016585E"/>
    <w:rsid w:val="00172667"/>
    <w:rsid w:val="001840D3"/>
    <w:rsid w:val="00184F28"/>
    <w:rsid w:val="001865BA"/>
    <w:rsid w:val="00195A0E"/>
    <w:rsid w:val="001A08BA"/>
    <w:rsid w:val="001A5730"/>
    <w:rsid w:val="001A7705"/>
    <w:rsid w:val="001B124C"/>
    <w:rsid w:val="001B1FB9"/>
    <w:rsid w:val="001C30D0"/>
    <w:rsid w:val="001C4A17"/>
    <w:rsid w:val="001C6B26"/>
    <w:rsid w:val="001D0AF0"/>
    <w:rsid w:val="001D32C5"/>
    <w:rsid w:val="001D6742"/>
    <w:rsid w:val="001E0BD3"/>
    <w:rsid w:val="001E6F0F"/>
    <w:rsid w:val="001F6AA1"/>
    <w:rsid w:val="001F7604"/>
    <w:rsid w:val="00200A22"/>
    <w:rsid w:val="002045AE"/>
    <w:rsid w:val="00204E73"/>
    <w:rsid w:val="002052FC"/>
    <w:rsid w:val="00205397"/>
    <w:rsid w:val="00215DE6"/>
    <w:rsid w:val="00216A4A"/>
    <w:rsid w:val="00220F24"/>
    <w:rsid w:val="002212DD"/>
    <w:rsid w:val="00226500"/>
    <w:rsid w:val="00226F0F"/>
    <w:rsid w:val="0023034C"/>
    <w:rsid w:val="0023066D"/>
    <w:rsid w:val="00232851"/>
    <w:rsid w:val="00233582"/>
    <w:rsid w:val="00240DE7"/>
    <w:rsid w:val="00241828"/>
    <w:rsid w:val="00241EE4"/>
    <w:rsid w:val="00242DFD"/>
    <w:rsid w:val="00250165"/>
    <w:rsid w:val="00252676"/>
    <w:rsid w:val="00254AB3"/>
    <w:rsid w:val="002551B9"/>
    <w:rsid w:val="00255D05"/>
    <w:rsid w:val="00257FB9"/>
    <w:rsid w:val="00260D9C"/>
    <w:rsid w:val="00260DBD"/>
    <w:rsid w:val="002644F5"/>
    <w:rsid w:val="00267512"/>
    <w:rsid w:val="00270618"/>
    <w:rsid w:val="002725E5"/>
    <w:rsid w:val="00274361"/>
    <w:rsid w:val="00286C57"/>
    <w:rsid w:val="00292304"/>
    <w:rsid w:val="0029345F"/>
    <w:rsid w:val="002941F4"/>
    <w:rsid w:val="002A0EC6"/>
    <w:rsid w:val="002A42E7"/>
    <w:rsid w:val="002C2498"/>
    <w:rsid w:val="002C4876"/>
    <w:rsid w:val="002E04E7"/>
    <w:rsid w:val="002E0DD5"/>
    <w:rsid w:val="002F00D8"/>
    <w:rsid w:val="002F0714"/>
    <w:rsid w:val="002F22BC"/>
    <w:rsid w:val="002F2490"/>
    <w:rsid w:val="002F6022"/>
    <w:rsid w:val="00300204"/>
    <w:rsid w:val="00301991"/>
    <w:rsid w:val="00302E9A"/>
    <w:rsid w:val="00302F14"/>
    <w:rsid w:val="0030355A"/>
    <w:rsid w:val="00312EFC"/>
    <w:rsid w:val="0031630A"/>
    <w:rsid w:val="00322E47"/>
    <w:rsid w:val="00327B97"/>
    <w:rsid w:val="003319DA"/>
    <w:rsid w:val="00332CCC"/>
    <w:rsid w:val="00335B87"/>
    <w:rsid w:val="00341CE1"/>
    <w:rsid w:val="0034305A"/>
    <w:rsid w:val="00344A33"/>
    <w:rsid w:val="00345679"/>
    <w:rsid w:val="00345DB6"/>
    <w:rsid w:val="00356F0D"/>
    <w:rsid w:val="00363006"/>
    <w:rsid w:val="00370707"/>
    <w:rsid w:val="00372856"/>
    <w:rsid w:val="00373E0A"/>
    <w:rsid w:val="003806AF"/>
    <w:rsid w:val="00381BE8"/>
    <w:rsid w:val="003879F9"/>
    <w:rsid w:val="00390B77"/>
    <w:rsid w:val="00390F68"/>
    <w:rsid w:val="00391F2C"/>
    <w:rsid w:val="003973BD"/>
    <w:rsid w:val="00397921"/>
    <w:rsid w:val="003A1619"/>
    <w:rsid w:val="003A64E5"/>
    <w:rsid w:val="003A6A11"/>
    <w:rsid w:val="003A6DE6"/>
    <w:rsid w:val="003B66E6"/>
    <w:rsid w:val="003C28A6"/>
    <w:rsid w:val="003C3D5B"/>
    <w:rsid w:val="003D0471"/>
    <w:rsid w:val="003D1704"/>
    <w:rsid w:val="003D2024"/>
    <w:rsid w:val="003D20C0"/>
    <w:rsid w:val="003D40BB"/>
    <w:rsid w:val="003E78C6"/>
    <w:rsid w:val="003F229D"/>
    <w:rsid w:val="003F3BB6"/>
    <w:rsid w:val="003F69E0"/>
    <w:rsid w:val="00404216"/>
    <w:rsid w:val="0041035F"/>
    <w:rsid w:val="004127DF"/>
    <w:rsid w:val="00416017"/>
    <w:rsid w:val="00416BCA"/>
    <w:rsid w:val="004209B6"/>
    <w:rsid w:val="00422C94"/>
    <w:rsid w:val="0042453D"/>
    <w:rsid w:val="00425392"/>
    <w:rsid w:val="004271F8"/>
    <w:rsid w:val="00434031"/>
    <w:rsid w:val="00443E6F"/>
    <w:rsid w:val="00444FD2"/>
    <w:rsid w:val="0044522D"/>
    <w:rsid w:val="00445B13"/>
    <w:rsid w:val="00447C09"/>
    <w:rsid w:val="00452EE0"/>
    <w:rsid w:val="00454C55"/>
    <w:rsid w:val="004558A7"/>
    <w:rsid w:val="004565BC"/>
    <w:rsid w:val="004609AD"/>
    <w:rsid w:val="00463010"/>
    <w:rsid w:val="004659CE"/>
    <w:rsid w:val="004726E7"/>
    <w:rsid w:val="00475863"/>
    <w:rsid w:val="004768FC"/>
    <w:rsid w:val="00477308"/>
    <w:rsid w:val="004824FF"/>
    <w:rsid w:val="004850B4"/>
    <w:rsid w:val="004941FB"/>
    <w:rsid w:val="00495024"/>
    <w:rsid w:val="00495518"/>
    <w:rsid w:val="00497C8C"/>
    <w:rsid w:val="004A069C"/>
    <w:rsid w:val="004A13DB"/>
    <w:rsid w:val="004A1974"/>
    <w:rsid w:val="004A6E98"/>
    <w:rsid w:val="004B0261"/>
    <w:rsid w:val="004B7ACE"/>
    <w:rsid w:val="004C0131"/>
    <w:rsid w:val="004C08B4"/>
    <w:rsid w:val="004C3F05"/>
    <w:rsid w:val="004D4C2F"/>
    <w:rsid w:val="004D7610"/>
    <w:rsid w:val="004D7CDA"/>
    <w:rsid w:val="004E0DB6"/>
    <w:rsid w:val="004E32D9"/>
    <w:rsid w:val="004E4FAE"/>
    <w:rsid w:val="004E78AD"/>
    <w:rsid w:val="004F164F"/>
    <w:rsid w:val="004F387E"/>
    <w:rsid w:val="005016B0"/>
    <w:rsid w:val="0050201F"/>
    <w:rsid w:val="005023C9"/>
    <w:rsid w:val="00503FA5"/>
    <w:rsid w:val="00504433"/>
    <w:rsid w:val="00513D4F"/>
    <w:rsid w:val="0051449B"/>
    <w:rsid w:val="00524212"/>
    <w:rsid w:val="005242C0"/>
    <w:rsid w:val="00525981"/>
    <w:rsid w:val="00530D67"/>
    <w:rsid w:val="00536B83"/>
    <w:rsid w:val="005501CE"/>
    <w:rsid w:val="00550633"/>
    <w:rsid w:val="005523B9"/>
    <w:rsid w:val="00560B9C"/>
    <w:rsid w:val="0056204C"/>
    <w:rsid w:val="00562346"/>
    <w:rsid w:val="005766EA"/>
    <w:rsid w:val="00581301"/>
    <w:rsid w:val="005853A9"/>
    <w:rsid w:val="00586921"/>
    <w:rsid w:val="00587811"/>
    <w:rsid w:val="00592309"/>
    <w:rsid w:val="00596888"/>
    <w:rsid w:val="005A3DB2"/>
    <w:rsid w:val="005A6230"/>
    <w:rsid w:val="005A633E"/>
    <w:rsid w:val="005A7BD3"/>
    <w:rsid w:val="005B4CC6"/>
    <w:rsid w:val="005B54C1"/>
    <w:rsid w:val="005C07A2"/>
    <w:rsid w:val="005C0BE3"/>
    <w:rsid w:val="005C19B9"/>
    <w:rsid w:val="005C40FF"/>
    <w:rsid w:val="005C71BA"/>
    <w:rsid w:val="005D0E17"/>
    <w:rsid w:val="005D3CC4"/>
    <w:rsid w:val="005F20E2"/>
    <w:rsid w:val="005F690C"/>
    <w:rsid w:val="00603DD7"/>
    <w:rsid w:val="0060632A"/>
    <w:rsid w:val="0061124B"/>
    <w:rsid w:val="006128B8"/>
    <w:rsid w:val="006133BE"/>
    <w:rsid w:val="00620130"/>
    <w:rsid w:val="006214B5"/>
    <w:rsid w:val="006219E0"/>
    <w:rsid w:val="00622F09"/>
    <w:rsid w:val="0062488F"/>
    <w:rsid w:val="00630781"/>
    <w:rsid w:val="00632C7C"/>
    <w:rsid w:val="0063336A"/>
    <w:rsid w:val="0063451A"/>
    <w:rsid w:val="00636FEC"/>
    <w:rsid w:val="00640A64"/>
    <w:rsid w:val="00642D8B"/>
    <w:rsid w:val="0064486B"/>
    <w:rsid w:val="006475A6"/>
    <w:rsid w:val="00652B04"/>
    <w:rsid w:val="00680CDC"/>
    <w:rsid w:val="00685B7C"/>
    <w:rsid w:val="00690D03"/>
    <w:rsid w:val="0069224E"/>
    <w:rsid w:val="00694DCC"/>
    <w:rsid w:val="00697764"/>
    <w:rsid w:val="006A36CE"/>
    <w:rsid w:val="006A549A"/>
    <w:rsid w:val="006B2FB8"/>
    <w:rsid w:val="006B492C"/>
    <w:rsid w:val="006B5866"/>
    <w:rsid w:val="006C66E5"/>
    <w:rsid w:val="006D217F"/>
    <w:rsid w:val="006D2638"/>
    <w:rsid w:val="006D3F8E"/>
    <w:rsid w:val="006D750B"/>
    <w:rsid w:val="006D7C30"/>
    <w:rsid w:val="006E1537"/>
    <w:rsid w:val="006E4FCD"/>
    <w:rsid w:val="006F1D74"/>
    <w:rsid w:val="006F1DEC"/>
    <w:rsid w:val="006F435A"/>
    <w:rsid w:val="006F711E"/>
    <w:rsid w:val="00711D96"/>
    <w:rsid w:val="00712C16"/>
    <w:rsid w:val="00715AEA"/>
    <w:rsid w:val="00716084"/>
    <w:rsid w:val="00717490"/>
    <w:rsid w:val="00734945"/>
    <w:rsid w:val="0073795A"/>
    <w:rsid w:val="00740080"/>
    <w:rsid w:val="0074047A"/>
    <w:rsid w:val="00740669"/>
    <w:rsid w:val="00742ECE"/>
    <w:rsid w:val="00746A8B"/>
    <w:rsid w:val="00752104"/>
    <w:rsid w:val="0075247D"/>
    <w:rsid w:val="00755902"/>
    <w:rsid w:val="00761B8E"/>
    <w:rsid w:val="007625CC"/>
    <w:rsid w:val="007649EF"/>
    <w:rsid w:val="007722B0"/>
    <w:rsid w:val="00775BAB"/>
    <w:rsid w:val="007821F7"/>
    <w:rsid w:val="0078326A"/>
    <w:rsid w:val="00787C4D"/>
    <w:rsid w:val="007A14A5"/>
    <w:rsid w:val="007B1953"/>
    <w:rsid w:val="007B38EB"/>
    <w:rsid w:val="007B3BB7"/>
    <w:rsid w:val="007B42DB"/>
    <w:rsid w:val="007B549F"/>
    <w:rsid w:val="007B5D03"/>
    <w:rsid w:val="007C2F98"/>
    <w:rsid w:val="007C5028"/>
    <w:rsid w:val="007E0BD2"/>
    <w:rsid w:val="007F222F"/>
    <w:rsid w:val="007F2E6C"/>
    <w:rsid w:val="007F4D6A"/>
    <w:rsid w:val="00800970"/>
    <w:rsid w:val="008120FA"/>
    <w:rsid w:val="0081701F"/>
    <w:rsid w:val="008170CC"/>
    <w:rsid w:val="00823889"/>
    <w:rsid w:val="00831ED2"/>
    <w:rsid w:val="00836114"/>
    <w:rsid w:val="0083728A"/>
    <w:rsid w:val="008422D0"/>
    <w:rsid w:val="00843BB1"/>
    <w:rsid w:val="008502B6"/>
    <w:rsid w:val="00851B90"/>
    <w:rsid w:val="0085206E"/>
    <w:rsid w:val="00853FAE"/>
    <w:rsid w:val="00862582"/>
    <w:rsid w:val="008734F2"/>
    <w:rsid w:val="00877ECC"/>
    <w:rsid w:val="0088087C"/>
    <w:rsid w:val="00880DA3"/>
    <w:rsid w:val="008813E0"/>
    <w:rsid w:val="008938C1"/>
    <w:rsid w:val="00896809"/>
    <w:rsid w:val="008A10E1"/>
    <w:rsid w:val="008A3B67"/>
    <w:rsid w:val="008A6B91"/>
    <w:rsid w:val="008B267F"/>
    <w:rsid w:val="008B3F84"/>
    <w:rsid w:val="008B3FCA"/>
    <w:rsid w:val="008B76D4"/>
    <w:rsid w:val="008C78AE"/>
    <w:rsid w:val="008D1282"/>
    <w:rsid w:val="008D2993"/>
    <w:rsid w:val="008D2A80"/>
    <w:rsid w:val="008D52FE"/>
    <w:rsid w:val="008E0B31"/>
    <w:rsid w:val="008E436F"/>
    <w:rsid w:val="008E46A9"/>
    <w:rsid w:val="008E630B"/>
    <w:rsid w:val="008E732D"/>
    <w:rsid w:val="008E75D4"/>
    <w:rsid w:val="008E7D28"/>
    <w:rsid w:val="008E7E22"/>
    <w:rsid w:val="008F3CDC"/>
    <w:rsid w:val="008F4E4D"/>
    <w:rsid w:val="00907482"/>
    <w:rsid w:val="00915A20"/>
    <w:rsid w:val="00920C87"/>
    <w:rsid w:val="00923718"/>
    <w:rsid w:val="009258DF"/>
    <w:rsid w:val="009278CF"/>
    <w:rsid w:val="0093346F"/>
    <w:rsid w:val="009367A2"/>
    <w:rsid w:val="0094027B"/>
    <w:rsid w:val="00940925"/>
    <w:rsid w:val="00946FEC"/>
    <w:rsid w:val="00950892"/>
    <w:rsid w:val="00953D8B"/>
    <w:rsid w:val="00954DA1"/>
    <w:rsid w:val="00955AE9"/>
    <w:rsid w:val="00965C30"/>
    <w:rsid w:val="00971500"/>
    <w:rsid w:val="00972F51"/>
    <w:rsid w:val="0097376A"/>
    <w:rsid w:val="00974C86"/>
    <w:rsid w:val="00976897"/>
    <w:rsid w:val="00982692"/>
    <w:rsid w:val="00986252"/>
    <w:rsid w:val="00990E40"/>
    <w:rsid w:val="00992EC0"/>
    <w:rsid w:val="00995CCD"/>
    <w:rsid w:val="009960F5"/>
    <w:rsid w:val="009A2F96"/>
    <w:rsid w:val="009B7B28"/>
    <w:rsid w:val="009C1FAE"/>
    <w:rsid w:val="009C294F"/>
    <w:rsid w:val="009D18F1"/>
    <w:rsid w:val="009E347D"/>
    <w:rsid w:val="009E5747"/>
    <w:rsid w:val="009F3E4D"/>
    <w:rsid w:val="009F4FB0"/>
    <w:rsid w:val="00A03AE9"/>
    <w:rsid w:val="00A04CCF"/>
    <w:rsid w:val="00A050EE"/>
    <w:rsid w:val="00A06B29"/>
    <w:rsid w:val="00A07252"/>
    <w:rsid w:val="00A07684"/>
    <w:rsid w:val="00A13D72"/>
    <w:rsid w:val="00A15AB7"/>
    <w:rsid w:val="00A15E27"/>
    <w:rsid w:val="00A218BC"/>
    <w:rsid w:val="00A34322"/>
    <w:rsid w:val="00A3712E"/>
    <w:rsid w:val="00A42744"/>
    <w:rsid w:val="00A42CF7"/>
    <w:rsid w:val="00A42D98"/>
    <w:rsid w:val="00A503E5"/>
    <w:rsid w:val="00A53CC4"/>
    <w:rsid w:val="00A61B6B"/>
    <w:rsid w:val="00A62F8C"/>
    <w:rsid w:val="00A64094"/>
    <w:rsid w:val="00A65418"/>
    <w:rsid w:val="00A67B9C"/>
    <w:rsid w:val="00A71979"/>
    <w:rsid w:val="00A74ADD"/>
    <w:rsid w:val="00A80C7F"/>
    <w:rsid w:val="00A850F2"/>
    <w:rsid w:val="00A8786F"/>
    <w:rsid w:val="00A90731"/>
    <w:rsid w:val="00A9120A"/>
    <w:rsid w:val="00A913D2"/>
    <w:rsid w:val="00A95254"/>
    <w:rsid w:val="00A953BE"/>
    <w:rsid w:val="00A96667"/>
    <w:rsid w:val="00AA13B9"/>
    <w:rsid w:val="00AA1C9A"/>
    <w:rsid w:val="00AA20DD"/>
    <w:rsid w:val="00AA45D9"/>
    <w:rsid w:val="00AB12BA"/>
    <w:rsid w:val="00AB15EC"/>
    <w:rsid w:val="00AB1F70"/>
    <w:rsid w:val="00AB2104"/>
    <w:rsid w:val="00AB4564"/>
    <w:rsid w:val="00AC5DD3"/>
    <w:rsid w:val="00AD1EFF"/>
    <w:rsid w:val="00AD22B1"/>
    <w:rsid w:val="00AD69A3"/>
    <w:rsid w:val="00AD6F59"/>
    <w:rsid w:val="00AE1335"/>
    <w:rsid w:val="00B00F3C"/>
    <w:rsid w:val="00B01E75"/>
    <w:rsid w:val="00B023A0"/>
    <w:rsid w:val="00B056A4"/>
    <w:rsid w:val="00B10E2E"/>
    <w:rsid w:val="00B142A5"/>
    <w:rsid w:val="00B1769E"/>
    <w:rsid w:val="00B2195B"/>
    <w:rsid w:val="00B22E35"/>
    <w:rsid w:val="00B23825"/>
    <w:rsid w:val="00B24C4A"/>
    <w:rsid w:val="00B30314"/>
    <w:rsid w:val="00B34779"/>
    <w:rsid w:val="00B35341"/>
    <w:rsid w:val="00B37A6F"/>
    <w:rsid w:val="00B41D69"/>
    <w:rsid w:val="00B43F2A"/>
    <w:rsid w:val="00B44B35"/>
    <w:rsid w:val="00B50444"/>
    <w:rsid w:val="00B510C5"/>
    <w:rsid w:val="00B5200B"/>
    <w:rsid w:val="00B539F2"/>
    <w:rsid w:val="00B54594"/>
    <w:rsid w:val="00B642E9"/>
    <w:rsid w:val="00B75802"/>
    <w:rsid w:val="00B7581F"/>
    <w:rsid w:val="00B930B5"/>
    <w:rsid w:val="00BA1A99"/>
    <w:rsid w:val="00BA57AD"/>
    <w:rsid w:val="00BA5FA7"/>
    <w:rsid w:val="00BA691A"/>
    <w:rsid w:val="00BB1A86"/>
    <w:rsid w:val="00BB5110"/>
    <w:rsid w:val="00BB54AB"/>
    <w:rsid w:val="00BB6720"/>
    <w:rsid w:val="00BC0F4D"/>
    <w:rsid w:val="00BC52E3"/>
    <w:rsid w:val="00BD0641"/>
    <w:rsid w:val="00BD47E0"/>
    <w:rsid w:val="00BE1074"/>
    <w:rsid w:val="00BE12CB"/>
    <w:rsid w:val="00BE48C0"/>
    <w:rsid w:val="00BE48E7"/>
    <w:rsid w:val="00BE6365"/>
    <w:rsid w:val="00BF055B"/>
    <w:rsid w:val="00BF06FC"/>
    <w:rsid w:val="00BF2513"/>
    <w:rsid w:val="00BF513E"/>
    <w:rsid w:val="00BF544D"/>
    <w:rsid w:val="00C077EF"/>
    <w:rsid w:val="00C1067D"/>
    <w:rsid w:val="00C10A4B"/>
    <w:rsid w:val="00C1390B"/>
    <w:rsid w:val="00C1468F"/>
    <w:rsid w:val="00C2078F"/>
    <w:rsid w:val="00C272E5"/>
    <w:rsid w:val="00C27534"/>
    <w:rsid w:val="00C27DEA"/>
    <w:rsid w:val="00C32BC1"/>
    <w:rsid w:val="00C33D01"/>
    <w:rsid w:val="00C41E34"/>
    <w:rsid w:val="00C44346"/>
    <w:rsid w:val="00C57FC0"/>
    <w:rsid w:val="00C719E6"/>
    <w:rsid w:val="00C7406C"/>
    <w:rsid w:val="00C7559D"/>
    <w:rsid w:val="00C75B8D"/>
    <w:rsid w:val="00C762C9"/>
    <w:rsid w:val="00C8288B"/>
    <w:rsid w:val="00C852E5"/>
    <w:rsid w:val="00C8547F"/>
    <w:rsid w:val="00C95B84"/>
    <w:rsid w:val="00C96541"/>
    <w:rsid w:val="00CA03DC"/>
    <w:rsid w:val="00CA1853"/>
    <w:rsid w:val="00CA378E"/>
    <w:rsid w:val="00CA6D19"/>
    <w:rsid w:val="00CA7C94"/>
    <w:rsid w:val="00CB1D58"/>
    <w:rsid w:val="00CB46E9"/>
    <w:rsid w:val="00CB5A08"/>
    <w:rsid w:val="00CB66A5"/>
    <w:rsid w:val="00CC1675"/>
    <w:rsid w:val="00CC4690"/>
    <w:rsid w:val="00CC6634"/>
    <w:rsid w:val="00CC7300"/>
    <w:rsid w:val="00CD2231"/>
    <w:rsid w:val="00CD7C14"/>
    <w:rsid w:val="00CE131F"/>
    <w:rsid w:val="00CE19A2"/>
    <w:rsid w:val="00CE3CC3"/>
    <w:rsid w:val="00CE3D28"/>
    <w:rsid w:val="00CE5659"/>
    <w:rsid w:val="00CE5A3B"/>
    <w:rsid w:val="00CE5D2C"/>
    <w:rsid w:val="00CF0D05"/>
    <w:rsid w:val="00CF7567"/>
    <w:rsid w:val="00CF77FC"/>
    <w:rsid w:val="00CF7927"/>
    <w:rsid w:val="00D1168D"/>
    <w:rsid w:val="00D14AB5"/>
    <w:rsid w:val="00D14C4F"/>
    <w:rsid w:val="00D16B57"/>
    <w:rsid w:val="00D16EBF"/>
    <w:rsid w:val="00D22DCF"/>
    <w:rsid w:val="00D41D42"/>
    <w:rsid w:val="00D5188B"/>
    <w:rsid w:val="00D51FBD"/>
    <w:rsid w:val="00D5259B"/>
    <w:rsid w:val="00D52DF9"/>
    <w:rsid w:val="00D53847"/>
    <w:rsid w:val="00D64336"/>
    <w:rsid w:val="00D64BCA"/>
    <w:rsid w:val="00D91748"/>
    <w:rsid w:val="00D921CC"/>
    <w:rsid w:val="00D936D6"/>
    <w:rsid w:val="00D941EC"/>
    <w:rsid w:val="00D95180"/>
    <w:rsid w:val="00D96E8B"/>
    <w:rsid w:val="00D97745"/>
    <w:rsid w:val="00DA6025"/>
    <w:rsid w:val="00DA711F"/>
    <w:rsid w:val="00DA765F"/>
    <w:rsid w:val="00DB0246"/>
    <w:rsid w:val="00DB0D57"/>
    <w:rsid w:val="00DB1278"/>
    <w:rsid w:val="00DB36E0"/>
    <w:rsid w:val="00DB5DDE"/>
    <w:rsid w:val="00DB7550"/>
    <w:rsid w:val="00DB7940"/>
    <w:rsid w:val="00DC0CDA"/>
    <w:rsid w:val="00DC224D"/>
    <w:rsid w:val="00DC71FC"/>
    <w:rsid w:val="00DD3C08"/>
    <w:rsid w:val="00DE002D"/>
    <w:rsid w:val="00DE208D"/>
    <w:rsid w:val="00DE3152"/>
    <w:rsid w:val="00DE5965"/>
    <w:rsid w:val="00DE6A48"/>
    <w:rsid w:val="00DF1064"/>
    <w:rsid w:val="00E11E4E"/>
    <w:rsid w:val="00E156FD"/>
    <w:rsid w:val="00E210FD"/>
    <w:rsid w:val="00E24197"/>
    <w:rsid w:val="00E2706F"/>
    <w:rsid w:val="00E30EDF"/>
    <w:rsid w:val="00E342AA"/>
    <w:rsid w:val="00E40019"/>
    <w:rsid w:val="00E433C6"/>
    <w:rsid w:val="00E525D8"/>
    <w:rsid w:val="00E53389"/>
    <w:rsid w:val="00E54A28"/>
    <w:rsid w:val="00E74C9E"/>
    <w:rsid w:val="00E82271"/>
    <w:rsid w:val="00E869E8"/>
    <w:rsid w:val="00E901AB"/>
    <w:rsid w:val="00E94FD9"/>
    <w:rsid w:val="00EB3362"/>
    <w:rsid w:val="00EB610B"/>
    <w:rsid w:val="00EB785A"/>
    <w:rsid w:val="00EC0869"/>
    <w:rsid w:val="00EC40EC"/>
    <w:rsid w:val="00EC4568"/>
    <w:rsid w:val="00EC4C0E"/>
    <w:rsid w:val="00EC6CA0"/>
    <w:rsid w:val="00EC6DFC"/>
    <w:rsid w:val="00ED03AE"/>
    <w:rsid w:val="00ED23AD"/>
    <w:rsid w:val="00ED4AD3"/>
    <w:rsid w:val="00ED7980"/>
    <w:rsid w:val="00EE0DD7"/>
    <w:rsid w:val="00EE0F2E"/>
    <w:rsid w:val="00EF0521"/>
    <w:rsid w:val="00EF72D9"/>
    <w:rsid w:val="00EF7B0C"/>
    <w:rsid w:val="00F01985"/>
    <w:rsid w:val="00F01D1D"/>
    <w:rsid w:val="00F02458"/>
    <w:rsid w:val="00F03E31"/>
    <w:rsid w:val="00F0507F"/>
    <w:rsid w:val="00F10BC6"/>
    <w:rsid w:val="00F11D70"/>
    <w:rsid w:val="00F168F7"/>
    <w:rsid w:val="00F17EAB"/>
    <w:rsid w:val="00F27EBD"/>
    <w:rsid w:val="00F27EC1"/>
    <w:rsid w:val="00F30F62"/>
    <w:rsid w:val="00F30F76"/>
    <w:rsid w:val="00F32088"/>
    <w:rsid w:val="00F32853"/>
    <w:rsid w:val="00F35984"/>
    <w:rsid w:val="00F40951"/>
    <w:rsid w:val="00F43000"/>
    <w:rsid w:val="00F50124"/>
    <w:rsid w:val="00F53CCB"/>
    <w:rsid w:val="00F54C25"/>
    <w:rsid w:val="00F54E2E"/>
    <w:rsid w:val="00F558DE"/>
    <w:rsid w:val="00F626C4"/>
    <w:rsid w:val="00F639AD"/>
    <w:rsid w:val="00F6488A"/>
    <w:rsid w:val="00F6763D"/>
    <w:rsid w:val="00F67E65"/>
    <w:rsid w:val="00F7393F"/>
    <w:rsid w:val="00F776CE"/>
    <w:rsid w:val="00F77DC6"/>
    <w:rsid w:val="00F77DEF"/>
    <w:rsid w:val="00F8461F"/>
    <w:rsid w:val="00F9193B"/>
    <w:rsid w:val="00F97050"/>
    <w:rsid w:val="00F97739"/>
    <w:rsid w:val="00FA10F7"/>
    <w:rsid w:val="00FA1197"/>
    <w:rsid w:val="00FA136F"/>
    <w:rsid w:val="00FA33E7"/>
    <w:rsid w:val="00FA5269"/>
    <w:rsid w:val="00FA5311"/>
    <w:rsid w:val="00FA6457"/>
    <w:rsid w:val="00FA77D4"/>
    <w:rsid w:val="00FC15FF"/>
    <w:rsid w:val="00FC16C4"/>
    <w:rsid w:val="00FC4620"/>
    <w:rsid w:val="00FC571E"/>
    <w:rsid w:val="00FC684D"/>
    <w:rsid w:val="00FD3C30"/>
    <w:rsid w:val="00FD516A"/>
    <w:rsid w:val="00FE02E9"/>
    <w:rsid w:val="00FE114C"/>
    <w:rsid w:val="00FF1764"/>
    <w:rsid w:val="00FF6FB7"/>
    <w:rsid w:val="00FF730B"/>
    <w:rsid w:val="1719934E"/>
    <w:rsid w:val="178C5D6C"/>
    <w:rsid w:val="1C173FF8"/>
    <w:rsid w:val="2B3F4294"/>
    <w:rsid w:val="44D5F799"/>
    <w:rsid w:val="61C8735C"/>
    <w:rsid w:val="7DE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254B73BA"/>
  <w15:chartTrackingRefBased/>
  <w15:docId w15:val="{E5995A9D-DAF6-49DD-9132-334C1F77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0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uiPriority w:val="99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345DB6"/>
    <w:pPr>
      <w:numPr>
        <w:numId w:val="5"/>
      </w:numPr>
      <w:suppressAutoHyphens w:val="0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4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345DB6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4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stavec,A-Odrážky1,A-Odrážky,Odrážky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tabulka-zahlavi">
    <w:name w:val="tabulka - zahlavi"/>
    <w:basedOn w:val="Normln"/>
    <w:link w:val="tabulka-zahlaviChar"/>
    <w:qFormat/>
    <w:rsid w:val="00D64BCA"/>
    <w:pPr>
      <w:suppressAutoHyphens w:val="0"/>
      <w:spacing w:line="259" w:lineRule="auto"/>
    </w:pPr>
    <w:rPr>
      <w:rFonts w:eastAsia="Calibri" w:cs="Calibri"/>
      <w:b/>
      <w:bCs/>
      <w:color w:val="FFFFFF"/>
      <w:kern w:val="0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D64BCA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D64BCA"/>
    <w:pPr>
      <w:suppressAutoHyphens w:val="0"/>
    </w:pPr>
    <w:rPr>
      <w:rFonts w:ascii="Calibri" w:hAnsi="Calibri" w:cs="Calibri"/>
      <w:color w:val="000000"/>
      <w:kern w:val="0"/>
      <w:szCs w:val="18"/>
      <w:lang w:eastAsia="cs-CZ"/>
    </w:rPr>
  </w:style>
  <w:style w:type="character" w:customStyle="1" w:styleId="texttabulkaChar">
    <w:name w:val="text tabulka Char"/>
    <w:link w:val="texttabulka"/>
    <w:rsid w:val="00D64BCA"/>
    <w:rPr>
      <w:rFonts w:ascii="Calibri" w:hAnsi="Calibri" w:cs="Calibri"/>
      <w:color w:val="000000"/>
      <w:szCs w:val="18"/>
    </w:rPr>
  </w:style>
  <w:style w:type="character" w:styleId="Zmnka">
    <w:name w:val="Mention"/>
    <w:uiPriority w:val="99"/>
    <w:unhideWhenUsed/>
    <w:rsid w:val="00011824"/>
    <w:rPr>
      <w:color w:val="2B579A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stavec Char"/>
    <w:link w:val="Odstavecseseznamem"/>
    <w:uiPriority w:val="34"/>
    <w:qFormat/>
    <w:locked/>
    <w:rsid w:val="00B24C4A"/>
    <w:rPr>
      <w:kern w:val="1"/>
      <w:lang w:eastAsia="ar-SA"/>
    </w:rPr>
  </w:style>
  <w:style w:type="character" w:customStyle="1" w:styleId="normaltextrun">
    <w:name w:val="normaltextrun"/>
    <w:rsid w:val="00B24C4A"/>
  </w:style>
  <w:style w:type="character" w:customStyle="1" w:styleId="eop">
    <w:name w:val="eop"/>
    <w:rsid w:val="00B24C4A"/>
  </w:style>
  <w:style w:type="paragraph" w:customStyle="1" w:styleId="9en">
    <w:name w:val="9 en"/>
    <w:basedOn w:val="Normln"/>
    <w:qFormat/>
    <w:rsid w:val="001106AE"/>
    <w:pPr>
      <w:widowControl w:val="0"/>
      <w:tabs>
        <w:tab w:val="left" w:pos="2835"/>
      </w:tabs>
      <w:spacing w:before="57"/>
      <w:ind w:left="567" w:hanging="567"/>
    </w:pPr>
    <w:rPr>
      <w:rFonts w:ascii="Arial MT" w:eastAsia="HG Mincho Light J" w:hAnsi="Arial MT"/>
      <w:i/>
      <w:color w:val="000000"/>
      <w:kern w:val="0"/>
      <w:sz w:val="18"/>
      <w:szCs w:val="24"/>
      <w:lang w:val="en-GB" w:eastAsia="cs-CZ"/>
    </w:rPr>
  </w:style>
  <w:style w:type="paragraph" w:customStyle="1" w:styleId="10czbcap">
    <w:name w:val="10 cz b cap"/>
    <w:basedOn w:val="Normln"/>
    <w:rsid w:val="001106AE"/>
    <w:pPr>
      <w:widowControl w:val="0"/>
      <w:tabs>
        <w:tab w:val="num" w:pos="0"/>
      </w:tabs>
      <w:spacing w:before="113"/>
      <w:ind w:left="567" w:hanging="567"/>
      <w:outlineLvl w:val="0"/>
    </w:pPr>
    <w:rPr>
      <w:rFonts w:ascii="Arial MT" w:eastAsia="HG Mincho Light J" w:hAnsi="Arial MT"/>
      <w:b/>
      <w:color w:val="000000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6219E0"/>
    <w:rPr>
      <w:kern w:val="1"/>
      <w:lang w:eastAsia="ar-SA"/>
    </w:rPr>
  </w:style>
  <w:style w:type="paragraph" w:customStyle="1" w:styleId="paragraph">
    <w:name w:val="paragraph"/>
    <w:basedOn w:val="Normln"/>
    <w:rsid w:val="001D32C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22BC"/>
    <w:rPr>
      <w:color w:val="605E5C"/>
      <w:shd w:val="clear" w:color="auto" w:fill="E1DFDD"/>
    </w:rPr>
  </w:style>
  <w:style w:type="paragraph" w:customStyle="1" w:styleId="NormlnBold">
    <w:name w:val="Normální Bold"/>
    <w:basedOn w:val="Normln"/>
    <w:next w:val="Normln"/>
    <w:link w:val="NormlnBoldChar"/>
    <w:rsid w:val="00AD1EFF"/>
    <w:pPr>
      <w:suppressAutoHyphens w:val="0"/>
      <w:spacing w:before="180"/>
    </w:pPr>
    <w:rPr>
      <w:rFonts w:ascii="Verdana" w:hAnsi="Verdana"/>
      <w:b/>
      <w:kern w:val="0"/>
      <w:sz w:val="18"/>
      <w:szCs w:val="24"/>
      <w:lang w:eastAsia="cs-CZ"/>
    </w:rPr>
  </w:style>
  <w:style w:type="character" w:customStyle="1" w:styleId="NormlnBoldChar">
    <w:name w:val="Normální Bold Char"/>
    <w:link w:val="NormlnBold"/>
    <w:rsid w:val="00AD1EFF"/>
    <w:rPr>
      <w:rFonts w:ascii="Verdana" w:hAnsi="Verdana"/>
      <w:b/>
      <w:sz w:val="18"/>
      <w:szCs w:val="24"/>
    </w:rPr>
  </w:style>
  <w:style w:type="paragraph" w:customStyle="1" w:styleId="nadpis">
    <w:name w:val="nadpis"/>
    <w:basedOn w:val="Normln"/>
    <w:rsid w:val="0023034C"/>
    <w:pPr>
      <w:numPr>
        <w:numId w:val="20"/>
      </w:numPr>
      <w:suppressAutoHyphens w:val="0"/>
      <w:spacing w:after="120"/>
      <w:jc w:val="both"/>
    </w:pPr>
    <w:rPr>
      <w:rFonts w:ascii="Tahoma" w:eastAsiaTheme="minorHAnsi" w:hAnsi="Tahoma" w:cs="Tahoma"/>
      <w:b/>
      <w:bCs/>
      <w:kern w:val="0"/>
      <w:sz w:val="24"/>
      <w:szCs w:val="24"/>
      <w:lang w:eastAsia="cs-CZ"/>
    </w:rPr>
  </w:style>
  <w:style w:type="numbering" w:customStyle="1" w:styleId="OdrkaSimac">
    <w:name w:val="Odrážka Simac"/>
    <w:rsid w:val="0023034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nazerKB@vfn.cz" TargetMode="External"/><Relationship Id="rId18" Type="http://schemas.openxmlformats.org/officeDocument/2006/relationships/image" Target="media/image6.e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tyles" Target="styles.xml"/><Relationship Id="rId12" Type="http://schemas.openxmlformats.org/officeDocument/2006/relationships/hyperlink" Target="http://www.simac.cz/kontakt/" TargetMode="External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9" Type="http://schemas.openxmlformats.org/officeDocument/2006/relationships/fontTable" Target="fontTable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fn.cz/files/ext-vpn/SM-UI-02.pdf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yperlink" Target="https://www.vfn.cz/externista/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1228-943(2025-10-16_10-03-55_42059)/943-25_RS.docx</ZkracenyRetezec>
    <Smazat xmlns="acca34e4-9ecd-41c8-99eb-d6aa654aaa55">&lt;a href="/sites/evidencesmluv/_layouts/15/IniWrkflIP.aspx?List=%7b45688869-8B73-4574-991F-DA277FEECC6D%7d&amp;amp;ID=2455&amp;amp;ItemGuid=%7b39D508FC-8CBD-4028-B527-AD4BF071DA29%7d&amp;amp;TemplateID=%7bd3f8102e-f4a5-4901-b93c-fb146a9d820d%7d"&gt;&lt;img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69302F4-4BC8-442E-9BFA-17CCB65F3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477A4-A4BF-49F4-A9AF-A0E1C39A68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43B424-7479-4A02-AF06-11D9A85C6B16}"/>
</file>

<file path=customXml/itemProps4.xml><?xml version="1.0" encoding="utf-8"?>
<ds:datastoreItem xmlns:ds="http://schemas.openxmlformats.org/officeDocument/2006/customXml" ds:itemID="{B8B68D49-8387-4676-925E-DBFF4D5493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7F410A-20DD-483C-9900-FFBE1D38AD7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4930</Words>
  <Characters>29091</Characters>
  <Application>Microsoft Office Word</Application>
  <DocSecurity>0</DocSecurity>
  <Lines>242</Lines>
  <Paragraphs>67</Paragraphs>
  <ScaleCrop>false</ScaleCrop>
  <Company>vfn</Company>
  <LinksUpToDate>false</LinksUpToDate>
  <CharactersWithSpaces>33954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ÚDRŽBY, PODPORY</dc:title>
  <dc:subject/>
  <dc:creator>15042</dc:creator>
  <cp:keywords/>
  <cp:lastModifiedBy>Kotusová Zuzana, Ing. DiS.</cp:lastModifiedBy>
  <cp:revision>2</cp:revision>
  <cp:lastPrinted>2014-09-18T10:03:00Z</cp:lastPrinted>
  <dcterms:created xsi:type="dcterms:W3CDTF">2025-10-16T08:00:00Z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2021-07-09T06:40:04Z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ContentTypeId">
    <vt:lpwstr>0x010100EFF427952D4E634383E9B8E9D938055A0064F22917744CA940A87941E60F036DA6</vt:lpwstr>
  </property>
  <property fmtid="{D5CDD505-2E9C-101B-9397-08002B2CF9AE}" pid="16" name="_dlc_DocIdItemGuid">
    <vt:lpwstr>4027a80f-b6f9-4ffd-ae90-eab9baa84365</vt:lpwstr>
  </property>
  <property fmtid="{D5CDD505-2E9C-101B-9397-08002B2CF9AE}" pid="17" name="MediaServiceImageTags">
    <vt:lpwstr/>
  </property>
  <property fmtid="{D5CDD505-2E9C-101B-9397-08002B2CF9AE}" pid="18" name="WorkflowChangePath">
    <vt:lpwstr>b654cfb1-c231-499f-9b0a-28e4e36f65bc,2;b654cfb1-c231-499f-9b0a-28e4e36f65bc,2;b654cfb1-c231-499f-9b0a-28e4e36f65bc,2;</vt:lpwstr>
  </property>
</Properties>
</file>