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41" w:rightFromText="141" w:vertAnchor="text" w:horzAnchor="margin" w:tblpY="1500"/>
        <w:tblW w:w="8864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180"/>
        <w:gridCol w:w="6684"/>
      </w:tblGrid>
      <w:tr w:rsidR="0050072A" w:rsidTr="0050072A">
        <w:trPr>
          <w:trHeight w:val="232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</w:tcPr>
          <w:p w:rsidR="0050072A" w:rsidRDefault="0050072A" w:rsidP="0050072A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Objednatel:</w:t>
            </w:r>
          </w:p>
        </w:tc>
        <w:tc>
          <w:tcPr>
            <w:tcW w:w="6684" w:type="dxa"/>
            <w:tcBorders>
              <w:top w:val="nil"/>
              <w:left w:val="nil"/>
              <w:bottom w:val="nil"/>
              <w:right w:val="nil"/>
            </w:tcBorders>
          </w:tcPr>
          <w:p w:rsidR="0050072A" w:rsidRDefault="0050072A" w:rsidP="0050072A">
            <w:pPr>
              <w:spacing w:after="0"/>
              <w:ind w:left="708"/>
            </w:pPr>
            <w:r>
              <w:rPr>
                <w:rFonts w:ascii="Times New Roman" w:eastAsia="Times New Roman" w:hAnsi="Times New Roman" w:cs="Times New Roman"/>
                <w:b/>
              </w:rPr>
              <w:t>Alšova jihočeská galerie</w:t>
            </w:r>
          </w:p>
        </w:tc>
      </w:tr>
      <w:tr w:rsidR="0050072A" w:rsidTr="0050072A">
        <w:trPr>
          <w:trHeight w:val="252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</w:tcPr>
          <w:p w:rsidR="0050072A" w:rsidRDefault="0050072A" w:rsidP="0050072A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sídlo:</w:t>
            </w:r>
          </w:p>
        </w:tc>
        <w:tc>
          <w:tcPr>
            <w:tcW w:w="6684" w:type="dxa"/>
            <w:tcBorders>
              <w:top w:val="nil"/>
              <w:left w:val="nil"/>
              <w:bottom w:val="nil"/>
              <w:right w:val="nil"/>
            </w:tcBorders>
          </w:tcPr>
          <w:p w:rsidR="0050072A" w:rsidRDefault="0050072A" w:rsidP="0050072A">
            <w:pPr>
              <w:spacing w:after="0"/>
              <w:ind w:right="55"/>
            </w:pPr>
            <w:r>
              <w:rPr>
                <w:rFonts w:ascii="Times New Roman" w:eastAsia="Times New Roman" w:hAnsi="Times New Roman" w:cs="Times New Roman"/>
              </w:rPr>
              <w:t xml:space="preserve">             Hluboká nad Vltavou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č.p.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144, 373 41 Hluboká nad Vltavou  </w:t>
            </w:r>
          </w:p>
        </w:tc>
      </w:tr>
      <w:tr w:rsidR="0050072A" w:rsidTr="0050072A">
        <w:trPr>
          <w:trHeight w:val="252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</w:tcPr>
          <w:p w:rsidR="0050072A" w:rsidRDefault="0050072A" w:rsidP="0050072A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statutární zástupce:</w:t>
            </w:r>
          </w:p>
        </w:tc>
        <w:tc>
          <w:tcPr>
            <w:tcW w:w="6684" w:type="dxa"/>
            <w:tcBorders>
              <w:top w:val="nil"/>
              <w:left w:val="nil"/>
              <w:bottom w:val="nil"/>
              <w:right w:val="nil"/>
            </w:tcBorders>
          </w:tcPr>
          <w:p w:rsidR="0050072A" w:rsidRDefault="0050072A" w:rsidP="0050072A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            Mgr. Aleš Seifert,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ředitel</w:t>
            </w:r>
          </w:p>
        </w:tc>
      </w:tr>
      <w:tr w:rsidR="0050072A" w:rsidTr="0050072A">
        <w:trPr>
          <w:trHeight w:val="1261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</w:tcPr>
          <w:p w:rsidR="0050072A" w:rsidRDefault="0050072A" w:rsidP="0050072A">
            <w:pPr>
              <w:spacing w:after="505"/>
            </w:pPr>
            <w:r>
              <w:rPr>
                <w:rFonts w:ascii="Times New Roman" w:eastAsia="Times New Roman" w:hAnsi="Times New Roman" w:cs="Times New Roman"/>
              </w:rPr>
              <w:t xml:space="preserve">IČ: </w:t>
            </w:r>
          </w:p>
          <w:p w:rsidR="0050072A" w:rsidRDefault="0050072A" w:rsidP="0050072A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a</w:t>
            </w:r>
          </w:p>
        </w:tc>
        <w:tc>
          <w:tcPr>
            <w:tcW w:w="6684" w:type="dxa"/>
            <w:tcBorders>
              <w:top w:val="nil"/>
              <w:left w:val="nil"/>
              <w:bottom w:val="nil"/>
              <w:right w:val="nil"/>
            </w:tcBorders>
          </w:tcPr>
          <w:p w:rsidR="0050072A" w:rsidRDefault="0050072A" w:rsidP="0050072A">
            <w:pPr>
              <w:spacing w:after="0"/>
              <w:ind w:left="708"/>
            </w:pPr>
            <w:r>
              <w:rPr>
                <w:rFonts w:ascii="Times New Roman" w:eastAsia="Times New Roman" w:hAnsi="Times New Roman" w:cs="Times New Roman"/>
              </w:rPr>
              <w:t>00073512</w:t>
            </w:r>
          </w:p>
          <w:p w:rsidR="0050072A" w:rsidRDefault="0050072A" w:rsidP="0050072A">
            <w:pPr>
              <w:spacing w:after="0"/>
              <w:ind w:left="708"/>
            </w:pPr>
            <w:r>
              <w:rPr>
                <w:rFonts w:ascii="Times New Roman" w:eastAsia="Times New Roman" w:hAnsi="Times New Roman" w:cs="Times New Roman"/>
              </w:rPr>
              <w:t>(na straně jedné a dále v textu pouze jako „objednatel“)</w:t>
            </w:r>
          </w:p>
        </w:tc>
      </w:tr>
      <w:tr w:rsidR="0050072A" w:rsidTr="0050072A">
        <w:trPr>
          <w:trHeight w:val="504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072A" w:rsidRDefault="0050072A" w:rsidP="0050072A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Zhotovitel</w:t>
            </w:r>
          </w:p>
        </w:tc>
        <w:tc>
          <w:tcPr>
            <w:tcW w:w="6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072A" w:rsidRDefault="0050072A" w:rsidP="0050072A">
            <w:pPr>
              <w:spacing w:after="0"/>
              <w:ind w:left="708"/>
            </w:pPr>
            <w:proofErr w:type="spellStart"/>
            <w:r>
              <w:t>xxxx</w:t>
            </w:r>
            <w:proofErr w:type="spellEnd"/>
          </w:p>
        </w:tc>
      </w:tr>
      <w:tr w:rsidR="0050072A" w:rsidTr="0050072A">
        <w:trPr>
          <w:trHeight w:val="252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</w:tcPr>
          <w:p w:rsidR="0050072A" w:rsidRDefault="0050072A" w:rsidP="0050072A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bydliště: </w:t>
            </w:r>
          </w:p>
        </w:tc>
        <w:tc>
          <w:tcPr>
            <w:tcW w:w="6684" w:type="dxa"/>
            <w:tcBorders>
              <w:top w:val="nil"/>
              <w:left w:val="nil"/>
              <w:bottom w:val="nil"/>
              <w:right w:val="nil"/>
            </w:tcBorders>
          </w:tcPr>
          <w:p w:rsidR="0050072A" w:rsidRPr="00700E2A" w:rsidRDefault="0050072A" w:rsidP="0050072A">
            <w:pPr>
              <w:spacing w:after="0"/>
              <w:ind w:left="708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xxxx</w:t>
            </w:r>
            <w:proofErr w:type="spellEnd"/>
          </w:p>
        </w:tc>
      </w:tr>
      <w:tr w:rsidR="0050072A" w:rsidTr="0050072A">
        <w:trPr>
          <w:trHeight w:val="237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</w:tcPr>
          <w:p w:rsidR="0050072A" w:rsidRDefault="0050072A" w:rsidP="0050072A">
            <w:pPr>
              <w:spacing w:after="0"/>
            </w:pPr>
            <w:r>
              <w:t>Datum narození/OP/RČ:</w:t>
            </w:r>
          </w:p>
        </w:tc>
        <w:tc>
          <w:tcPr>
            <w:tcW w:w="6684" w:type="dxa"/>
            <w:tcBorders>
              <w:top w:val="nil"/>
              <w:left w:val="nil"/>
              <w:bottom w:val="nil"/>
              <w:right w:val="nil"/>
            </w:tcBorders>
          </w:tcPr>
          <w:p w:rsidR="0050072A" w:rsidRDefault="0050072A" w:rsidP="0050072A">
            <w:pPr>
              <w:spacing w:after="0"/>
            </w:pPr>
            <w:r>
              <w:t xml:space="preserve">              </w:t>
            </w:r>
            <w:proofErr w:type="spellStart"/>
            <w:r>
              <w:t>xxxx</w:t>
            </w:r>
            <w:proofErr w:type="spellEnd"/>
          </w:p>
        </w:tc>
      </w:tr>
    </w:tbl>
    <w:p w:rsidR="007B1638" w:rsidRDefault="007B1638" w:rsidP="0050072A">
      <w:pPr>
        <w:spacing w:after="2087"/>
      </w:pPr>
    </w:p>
    <w:p w:rsidR="007B1638" w:rsidRPr="00B80A36" w:rsidRDefault="00B80A36" w:rsidP="00700E2A">
      <w:pPr>
        <w:spacing w:after="511" w:line="252" w:lineRule="auto"/>
        <w:rPr>
          <w:rFonts w:ascii="Times New Roman" w:hAnsi="Times New Roman" w:cs="Times New Roman"/>
        </w:rPr>
      </w:pPr>
      <w:r>
        <w:tab/>
      </w:r>
      <w:r>
        <w:tab/>
      </w:r>
      <w:r>
        <w:tab/>
        <w:t xml:space="preserve">            </w:t>
      </w:r>
      <w:r w:rsidRPr="00B80A36">
        <w:rPr>
          <w:rFonts w:ascii="Times New Roman" w:hAnsi="Times New Roman" w:cs="Times New Roman"/>
        </w:rPr>
        <w:t>(na straně druhé a dále v textu pouze jako „zhotovitel“)</w:t>
      </w:r>
    </w:p>
    <w:p w:rsidR="00B80A36" w:rsidRDefault="002F57ED" w:rsidP="00B80A36">
      <w:pPr>
        <w:spacing w:after="373" w:line="252" w:lineRule="auto"/>
        <w:ind w:left="11" w:hanging="11"/>
        <w:contextualSpacing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dnešního dne uzavírají podle § 2193 a násl. občanského zákoníku: </w:t>
      </w:r>
      <w:r>
        <w:rPr>
          <w:rFonts w:ascii="Times New Roman" w:eastAsia="Times New Roman" w:hAnsi="Times New Roman" w:cs="Times New Roman"/>
          <w:b/>
        </w:rPr>
        <w:t xml:space="preserve">Dodatek č. 1 </w:t>
      </w:r>
      <w:r>
        <w:rPr>
          <w:rFonts w:ascii="Times New Roman" w:eastAsia="Times New Roman" w:hAnsi="Times New Roman" w:cs="Times New Roman"/>
        </w:rPr>
        <w:t xml:space="preserve">ke smlouvě o dílo </w:t>
      </w:r>
    </w:p>
    <w:p w:rsidR="007B1638" w:rsidRDefault="00E86CEE" w:rsidP="00B80A36">
      <w:pPr>
        <w:spacing w:after="373" w:line="252" w:lineRule="auto"/>
        <w:ind w:left="11" w:hanging="11"/>
        <w:contextualSpacing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č. </w:t>
      </w:r>
      <w:r w:rsidR="00700E2A">
        <w:rPr>
          <w:rFonts w:ascii="Times New Roman" w:eastAsia="Times New Roman" w:hAnsi="Times New Roman" w:cs="Times New Roman"/>
          <w:b/>
        </w:rPr>
        <w:t>1/2025</w:t>
      </w:r>
      <w:r w:rsidR="002F57ED">
        <w:rPr>
          <w:rFonts w:ascii="Times New Roman" w:eastAsia="Times New Roman" w:hAnsi="Times New Roman" w:cs="Times New Roman"/>
          <w:b/>
        </w:rPr>
        <w:t xml:space="preserve">/D/ÚPOS </w:t>
      </w:r>
      <w:r w:rsidR="00700E2A">
        <w:rPr>
          <w:rFonts w:ascii="Times New Roman" w:eastAsia="Times New Roman" w:hAnsi="Times New Roman" w:cs="Times New Roman"/>
        </w:rPr>
        <w:t>ze dne 28. května 2025</w:t>
      </w:r>
    </w:p>
    <w:p w:rsidR="00B80A36" w:rsidRDefault="00B80A36" w:rsidP="00B80A36">
      <w:pPr>
        <w:spacing w:after="373" w:line="252" w:lineRule="auto"/>
        <w:ind w:left="11" w:hanging="11"/>
        <w:contextualSpacing/>
        <w:jc w:val="center"/>
      </w:pPr>
    </w:p>
    <w:p w:rsidR="00B80A36" w:rsidRDefault="00B80A36" w:rsidP="00B80A36">
      <w:pPr>
        <w:spacing w:after="373" w:line="252" w:lineRule="auto"/>
        <w:ind w:left="11" w:hanging="11"/>
        <w:contextualSpacing/>
        <w:jc w:val="center"/>
      </w:pPr>
    </w:p>
    <w:p w:rsidR="007B1638" w:rsidRDefault="002F57ED">
      <w:pPr>
        <w:spacing w:after="279" w:line="252" w:lineRule="auto"/>
        <w:ind w:left="10" w:right="55" w:hanging="10"/>
        <w:jc w:val="center"/>
      </w:pPr>
      <w:r>
        <w:rPr>
          <w:rFonts w:ascii="Times New Roman" w:eastAsia="Times New Roman" w:hAnsi="Times New Roman" w:cs="Times New Roman"/>
        </w:rPr>
        <w:t>článek I.</w:t>
      </w:r>
    </w:p>
    <w:p w:rsidR="007B1638" w:rsidRDefault="002F57ED">
      <w:pPr>
        <w:spacing w:after="279" w:line="252" w:lineRule="auto"/>
        <w:ind w:left="10" w:right="54" w:hanging="10"/>
        <w:jc w:val="center"/>
      </w:pPr>
      <w:r>
        <w:rPr>
          <w:rFonts w:ascii="Times New Roman" w:eastAsia="Times New Roman" w:hAnsi="Times New Roman" w:cs="Times New Roman"/>
        </w:rPr>
        <w:t xml:space="preserve">Objednatel upravuje článek III. </w:t>
      </w:r>
      <w:r>
        <w:rPr>
          <w:rFonts w:ascii="Times New Roman" w:eastAsia="Times New Roman" w:hAnsi="Times New Roman" w:cs="Times New Roman"/>
          <w:sz w:val="24"/>
        </w:rPr>
        <w:t>Cenové a platební podmínky</w:t>
      </w:r>
      <w:r w:rsidR="00B80A36">
        <w:rPr>
          <w:rFonts w:ascii="Times New Roman" w:eastAsia="Times New Roman" w:hAnsi="Times New Roman" w:cs="Times New Roman"/>
          <w:sz w:val="24"/>
        </w:rPr>
        <w:t xml:space="preserve"> následovně:</w:t>
      </w:r>
    </w:p>
    <w:p w:rsidR="007B1638" w:rsidRPr="00B80A36" w:rsidRDefault="00B80A36" w:rsidP="00E86CEE">
      <w:pPr>
        <w:pStyle w:val="Odstavecseseznamem"/>
        <w:numPr>
          <w:ilvl w:val="0"/>
          <w:numId w:val="3"/>
        </w:numPr>
        <w:spacing w:after="485" w:line="240" w:lineRule="auto"/>
        <w:ind w:right="23"/>
      </w:pPr>
      <w:r w:rsidRPr="00E86CEE">
        <w:rPr>
          <w:rFonts w:ascii="Times New Roman" w:eastAsia="Times New Roman" w:hAnsi="Times New Roman" w:cs="Times New Roman"/>
          <w:sz w:val="24"/>
        </w:rPr>
        <w:t xml:space="preserve">Objednatel se zavazuje zaplatit zhotoviteli za dílo cenu, která se sjednává v celkové </w:t>
      </w:r>
      <w:r w:rsidR="00E86CEE" w:rsidRPr="00E86CEE">
        <w:rPr>
          <w:rFonts w:ascii="Times New Roman" w:eastAsia="Times New Roman" w:hAnsi="Times New Roman" w:cs="Times New Roman"/>
          <w:sz w:val="24"/>
        </w:rPr>
        <w:t>výši</w:t>
      </w:r>
      <w:r w:rsidR="002F57ED" w:rsidRPr="00E86CEE">
        <w:rPr>
          <w:rFonts w:ascii="Times New Roman" w:eastAsia="Times New Roman" w:hAnsi="Times New Roman" w:cs="Times New Roman"/>
          <w:sz w:val="24"/>
        </w:rPr>
        <w:t xml:space="preserve"> </w:t>
      </w:r>
      <w:r w:rsidRPr="00E86CEE">
        <w:rPr>
          <w:rFonts w:ascii="Times New Roman" w:eastAsia="Times New Roman" w:hAnsi="Times New Roman" w:cs="Times New Roman"/>
          <w:sz w:val="24"/>
        </w:rPr>
        <w:t>198.000,- Kč (</w:t>
      </w:r>
      <w:proofErr w:type="spellStart"/>
      <w:r w:rsidRPr="00E86CEE">
        <w:rPr>
          <w:rFonts w:ascii="Times New Roman" w:eastAsia="Times New Roman" w:hAnsi="Times New Roman" w:cs="Times New Roman"/>
          <w:sz w:val="24"/>
        </w:rPr>
        <w:t>stodevadesátosmtisíc</w:t>
      </w:r>
      <w:proofErr w:type="spellEnd"/>
      <w:r w:rsidRPr="00E86CEE">
        <w:rPr>
          <w:rFonts w:ascii="Times New Roman" w:eastAsia="Times New Roman" w:hAnsi="Times New Roman" w:cs="Times New Roman"/>
          <w:sz w:val="24"/>
        </w:rPr>
        <w:t xml:space="preserve"> korun českých), a to ve dvou fázích:</w:t>
      </w:r>
    </w:p>
    <w:p w:rsidR="00B80A36" w:rsidRDefault="00146D68" w:rsidP="00146D68">
      <w:pPr>
        <w:spacing w:after="485" w:line="242" w:lineRule="auto"/>
        <w:ind w:left="705" w:right="20" w:firstLine="6"/>
      </w:pPr>
      <w:r>
        <w:rPr>
          <w:rFonts w:ascii="Times New Roman" w:eastAsia="Times New Roman" w:hAnsi="Times New Roman" w:cs="Times New Roman"/>
          <w:sz w:val="24"/>
        </w:rPr>
        <w:t xml:space="preserve">    </w:t>
      </w:r>
      <w:r w:rsidR="00B80A36">
        <w:rPr>
          <w:rFonts w:ascii="Times New Roman" w:eastAsia="Times New Roman" w:hAnsi="Times New Roman" w:cs="Times New Roman"/>
          <w:sz w:val="24"/>
        </w:rPr>
        <w:t xml:space="preserve">b. </w:t>
      </w:r>
      <w:proofErr w:type="gramStart"/>
      <w:r w:rsidR="00B80A36">
        <w:rPr>
          <w:rFonts w:ascii="Times New Roman" w:eastAsia="Times New Roman" w:hAnsi="Times New Roman" w:cs="Times New Roman"/>
          <w:sz w:val="24"/>
        </w:rPr>
        <w:t>částku</w:t>
      </w:r>
      <w:proofErr w:type="gramEnd"/>
      <w:r w:rsidR="00B80A36">
        <w:rPr>
          <w:rFonts w:ascii="Times New Roman" w:eastAsia="Times New Roman" w:hAnsi="Times New Roman" w:cs="Times New Roman"/>
          <w:sz w:val="24"/>
        </w:rPr>
        <w:t xml:space="preserve"> 123.000,- Kč (</w:t>
      </w:r>
      <w:proofErr w:type="spellStart"/>
      <w:r w:rsidR="00B80A36">
        <w:rPr>
          <w:rFonts w:ascii="Times New Roman" w:eastAsia="Times New Roman" w:hAnsi="Times New Roman" w:cs="Times New Roman"/>
          <w:sz w:val="24"/>
        </w:rPr>
        <w:t>stodvacettřitisíc</w:t>
      </w:r>
      <w:proofErr w:type="spellEnd"/>
      <w:r w:rsidR="00B80A36">
        <w:rPr>
          <w:rFonts w:ascii="Times New Roman" w:eastAsia="Times New Roman" w:hAnsi="Times New Roman" w:cs="Times New Roman"/>
          <w:sz w:val="24"/>
        </w:rPr>
        <w:t xml:space="preserve"> korun českých) po dokončení restaurování </w:t>
      </w:r>
      <w:r>
        <w:rPr>
          <w:rFonts w:ascii="Times New Roman" w:eastAsia="Times New Roman" w:hAnsi="Times New Roman" w:cs="Times New Roman"/>
          <w:sz w:val="24"/>
        </w:rPr>
        <w:t xml:space="preserve">    </w:t>
      </w:r>
      <w:proofErr w:type="spellStart"/>
      <w:r w:rsidR="009977FD">
        <w:rPr>
          <w:rFonts w:ascii="Times New Roman" w:eastAsia="Times New Roman" w:hAnsi="Times New Roman" w:cs="Times New Roman"/>
          <w:sz w:val="24"/>
        </w:rPr>
        <w:t>xxxx</w:t>
      </w:r>
      <w:proofErr w:type="spellEnd"/>
      <w:r w:rsidR="009977FD">
        <w:rPr>
          <w:rFonts w:ascii="Times New Roman" w:eastAsia="Times New Roman" w:hAnsi="Times New Roman" w:cs="Times New Roman"/>
          <w:sz w:val="24"/>
        </w:rPr>
        <w:t xml:space="preserve">, nejpozději však do </w:t>
      </w:r>
      <w:proofErr w:type="spellStart"/>
      <w:r w:rsidR="009977FD">
        <w:rPr>
          <w:rFonts w:ascii="Times New Roman" w:eastAsia="Times New Roman" w:hAnsi="Times New Roman" w:cs="Times New Roman"/>
          <w:sz w:val="24"/>
        </w:rPr>
        <w:t>xxxx</w:t>
      </w:r>
      <w:proofErr w:type="spellEnd"/>
      <w:r w:rsidR="009977FD">
        <w:rPr>
          <w:rFonts w:ascii="Times New Roman" w:eastAsia="Times New Roman" w:hAnsi="Times New Roman" w:cs="Times New Roman"/>
          <w:sz w:val="24"/>
        </w:rPr>
        <w:t>.</w:t>
      </w:r>
    </w:p>
    <w:p w:rsidR="007B1638" w:rsidRDefault="002F57ED" w:rsidP="0050072A">
      <w:pPr>
        <w:spacing w:after="251" w:line="252" w:lineRule="auto"/>
        <w:ind w:left="10" w:right="55" w:hanging="10"/>
        <w:jc w:val="center"/>
      </w:pPr>
      <w:r>
        <w:rPr>
          <w:rFonts w:ascii="Times New Roman" w:eastAsia="Times New Roman" w:hAnsi="Times New Roman" w:cs="Times New Roman"/>
        </w:rPr>
        <w:t>článek II.</w:t>
      </w:r>
    </w:p>
    <w:p w:rsidR="0050072A" w:rsidRDefault="002F57ED" w:rsidP="00E86CEE">
      <w:pPr>
        <w:spacing w:after="279" w:line="240" w:lineRule="auto"/>
        <w:ind w:left="266" w:right="862" w:hanging="255"/>
        <w:contextualSpacing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Veškeré ostatní podmínky smlouvy o dílo </w:t>
      </w:r>
      <w:r w:rsidR="00E86CEE">
        <w:rPr>
          <w:rFonts w:ascii="Times New Roman" w:eastAsia="Times New Roman" w:hAnsi="Times New Roman" w:cs="Times New Roman"/>
          <w:b/>
        </w:rPr>
        <w:t xml:space="preserve">č. </w:t>
      </w:r>
      <w:r w:rsidR="00827F9B">
        <w:rPr>
          <w:rFonts w:ascii="Times New Roman" w:eastAsia="Times New Roman" w:hAnsi="Times New Roman" w:cs="Times New Roman"/>
          <w:b/>
        </w:rPr>
        <w:t>1/2025/D/ÚPOS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="0050072A">
        <w:rPr>
          <w:rFonts w:ascii="Times New Roman" w:eastAsia="Times New Roman" w:hAnsi="Times New Roman" w:cs="Times New Roman"/>
        </w:rPr>
        <w:t xml:space="preserve">ze dne 28. května 2025 </w:t>
      </w:r>
      <w:r>
        <w:rPr>
          <w:rFonts w:ascii="Times New Roman" w:eastAsia="Times New Roman" w:hAnsi="Times New Roman" w:cs="Times New Roman"/>
        </w:rPr>
        <w:t>zůstávají v platnosti.</w:t>
      </w:r>
    </w:p>
    <w:p w:rsidR="00E86CEE" w:rsidRDefault="00E86CEE" w:rsidP="00E86CEE">
      <w:pPr>
        <w:spacing w:after="279" w:line="240" w:lineRule="auto"/>
        <w:ind w:left="266" w:right="862" w:hanging="255"/>
        <w:contextualSpacing/>
        <w:jc w:val="center"/>
        <w:rPr>
          <w:rFonts w:ascii="Times New Roman" w:eastAsia="Times New Roman" w:hAnsi="Times New Roman" w:cs="Times New Roman"/>
        </w:rPr>
      </w:pPr>
    </w:p>
    <w:p w:rsidR="00E86CEE" w:rsidRDefault="00E86CEE" w:rsidP="00E86CEE">
      <w:pPr>
        <w:spacing w:after="279" w:line="240" w:lineRule="auto"/>
        <w:ind w:left="266" w:right="862" w:hanging="255"/>
        <w:contextualSpacing/>
        <w:jc w:val="center"/>
        <w:rPr>
          <w:rFonts w:ascii="Times New Roman" w:eastAsia="Times New Roman" w:hAnsi="Times New Roman" w:cs="Times New Roman"/>
        </w:rPr>
      </w:pPr>
    </w:p>
    <w:p w:rsidR="00146D68" w:rsidRPr="0050072A" w:rsidRDefault="0050072A" w:rsidP="00146D68">
      <w:pPr>
        <w:spacing w:after="279" w:line="490" w:lineRule="auto"/>
        <w:ind w:left="3796" w:right="862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</w:t>
      </w:r>
      <w:r w:rsidR="002F57ED">
        <w:rPr>
          <w:rFonts w:ascii="Times New Roman" w:eastAsia="Times New Roman" w:hAnsi="Times New Roman" w:cs="Times New Roman"/>
        </w:rPr>
        <w:t>článek III.</w:t>
      </w:r>
    </w:p>
    <w:p w:rsidR="007B1638" w:rsidRDefault="002F57ED" w:rsidP="00146D68">
      <w:pPr>
        <w:spacing w:after="253" w:line="252" w:lineRule="auto"/>
        <w:ind w:left="-5" w:hanging="10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Tento dodatek je vyhotoven ve dvou exemplářích. Každá ze smluvních stran obdrží po jednom. Dodatek nabývá platnosti dnem podpisu oběma smluvními stranami.</w:t>
      </w:r>
    </w:p>
    <w:p w:rsidR="00146D68" w:rsidRDefault="00146D68" w:rsidP="00146D68">
      <w:pPr>
        <w:spacing w:after="253" w:line="252" w:lineRule="auto"/>
        <w:ind w:left="-5" w:hanging="10"/>
        <w:contextualSpacing/>
        <w:rPr>
          <w:rFonts w:ascii="Times New Roman" w:eastAsia="Times New Roman" w:hAnsi="Times New Roman" w:cs="Times New Roman"/>
        </w:rPr>
      </w:pPr>
    </w:p>
    <w:p w:rsidR="00146D68" w:rsidRDefault="00146D68" w:rsidP="00146D68">
      <w:pPr>
        <w:spacing w:after="253" w:line="252" w:lineRule="auto"/>
        <w:ind w:left="-5" w:hanging="10"/>
        <w:contextualSpacing/>
      </w:pPr>
    </w:p>
    <w:p w:rsidR="00146D68" w:rsidRDefault="00146D68" w:rsidP="00146D68">
      <w:pPr>
        <w:spacing w:after="253" w:line="252" w:lineRule="auto"/>
        <w:ind w:left="-5" w:hanging="10"/>
        <w:contextualSpacing/>
      </w:pPr>
    </w:p>
    <w:p w:rsidR="00146D68" w:rsidRDefault="00146D68" w:rsidP="00E86CEE">
      <w:pPr>
        <w:spacing w:after="1071" w:line="252" w:lineRule="auto"/>
        <w:ind w:left="-5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:rsidR="00146D68" w:rsidRDefault="002F57ED" w:rsidP="00146D68">
      <w:pPr>
        <w:spacing w:after="1071" w:line="252" w:lineRule="auto"/>
        <w:ind w:left="11" w:hanging="11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Smluvní strany berou na vědomí, že tento dodatek bude uveřejněn v registru smluv podle zákona </w:t>
      </w:r>
    </w:p>
    <w:p w:rsidR="007B1638" w:rsidRDefault="002F57ED" w:rsidP="00146D68">
      <w:pPr>
        <w:spacing w:after="1071" w:line="252" w:lineRule="auto"/>
        <w:ind w:left="11" w:hanging="11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č.  340</w:t>
      </w:r>
      <w:r>
        <w:rPr>
          <w:rFonts w:ascii="Times New Roman" w:eastAsia="Times New Roman" w:hAnsi="Times New Roman" w:cs="Times New Roman"/>
        </w:rPr>
        <w:t>/2015 Sb., o zvláštních podmínkách účinnosti některých smluv, uveře</w:t>
      </w:r>
      <w:r w:rsidR="0050072A">
        <w:rPr>
          <w:rFonts w:ascii="Times New Roman" w:eastAsia="Times New Roman" w:hAnsi="Times New Roman" w:cs="Times New Roman"/>
        </w:rPr>
        <w:t>jňování těchto smluv a o registr</w:t>
      </w:r>
      <w:r>
        <w:rPr>
          <w:rFonts w:ascii="Times New Roman" w:eastAsia="Times New Roman" w:hAnsi="Times New Roman" w:cs="Times New Roman"/>
        </w:rPr>
        <w:t>u smluv (zákon o registru smluv), ve znění pozdějších předpisů.</w:t>
      </w:r>
    </w:p>
    <w:p w:rsidR="00146D68" w:rsidRDefault="00146D68" w:rsidP="00146D68">
      <w:pPr>
        <w:spacing w:after="1071" w:line="252" w:lineRule="auto"/>
        <w:ind w:left="11" w:hanging="11"/>
        <w:contextualSpacing/>
        <w:rPr>
          <w:rFonts w:ascii="Times New Roman" w:eastAsia="Times New Roman" w:hAnsi="Times New Roman" w:cs="Times New Roman"/>
        </w:rPr>
      </w:pPr>
    </w:p>
    <w:p w:rsidR="00146D68" w:rsidRDefault="00146D68" w:rsidP="00146D68">
      <w:pPr>
        <w:spacing w:after="1071" w:line="252" w:lineRule="auto"/>
        <w:ind w:left="11" w:hanging="11"/>
        <w:contextualSpacing/>
        <w:rPr>
          <w:rFonts w:ascii="Times New Roman" w:eastAsia="Times New Roman" w:hAnsi="Times New Roman" w:cs="Times New Roman"/>
        </w:rPr>
      </w:pPr>
    </w:p>
    <w:p w:rsidR="00146D68" w:rsidRDefault="00146D68" w:rsidP="00146D68">
      <w:pPr>
        <w:spacing w:after="1071" w:line="252" w:lineRule="auto"/>
        <w:ind w:left="11" w:hanging="11"/>
        <w:contextualSpacing/>
        <w:rPr>
          <w:rFonts w:ascii="Times New Roman" w:eastAsia="Times New Roman" w:hAnsi="Times New Roman" w:cs="Times New Roman"/>
        </w:rPr>
      </w:pPr>
    </w:p>
    <w:p w:rsidR="00146D68" w:rsidRPr="00146D68" w:rsidRDefault="00146D68" w:rsidP="00146D68">
      <w:pPr>
        <w:spacing w:after="1071" w:line="252" w:lineRule="auto"/>
        <w:ind w:left="11" w:hanging="11"/>
        <w:contextualSpacing/>
        <w:rPr>
          <w:rFonts w:ascii="Times New Roman" w:eastAsia="Times New Roman" w:hAnsi="Times New Roman" w:cs="Times New Roman"/>
        </w:rPr>
      </w:pPr>
    </w:p>
    <w:tbl>
      <w:tblPr>
        <w:tblStyle w:val="TableGrid"/>
        <w:tblW w:w="8036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155"/>
        <w:gridCol w:w="3881"/>
      </w:tblGrid>
      <w:tr w:rsidR="007B1638">
        <w:trPr>
          <w:trHeight w:val="370"/>
        </w:trPr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</w:tcPr>
          <w:p w:rsidR="007B1638" w:rsidRDefault="002F57E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V </w:t>
            </w:r>
            <w:r w:rsidR="0050072A">
              <w:rPr>
                <w:rFonts w:ascii="Times New Roman" w:eastAsia="Times New Roman" w:hAnsi="Times New Roman" w:cs="Times New Roman"/>
              </w:rPr>
              <w:t>Hluboké nad Vltavou dne …9. 10.25.</w:t>
            </w:r>
            <w:r w:rsidR="0090601B">
              <w:rPr>
                <w:rFonts w:ascii="Times New Roman" w:eastAsia="Times New Roman" w:hAnsi="Times New Roman" w:cs="Times New Roman"/>
              </w:rPr>
              <w:t>.</w:t>
            </w:r>
            <w:bookmarkStart w:id="0" w:name="_GoBack"/>
            <w:bookmarkEnd w:id="0"/>
          </w:p>
        </w:tc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</w:tcPr>
          <w:p w:rsidR="007B1638" w:rsidRDefault="0050072A" w:rsidP="0050072A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V Trhových Svinech </w:t>
            </w:r>
            <w:r w:rsidR="002F57ED">
              <w:rPr>
                <w:rFonts w:ascii="Times New Roman" w:eastAsia="Times New Roman" w:hAnsi="Times New Roman" w:cs="Times New Roman"/>
              </w:rPr>
              <w:t>dne</w:t>
            </w:r>
            <w:r>
              <w:rPr>
                <w:rFonts w:ascii="Times New Roman" w:eastAsia="Times New Roman" w:hAnsi="Times New Roman" w:cs="Times New Roman"/>
              </w:rPr>
              <w:t>..</w:t>
            </w:r>
            <w:r w:rsidR="002F57ED">
              <w:rPr>
                <w:rFonts w:ascii="Times New Roman" w:eastAsia="Times New Roman" w:hAnsi="Times New Roman" w:cs="Times New Roman"/>
              </w:rPr>
              <w:t xml:space="preserve"> </w:t>
            </w:r>
            <w:r w:rsidRPr="0050072A">
              <w:rPr>
                <w:rFonts w:ascii="Times New Roman" w:eastAsia="Times New Roman" w:hAnsi="Times New Roman" w:cs="Times New Roman"/>
              </w:rPr>
              <w:t>14.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0072A">
              <w:rPr>
                <w:rFonts w:ascii="Times New Roman" w:eastAsia="Times New Roman" w:hAnsi="Times New Roman" w:cs="Times New Roman"/>
              </w:rPr>
              <w:t>10.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0072A">
              <w:rPr>
                <w:rFonts w:ascii="Times New Roman" w:eastAsia="Times New Roman" w:hAnsi="Times New Roman" w:cs="Times New Roman"/>
              </w:rPr>
              <w:t>25</w:t>
            </w:r>
            <w:r>
              <w:rPr>
                <w:rFonts w:ascii="Times New Roman" w:eastAsia="Times New Roman" w:hAnsi="Times New Roman" w:cs="Times New Roman"/>
              </w:rPr>
              <w:t>….</w:t>
            </w:r>
          </w:p>
        </w:tc>
      </w:tr>
      <w:tr w:rsidR="007B1638">
        <w:trPr>
          <w:trHeight w:val="1040"/>
        </w:trPr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</w:tcPr>
          <w:p w:rsidR="007B1638" w:rsidRDefault="002F57E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objednatel</w:t>
            </w: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</w:tcPr>
          <w:p w:rsidR="007B1638" w:rsidRDefault="002F57ED" w:rsidP="0050072A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zhotovitel:</w:t>
            </w:r>
          </w:p>
        </w:tc>
      </w:tr>
      <w:tr w:rsidR="007B1638">
        <w:trPr>
          <w:trHeight w:val="910"/>
        </w:trPr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1638" w:rsidRDefault="002F57E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……………………………………</w:t>
            </w: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1638" w:rsidRDefault="002F57ED" w:rsidP="0050072A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……………………………………</w:t>
            </w:r>
          </w:p>
        </w:tc>
      </w:tr>
      <w:tr w:rsidR="007B1638">
        <w:trPr>
          <w:trHeight w:val="500"/>
        </w:trPr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</w:tcPr>
          <w:p w:rsidR="007B1638" w:rsidRDefault="0050072A" w:rsidP="0050072A">
            <w:pPr>
              <w:spacing w:after="0"/>
              <w:ind w:right="2018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Mgr. Aleš </w:t>
            </w:r>
            <w:r w:rsidR="002F57ED">
              <w:rPr>
                <w:rFonts w:ascii="Times New Roman" w:eastAsia="Times New Roman" w:hAnsi="Times New Roman" w:cs="Times New Roman"/>
                <w:b/>
              </w:rPr>
              <w:t xml:space="preserve">Seifert </w:t>
            </w:r>
            <w:r w:rsidR="002F57ED">
              <w:rPr>
                <w:rFonts w:ascii="Times New Roman" w:eastAsia="Times New Roman" w:hAnsi="Times New Roman" w:cs="Times New Roman"/>
              </w:rPr>
              <w:t>ředitel AJG</w:t>
            </w: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</w:tcPr>
          <w:p w:rsidR="007B1638" w:rsidRDefault="0050072A" w:rsidP="0050072A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xxxx</w:t>
            </w:r>
            <w:proofErr w:type="spellEnd"/>
          </w:p>
        </w:tc>
      </w:tr>
    </w:tbl>
    <w:p w:rsidR="002F57ED" w:rsidRDefault="002F57ED"/>
    <w:sectPr w:rsidR="002F57ED">
      <w:footerReference w:type="default" r:id="rId8"/>
      <w:pgSz w:w="11906" w:h="16838"/>
      <w:pgMar w:top="1441" w:right="1368" w:bottom="1911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57ED" w:rsidRDefault="002F57ED" w:rsidP="00146D68">
      <w:pPr>
        <w:spacing w:after="0" w:line="240" w:lineRule="auto"/>
      </w:pPr>
      <w:r>
        <w:separator/>
      </w:r>
    </w:p>
  </w:endnote>
  <w:endnote w:type="continuationSeparator" w:id="0">
    <w:p w:rsidR="002F57ED" w:rsidRDefault="002F57ED" w:rsidP="00146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74038624"/>
      <w:docPartObj>
        <w:docPartGallery w:val="Page Numbers (Bottom of Page)"/>
        <w:docPartUnique/>
      </w:docPartObj>
    </w:sdtPr>
    <w:sdtContent>
      <w:p w:rsidR="00146D68" w:rsidRDefault="00146D6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601B">
          <w:rPr>
            <w:noProof/>
          </w:rPr>
          <w:t>2</w:t>
        </w:r>
        <w:r>
          <w:fldChar w:fldCharType="end"/>
        </w:r>
      </w:p>
    </w:sdtContent>
  </w:sdt>
  <w:p w:rsidR="00146D68" w:rsidRDefault="00146D6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57ED" w:rsidRDefault="002F57ED" w:rsidP="00146D68">
      <w:pPr>
        <w:spacing w:after="0" w:line="240" w:lineRule="auto"/>
      </w:pPr>
      <w:r>
        <w:separator/>
      </w:r>
    </w:p>
  </w:footnote>
  <w:footnote w:type="continuationSeparator" w:id="0">
    <w:p w:rsidR="002F57ED" w:rsidRDefault="002F57ED" w:rsidP="00146D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5C568B"/>
    <w:multiLevelType w:val="hybridMultilevel"/>
    <w:tmpl w:val="6FB4EEBE"/>
    <w:lvl w:ilvl="0" w:tplc="DF48618A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2778EB"/>
    <w:multiLevelType w:val="hybridMultilevel"/>
    <w:tmpl w:val="2D7C7822"/>
    <w:lvl w:ilvl="0" w:tplc="2FC4F616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D6608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B6D66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7CF83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36C6A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8036B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D84BF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26EFB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321ED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E334835"/>
    <w:multiLevelType w:val="hybridMultilevel"/>
    <w:tmpl w:val="7D943120"/>
    <w:lvl w:ilvl="0" w:tplc="D270C66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638"/>
    <w:rsid w:val="00146D68"/>
    <w:rsid w:val="002F57ED"/>
    <w:rsid w:val="0050072A"/>
    <w:rsid w:val="00700E2A"/>
    <w:rsid w:val="007B1638"/>
    <w:rsid w:val="00827F9B"/>
    <w:rsid w:val="0090601B"/>
    <w:rsid w:val="009977FD"/>
    <w:rsid w:val="00B80A36"/>
    <w:rsid w:val="00E86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F1817"/>
  <w15:docId w15:val="{BBE3D518-1ACC-4D37-A6CD-BEB7CF913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34"/>
    <w:qFormat/>
    <w:rsid w:val="00E86CE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86C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6CEE"/>
    <w:rPr>
      <w:rFonts w:ascii="Segoe UI" w:eastAsia="Calibri" w:hAnsi="Segoe UI" w:cs="Segoe UI"/>
      <w:color w:val="00000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46D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46D68"/>
    <w:rPr>
      <w:rFonts w:ascii="Calibri" w:eastAsia="Calibri" w:hAnsi="Calibri" w:cs="Calibri"/>
      <w:color w:val="000000"/>
    </w:rPr>
  </w:style>
  <w:style w:type="paragraph" w:styleId="Zpat">
    <w:name w:val="footer"/>
    <w:basedOn w:val="Normln"/>
    <w:link w:val="ZpatChar"/>
    <w:uiPriority w:val="99"/>
    <w:unhideWhenUsed/>
    <w:rsid w:val="00146D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46D68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44186C-FBA6-4048-AC77-1A13F4EF1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238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muskova</dc:creator>
  <cp:keywords/>
  <cp:lastModifiedBy>muskova</cp:lastModifiedBy>
  <cp:revision>2</cp:revision>
  <cp:lastPrinted>2025-10-16T11:59:00Z</cp:lastPrinted>
  <dcterms:created xsi:type="dcterms:W3CDTF">2025-10-16T12:06:00Z</dcterms:created>
  <dcterms:modified xsi:type="dcterms:W3CDTF">2025-10-16T12:06:00Z</dcterms:modified>
</cp:coreProperties>
</file>