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Dodatek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č.1</w:t>
      </w:r>
      <w:bookmarkEnd w:id="0"/>
      <w:bookmarkEnd w:id="1"/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 č. 1338 / 2024</w:t>
      </w:r>
      <w:bookmarkEnd w:id="3"/>
      <w:bookmarkEnd w:id="4"/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uzavřená podle § 2302 a násl. z. č. 89/2012 Sb. občanský zákoník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center"/>
      </w:pPr>
      <w:bookmarkStart w:id="6" w:name="bookmark6"/>
      <w:bookmarkEnd w:id="6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Povodí Ohře, státní podnik,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 ve věcech smluvních: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54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v obchodním rejstříku u Krajského soudu v Ústí nad Labem, oddíl A, vložka 13052, (dále jen ,, pronajímatel “)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Nájemce:</w:t>
        <w:tab/>
      </w:r>
      <w:r>
        <w:rPr>
          <w:rFonts w:ascii="Times New Roman" w:eastAsia="Times New Roman" w:hAnsi="Times New Roman" w:cs="Times New Roman"/>
          <w:color w:val="333333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SOYKA STYLE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Spořická 4949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430 01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astoupená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6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jednatelem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věcech smluvních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 dtto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545" w:val="left"/>
        </w:tabs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27271064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 Zapsaná v OR u KS v Ústí nad Labem, oddíl C, vložka 21725 ( dále jen ,, nájemce “ 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základě snížení množství odebraného plynu v areálu Povodí Ohře, státní podnik, Spořická 4949 (za několik posledních fakturačních období) byla provedena ze strany dodavatele plynu změna z velkoodběru na maloodběr. Tím dochází pro pronajímatele i ke změně ve fakturaci, z měsíční na roční. Z tohoto důvodu se dodatkem č. 1 mění s účinností od 1.11.2025 tento článek smlouvy: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V. Cena nájmu, splatnost nájemného a ceny služeb</w:t>
      </w:r>
      <w:bookmarkEnd w:id="7"/>
      <w:bookmarkEnd w:id="8"/>
      <w:bookmarkEnd w:id="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spotřebu plynu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průběhu kalendářního roku bude pronajímatel vystavovat nájemci zálohové faktury na spotřebovaný plyn ve výši 12 000 Kč/měsíc bez DPH. Nejpozději do 14 dnů od obdržení vyúčtování od poskytovatele dodávek plynu, provede pronajímatel vyúčtování záloh podle skutečné výše spotřeby plynu (dle poměru pronajatých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) odečtené pronajímatelem na instalovaném podružném plynoměru v Provozní budově a v Hale 2.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ostatních bodech se článek V. Cena nájmu, splatnost nájemného a ceny služeb nemění.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ostatních článcích se smlouva nemění.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  <w:bookmarkEnd w:id="10"/>
      <w:bookmarkEnd w:id="11"/>
      <w:bookmarkEnd w:id="12"/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line="240" w:lineRule="auto"/>
        <w:ind w:left="440" w:right="0" w:hanging="440"/>
        <w:jc w:val="both"/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vypracován ve čtyřech vyhotoveních, z nichž každý z účastníků obdrží dvě vyhotovení.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line="240" w:lineRule="auto"/>
        <w:ind w:left="440" w:right="0" w:hanging="440"/>
        <w:jc w:val="both"/>
      </w:pPr>
      <w:bookmarkStart w:id="14" w:name="bookmark14"/>
      <w:bookmarkEnd w:id="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nabývá platnosti dnem jeho podpisu poslední ze smluvních stran a účinnosti zveřejněním v Registru smluv, pokud této účinnosti dle příslušných ustanovení dodatku nenabude později.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line="240" w:lineRule="auto"/>
        <w:ind w:left="0" w:right="0" w:firstLine="0"/>
        <w:jc w:val="both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nepovažují žádné ustanovení dodatku za obchodní tajemství.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after="1600" w:line="240" w:lineRule="auto"/>
        <w:ind w:left="440" w:right="0" w:hanging="440"/>
        <w:jc w:val="both"/>
      </w:pPr>
      <w:bookmarkStart w:id="16" w:name="bookmark16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tento dodatek odpovídá jejich pravé a svobodné vůli, seznámily se s jeho obsahem a na důkaz svého souhlasu ho podepisují.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104" w:left="1107" w:right="1267" w:bottom="1262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10082530</wp:posOffset>
              </wp:positionV>
              <wp:extent cx="60960" cy="1708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1.05000000000001pt;margin-top:793.89999999999998pt;width:4.7999999999999998pt;height:13.4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4434205</wp:posOffset>
              </wp:positionH>
              <wp:positionV relativeFrom="page">
                <wp:posOffset>435610</wp:posOffset>
              </wp:positionV>
              <wp:extent cx="2273935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7393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č.1 k nájemní smlouvě č.1338/2024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9.15000000000003pt;margin-top:34.300000000000004pt;width:179.05000000000001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č.1 k nájemní smlouvě č.1338/2024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DefaultParagraphFont"/>
    <w:link w:val="Style15"/>
    <w:rPr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  <w:outlineLvl w:val="0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228" w:lineRule="auto"/>
      <w:jc w:val="center"/>
      <w:outlineLvl w:val="1"/>
    </w:pPr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2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20"/>
      <w:outlineLvl w:val="2"/>
    </w:pPr>
    <w:rPr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