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:rsidRPr="00533179" w14:paraId="2C0D06B9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194C286" w14:textId="253EE812" w:rsidR="0098229D" w:rsidRPr="00533179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43"/>
                <w:szCs w:val="43"/>
              </w:rPr>
            </w:pPr>
            <w:r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 w:rsidR="00EF5B87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BJEDNÁVKA č. </w:t>
            </w:r>
            <w:r w:rsidR="00433A2A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>OBJ-202</w:t>
            </w:r>
            <w:r w:rsidR="00EE170E">
              <w:rPr>
                <w:rFonts w:cs="Georgia"/>
                <w:b/>
                <w:bCs/>
                <w:color w:val="000000"/>
                <w:sz w:val="43"/>
                <w:szCs w:val="43"/>
              </w:rPr>
              <w:t>5</w:t>
            </w:r>
            <w:r w:rsidR="00433A2A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>-</w:t>
            </w:r>
            <w:r w:rsidR="007B470C">
              <w:rPr>
                <w:rFonts w:cs="Georgia"/>
                <w:b/>
                <w:bCs/>
                <w:color w:val="000000"/>
                <w:sz w:val="43"/>
                <w:szCs w:val="43"/>
              </w:rPr>
              <w:t>299</w:t>
            </w:r>
          </w:p>
          <w:p w14:paraId="2F732358" w14:textId="73D32659" w:rsidR="00445B8D" w:rsidRPr="00533179" w:rsidRDefault="00445B8D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33179">
              <w:rPr>
                <w:rFonts w:cs="Georgia"/>
                <w:color w:val="000000"/>
                <w:sz w:val="20"/>
                <w:szCs w:val="20"/>
              </w:rPr>
              <w:t xml:space="preserve">Číslo jednací: </w:t>
            </w:r>
            <w:r w:rsidR="00600F39" w:rsidRPr="00600F39">
              <w:rPr>
                <w:rFonts w:cs="Georgia"/>
                <w:color w:val="000000"/>
                <w:sz w:val="20"/>
                <w:szCs w:val="20"/>
              </w:rPr>
              <w:t>ŘVC/58/2021/OSE-27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533179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533179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170E" w:rsidRPr="00533179" w14:paraId="0E225351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EE170E" w:rsidRPr="00533179" w:rsidRDefault="00EE170E" w:rsidP="00EE1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EE170E" w:rsidRPr="00533179" w:rsidRDefault="00EE170E" w:rsidP="00EE1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33179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012916BF" w:rsidR="00EE170E" w:rsidRPr="00533179" w:rsidRDefault="00EE170E" w:rsidP="00EE1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14D01DDF" w:rsidR="00EE170E" w:rsidRPr="00533179" w:rsidRDefault="007B470C" w:rsidP="00EE1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7B470C">
              <w:rPr>
                <w:rFonts w:cs="Georgia"/>
                <w:b/>
                <w:bCs/>
                <w:noProof/>
                <w:color w:val="000000"/>
              </w:rPr>
              <w:t>GEMA s.r.o.</w:t>
            </w:r>
          </w:p>
        </w:tc>
      </w:tr>
      <w:tr w:rsidR="00EE170E" w:rsidRPr="00533179" w14:paraId="400616F4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EE170E" w:rsidRPr="00533179" w:rsidRDefault="00EE170E" w:rsidP="00EE1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33179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EE170E" w:rsidRPr="00533179" w:rsidRDefault="00EE170E" w:rsidP="00EE1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533179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03C4DBB8" w:rsidR="00EE170E" w:rsidRPr="00533179" w:rsidRDefault="00EE170E" w:rsidP="00EE1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1630FEDB" w:rsidR="00EE170E" w:rsidRPr="00533179" w:rsidRDefault="007B470C" w:rsidP="00EE1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7B470C">
              <w:rPr>
                <w:rFonts w:cs="HelveticaNeueLTPro-Cn"/>
              </w:rPr>
              <w:t>Na Tržišti 793,</w:t>
            </w:r>
          </w:p>
        </w:tc>
      </w:tr>
      <w:tr w:rsidR="00EE170E" w:rsidRPr="00533179" w14:paraId="650D2C55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EE170E" w:rsidRPr="00533179" w:rsidRDefault="00EE170E" w:rsidP="00EE1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EE170E" w:rsidRPr="00533179" w:rsidRDefault="00EE170E" w:rsidP="00EE1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533179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EE170E" w:rsidRPr="00533179" w:rsidRDefault="00EE170E" w:rsidP="00EE1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5E19D973" w:rsidR="00EE170E" w:rsidRPr="00533179" w:rsidRDefault="007B470C" w:rsidP="00EE1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7B470C">
              <w:rPr>
                <w:rFonts w:cs="Georgia"/>
                <w:bCs/>
                <w:noProof/>
                <w:color w:val="000000"/>
              </w:rPr>
              <w:t>27351 Unhošť</w:t>
            </w:r>
          </w:p>
        </w:tc>
      </w:tr>
      <w:tr w:rsidR="00EE170E" w:rsidRPr="00533179" w14:paraId="4508AEF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EE170E" w:rsidRPr="00533179" w:rsidRDefault="00EE170E" w:rsidP="00EE1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EE170E" w:rsidRPr="00533179" w:rsidRDefault="00EE170E" w:rsidP="00EE1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533179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34A218B7" w:rsidR="00EE170E" w:rsidRPr="00533179" w:rsidRDefault="00EE170E" w:rsidP="00EE1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43BA60E8" w:rsidR="00EE170E" w:rsidRPr="00533179" w:rsidRDefault="007B470C" w:rsidP="00EE1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7B470C">
              <w:rPr>
                <w:rFonts w:cs="HelveticaNeueLTPro-Cn"/>
              </w:rPr>
              <w:t>47120584</w:t>
            </w:r>
          </w:p>
        </w:tc>
      </w:tr>
      <w:tr w:rsidR="00EE170E" w:rsidRPr="00533179" w14:paraId="3867A745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EE170E" w:rsidRPr="00533179" w:rsidRDefault="00EE170E" w:rsidP="00EE1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EE170E" w:rsidRPr="00533179" w:rsidRDefault="00EE170E" w:rsidP="00EE1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CZ67981801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24791907" w:rsidR="00EE170E" w:rsidRPr="00533179" w:rsidRDefault="00EE170E" w:rsidP="00EE1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5FC9DC2B" w:rsidR="00EE170E" w:rsidRPr="00533179" w:rsidRDefault="00EE170E" w:rsidP="00EE1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725137">
              <w:rPr>
                <w:rFonts w:cs="HelveticaNeueLTPro-Cn"/>
              </w:rPr>
              <w:t>CZ</w:t>
            </w:r>
            <w:r w:rsidR="007B470C" w:rsidRPr="007B470C">
              <w:rPr>
                <w:rFonts w:cs="HelveticaNeueLTPro-Cn"/>
              </w:rPr>
              <w:t>47120584</w:t>
            </w:r>
          </w:p>
        </w:tc>
      </w:tr>
      <w:tr w:rsidR="00EE170E" w:rsidRPr="00533179" w14:paraId="5A4BFDC1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EE170E" w:rsidRPr="00533179" w:rsidRDefault="00EE170E" w:rsidP="00EE1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1D04D21B" w:rsidR="00EE170E" w:rsidRPr="00533179" w:rsidRDefault="007B470C" w:rsidP="00EE1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Je</w:t>
            </w:r>
            <w:r w:rsidR="00EE170E" w:rsidRPr="00533179">
              <w:rPr>
                <w:rFonts w:cs="Georgia"/>
                <w:b/>
                <w:bCs/>
                <w:color w:val="000000"/>
              </w:rPr>
              <w:t xml:space="preserve"> plátce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EE170E" w:rsidRPr="00533179" w:rsidRDefault="00EE170E" w:rsidP="00EE1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D27C8B7" w14:textId="0665D821" w:rsidR="00EE170E" w:rsidRPr="00533179" w:rsidRDefault="00EE170E" w:rsidP="00EE1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42669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átce DPH"/>
                    <w:listEntry w:val="Není plátce DPH"/>
                  </w:ddList>
                </w:ffData>
              </w:fldChar>
            </w:r>
            <w:r w:rsidRPr="00426695">
              <w:rPr>
                <w:rFonts w:cs="Arial"/>
              </w:rPr>
              <w:instrText xml:space="preserve"> FORMDROPDOWN </w:instrText>
            </w:r>
            <w:r w:rsidRPr="00426695">
              <w:rPr>
                <w:rFonts w:cs="Arial"/>
              </w:rPr>
            </w:r>
            <w:r w:rsidRPr="00426695">
              <w:rPr>
                <w:rFonts w:cs="Arial"/>
              </w:rPr>
              <w:fldChar w:fldCharType="separate"/>
            </w:r>
            <w:r w:rsidRPr="00426695">
              <w:rPr>
                <w:rFonts w:cs="Arial"/>
              </w:rPr>
              <w:fldChar w:fldCharType="end"/>
            </w:r>
          </w:p>
        </w:tc>
      </w:tr>
      <w:tr w:rsidR="00EE170E" w:rsidRPr="00533179" w14:paraId="48B76563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EE170E" w:rsidRPr="00533179" w:rsidRDefault="00EE170E" w:rsidP="00EE1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64476280" w:rsidR="00EE170E" w:rsidRPr="00533179" w:rsidRDefault="00DF2317" w:rsidP="00EE1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703D0FD4" w:rsidR="00EE170E" w:rsidRPr="00533179" w:rsidRDefault="00EE170E" w:rsidP="00EE1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768BC216" w:rsidR="00EE170E" w:rsidRPr="00533179" w:rsidRDefault="00DF2317" w:rsidP="00EE1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HelveticaNeueLTPro-Cn"/>
              </w:rPr>
              <w:t>xxxx</w:t>
            </w:r>
            <w:proofErr w:type="spellEnd"/>
            <w:r w:rsidR="00EE170E" w:rsidRPr="008A4599">
              <w:rPr>
                <w:rFonts w:cs="Georgia"/>
              </w:rPr>
              <w:t xml:space="preserve"> </w:t>
            </w:r>
          </w:p>
        </w:tc>
      </w:tr>
      <w:tr w:rsidR="00EE170E" w:rsidRPr="00533179" w14:paraId="192B000C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EE170E" w:rsidRPr="00533179" w:rsidRDefault="00EE170E" w:rsidP="00EE1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BCEB2" w14:textId="2610FED9" w:rsidR="00EE170E" w:rsidRPr="00533179" w:rsidRDefault="00DF2317" w:rsidP="00EE1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586BC14E" w:rsidR="00EE170E" w:rsidRPr="00533179" w:rsidRDefault="00EE170E" w:rsidP="00EE1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4CCCB75B" w:rsidR="00EE170E" w:rsidRPr="00533179" w:rsidRDefault="00DF2317" w:rsidP="00EE1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bCs/>
                <w:noProof/>
                <w:color w:val="000000"/>
              </w:rPr>
              <w:t>xxxx</w:t>
            </w:r>
          </w:p>
        </w:tc>
      </w:tr>
      <w:tr w:rsidR="00EE170E" w:rsidRPr="00533179" w14:paraId="777C17E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EE170E" w:rsidRPr="00533179" w:rsidRDefault="00EE170E" w:rsidP="00EE1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1D9DACC7" w:rsidR="00EE170E" w:rsidRPr="00533179" w:rsidRDefault="00DF2317" w:rsidP="00EE1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7834B5AB" w:rsidR="00EE170E" w:rsidRPr="00533179" w:rsidRDefault="00EE170E" w:rsidP="00EE1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17436F94" w:rsidR="00EE170E" w:rsidRPr="00533179" w:rsidRDefault="00DF2317" w:rsidP="00EE1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Tahoma"/>
              </w:rPr>
              <w:t>xxxx</w:t>
            </w:r>
            <w:proofErr w:type="spellEnd"/>
          </w:p>
        </w:tc>
      </w:tr>
      <w:tr w:rsidR="00EE170E" w:rsidRPr="00533179" w14:paraId="25614343" w14:textId="77777777" w:rsidTr="00670F3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EE170E" w:rsidRPr="00533179" w:rsidRDefault="00EE170E" w:rsidP="00EE1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03250C41" w:rsidR="00EE170E" w:rsidRPr="00533179" w:rsidRDefault="00DF2317" w:rsidP="00EE1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155C558E" w:rsidR="00EE170E" w:rsidRPr="00533179" w:rsidRDefault="00EE170E" w:rsidP="00EE1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1848F882" w:rsidR="00EE170E" w:rsidRPr="00533179" w:rsidRDefault="00DF2317" w:rsidP="00EE1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</w:rPr>
              <w:t>xxxx</w:t>
            </w:r>
            <w:proofErr w:type="spellEnd"/>
          </w:p>
        </w:tc>
      </w:tr>
      <w:tr w:rsidR="00EE170E" w:rsidRPr="00533179" w14:paraId="0ADA6F16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EE170E" w:rsidRPr="00533179" w:rsidRDefault="00EE170E" w:rsidP="00EE170E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lang w:val="cs-CZ" w:eastAsia="cs-CZ"/>
              </w:rPr>
            </w:pPr>
            <w:r w:rsidRPr="00533179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0CBB5C8E" w14:textId="6E6AA6D6" w:rsidR="00EE170E" w:rsidRPr="00533179" w:rsidRDefault="00EE170E" w:rsidP="00EE1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975ABC">
              <w:rPr>
                <w:rFonts w:cs="Georgia"/>
                <w:color w:val="000000"/>
              </w:rPr>
              <w:t xml:space="preserve">Zapsána v obchodním rejstříku spisová značka </w:t>
            </w:r>
            <w:r w:rsidR="007B470C" w:rsidRPr="007B470C">
              <w:rPr>
                <w:rFonts w:cs="Georgia"/>
                <w:color w:val="000000"/>
              </w:rPr>
              <w:t xml:space="preserve">C 13187 </w:t>
            </w:r>
            <w:r w:rsidRPr="00975ABC">
              <w:rPr>
                <w:rFonts w:cs="Georgia"/>
                <w:color w:val="000000"/>
              </w:rPr>
              <w:t xml:space="preserve">vedená u </w:t>
            </w:r>
            <w:r w:rsidR="007B470C" w:rsidRPr="007B470C">
              <w:rPr>
                <w:rFonts w:cs="Georgia"/>
                <w:color w:val="000000"/>
              </w:rPr>
              <w:t>Městského soudu v Praze</w:t>
            </w:r>
          </w:p>
        </w:tc>
      </w:tr>
    </w:tbl>
    <w:p w14:paraId="78E44BA3" w14:textId="77777777" w:rsidR="0098229D" w:rsidRPr="00533179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533179" w14:paraId="70B373D0" w14:textId="77777777" w:rsidTr="00566F6C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6936A70C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533179">
              <w:rPr>
                <w:rFonts w:cs="Georgia"/>
                <w:b/>
                <w:bCs/>
                <w:color w:val="000000"/>
                <w:sz w:val="32"/>
                <w:szCs w:val="32"/>
              </w:rPr>
              <w:t>Objednáváme u Vás:</w:t>
            </w:r>
          </w:p>
        </w:tc>
      </w:tr>
      <w:tr w:rsidR="0098229D" w:rsidRPr="00533179" w14:paraId="297EA611" w14:textId="77777777" w:rsidTr="00566F6C">
        <w:trPr>
          <w:cantSplit/>
          <w:trHeight w:val="1117"/>
        </w:trPr>
        <w:tc>
          <w:tcPr>
            <w:tcW w:w="10495" w:type="dxa"/>
            <w:gridSpan w:val="2"/>
            <w:vAlign w:val="bottom"/>
          </w:tcPr>
          <w:p w14:paraId="6E43470D" w14:textId="367CABD2" w:rsidR="007B470C" w:rsidRDefault="007B470C" w:rsidP="007B470C">
            <w:pPr>
              <w:pStyle w:val="Normlnweb"/>
              <w:rPr>
                <w:rFonts w:cs="Georgia"/>
                <w:sz w:val="24"/>
                <w:szCs w:val="24"/>
              </w:rPr>
            </w:pPr>
            <w:r w:rsidRPr="007B470C">
              <w:rPr>
                <w:rFonts w:cs="Georgia"/>
                <w:sz w:val="24"/>
                <w:szCs w:val="24"/>
              </w:rPr>
              <w:t xml:space="preserve">dodávku jednostranné produktové skříně </w:t>
            </w:r>
            <w:r>
              <w:rPr>
                <w:rFonts w:cs="Georgia"/>
                <w:sz w:val="24"/>
                <w:szCs w:val="24"/>
              </w:rPr>
              <w:t xml:space="preserve">s cenami pohonných hmot </w:t>
            </w:r>
            <w:r w:rsidRPr="007B470C">
              <w:rPr>
                <w:rFonts w:cs="Georgia"/>
                <w:sz w:val="24"/>
                <w:szCs w:val="24"/>
              </w:rPr>
              <w:t>s pěti produkty dle přiloženého náhledu</w:t>
            </w:r>
            <w:r>
              <w:rPr>
                <w:rFonts w:cs="Georgia"/>
                <w:sz w:val="24"/>
                <w:szCs w:val="24"/>
              </w:rPr>
              <w:t xml:space="preserve"> pro servisní plavidlo RVC PRAHA</w:t>
            </w:r>
            <w:r w:rsidRPr="007B470C">
              <w:rPr>
                <w:rFonts w:cs="Georgia"/>
                <w:sz w:val="24"/>
                <w:szCs w:val="24"/>
              </w:rPr>
              <w:t>. Produktová skříň je osazena bílými</w:t>
            </w:r>
            <w:r>
              <w:rPr>
                <w:rFonts w:cs="Georgia"/>
                <w:sz w:val="24"/>
                <w:szCs w:val="24"/>
              </w:rPr>
              <w:t xml:space="preserve"> </w:t>
            </w:r>
            <w:r w:rsidRPr="007B470C">
              <w:rPr>
                <w:rFonts w:cs="Georgia"/>
                <w:sz w:val="24"/>
                <w:szCs w:val="24"/>
              </w:rPr>
              <w:t>mechanickými zobrazovači. Výška znaků je 17 cm. Zobrazovač na poslední pozici je neměnný.</w:t>
            </w:r>
            <w:r>
              <w:rPr>
                <w:rFonts w:cs="Georgia"/>
                <w:sz w:val="24"/>
                <w:szCs w:val="24"/>
              </w:rPr>
              <w:t xml:space="preserve"> </w:t>
            </w:r>
            <w:r w:rsidRPr="007B470C">
              <w:rPr>
                <w:rFonts w:cs="Georgia"/>
                <w:sz w:val="24"/>
                <w:szCs w:val="24"/>
              </w:rPr>
              <w:t>Produktová skříň je osvětlena LED s certifikací ATEX. Ovládání produktové skříně pouze ruční.</w:t>
            </w:r>
            <w:r>
              <w:rPr>
                <w:rFonts w:cs="Georgia"/>
                <w:sz w:val="24"/>
                <w:szCs w:val="24"/>
              </w:rPr>
              <w:t xml:space="preserve"> </w:t>
            </w:r>
            <w:r w:rsidRPr="007B470C">
              <w:rPr>
                <w:rFonts w:cs="Georgia"/>
                <w:sz w:val="24"/>
                <w:szCs w:val="24"/>
              </w:rPr>
              <w:t>Výrobce zajišťuje dopravu produktové skříně i její montáž</w:t>
            </w:r>
            <w:r>
              <w:rPr>
                <w:rFonts w:cs="Georgia"/>
                <w:sz w:val="24"/>
                <w:szCs w:val="24"/>
              </w:rPr>
              <w:t xml:space="preserve"> v loděnici stavby plavidla v Nizozemsku</w:t>
            </w:r>
            <w:r w:rsidRPr="007B470C">
              <w:rPr>
                <w:rFonts w:cs="Georgia"/>
                <w:sz w:val="24"/>
                <w:szCs w:val="24"/>
              </w:rPr>
              <w:t>.</w:t>
            </w:r>
          </w:p>
          <w:p w14:paraId="52412D96" w14:textId="694BE24C" w:rsidR="00566F6C" w:rsidRPr="00533179" w:rsidRDefault="007B470C" w:rsidP="007B470C">
            <w:pPr>
              <w:pStyle w:val="Normlnweb"/>
              <w:spacing w:after="0"/>
              <w:rPr>
                <w:rFonts w:cs="Georgia"/>
                <w:b/>
                <w:bCs/>
                <w:sz w:val="24"/>
                <w:szCs w:val="24"/>
              </w:rPr>
            </w:pPr>
            <w:r>
              <w:rPr>
                <w:rFonts w:cs="Georgia"/>
                <w:sz w:val="24"/>
                <w:szCs w:val="24"/>
              </w:rPr>
              <w:t>Podrobnosti jsou v přiložené nabídce.</w:t>
            </w:r>
          </w:p>
        </w:tc>
      </w:tr>
      <w:tr w:rsidR="0098229D" w:rsidRPr="00533179" w14:paraId="44F37EC5" w14:textId="77777777" w:rsidTr="00566F6C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7AB59418" w14:textId="7D468C92" w:rsidR="00D67FF4" w:rsidRPr="00533179" w:rsidRDefault="00AF7E5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  <w:r w:rsidRPr="00533179">
              <w:rPr>
                <w:rFonts w:cs="Arial"/>
                <w:color w:val="000000"/>
                <w:sz w:val="17"/>
                <w:szCs w:val="17"/>
              </w:rPr>
              <w:t>Dodavatel</w:t>
            </w:r>
            <w:r w:rsidR="00D110F7" w:rsidRPr="0053317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533179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533179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533179">
              <w:rPr>
                <w:rFonts w:cs="Arial"/>
                <w:color w:val="000000"/>
                <w:sz w:val="17"/>
                <w:szCs w:val="17"/>
              </w:rPr>
              <w:t xml:space="preserve">pouze na základě oprávněnou osobou odběratele odsouhlaseného a podepsaného </w:t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předávacího protokolu"/>
                    <w:listEntry w:val="dodacího listu"/>
                  </w:ddList>
                </w:ffData>
              </w:fldChar>
            </w:r>
            <w:r w:rsidR="009A6AA3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="009A6AA3">
              <w:rPr>
                <w:rFonts w:cs="Arial"/>
                <w:color w:val="000000"/>
                <w:sz w:val="17"/>
                <w:szCs w:val="17"/>
              </w:rPr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end"/>
            </w:r>
            <w:r w:rsidRPr="00533179">
              <w:rPr>
                <w:rFonts w:cs="Arial"/>
                <w:color w:val="000000"/>
                <w:sz w:val="17"/>
                <w:szCs w:val="17"/>
              </w:rPr>
              <w:t>. Oprávněnou osobou odběratele pro převzetí předmětu plnění této objednávky</w:t>
            </w:r>
            <w:r w:rsidR="00816AA2" w:rsidRPr="0053317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 w:rsidR="00DF2317">
              <w:rPr>
                <w:rFonts w:cs="Arial"/>
                <w:color w:val="000000"/>
                <w:sz w:val="17"/>
                <w:szCs w:val="17"/>
              </w:rPr>
              <w:t>xxxx</w:t>
            </w:r>
            <w:proofErr w:type="spellEnd"/>
            <w:r w:rsidR="00812F52" w:rsidRPr="00533179">
              <w:rPr>
                <w:rFonts w:cs="Arial"/>
                <w:color w:val="000000"/>
                <w:sz w:val="17"/>
                <w:szCs w:val="17"/>
              </w:rPr>
              <w:t>, vedoucí OSP</w:t>
            </w:r>
          </w:p>
          <w:p w14:paraId="2122CBA1" w14:textId="42135A6D" w:rsidR="00BF1D2A" w:rsidRPr="00C94CE4" w:rsidRDefault="00AF7E54" w:rsidP="00BF1D2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je        </w:t>
            </w:r>
            <w:r w:rsidR="007B470C" w:rsidRPr="007B470C">
              <w:rPr>
                <w:rFonts w:cs="Georgia"/>
                <w:b/>
                <w:color w:val="000000"/>
                <w:sz w:val="24"/>
                <w:szCs w:val="24"/>
              </w:rPr>
              <w:t>123.360</w:t>
            </w:r>
            <w:r w:rsidR="00BF1D2A" w:rsidRPr="004B7C96">
              <w:rPr>
                <w:rFonts w:cs="Georgia"/>
                <w:b/>
                <w:color w:val="000000"/>
                <w:sz w:val="24"/>
                <w:szCs w:val="24"/>
              </w:rPr>
              <w:t>,</w:t>
            </w:r>
            <w:r w:rsidR="00BF1D2A">
              <w:rPr>
                <w:rFonts w:cs="Georgia"/>
                <w:b/>
                <w:color w:val="000000"/>
                <w:sz w:val="24"/>
                <w:szCs w:val="24"/>
              </w:rPr>
              <w:t>00</w:t>
            </w:r>
            <w:r w:rsidR="00BF1D2A" w:rsidRPr="00C94CE4">
              <w:rPr>
                <w:rFonts w:cs="Georgia"/>
                <w:b/>
                <w:color w:val="000000"/>
                <w:sz w:val="24"/>
                <w:szCs w:val="24"/>
              </w:rPr>
              <w:t xml:space="preserve"> Kč bez DPH</w:t>
            </w:r>
            <w:r w:rsidR="007B470C">
              <w:rPr>
                <w:rFonts w:cs="Georgia"/>
                <w:b/>
                <w:color w:val="000000"/>
                <w:sz w:val="24"/>
                <w:szCs w:val="24"/>
              </w:rPr>
              <w:t xml:space="preserve"> a </w:t>
            </w:r>
            <w:r w:rsidR="007B470C" w:rsidRPr="007B470C">
              <w:rPr>
                <w:rFonts w:cs="Georgia"/>
                <w:b/>
                <w:color w:val="000000"/>
                <w:sz w:val="24"/>
                <w:szCs w:val="24"/>
              </w:rPr>
              <w:t>recyklačního příspěvku</w:t>
            </w:r>
          </w:p>
          <w:p w14:paraId="3635A298" w14:textId="13788EBC" w:rsidR="00AF7E54" w:rsidRPr="00533179" w:rsidRDefault="00BF1D2A" w:rsidP="00BF1D2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ab/>
              <w:t xml:space="preserve">           </w:t>
            </w:r>
            <w:r w:rsidR="007B470C" w:rsidRPr="007B470C">
              <w:rPr>
                <w:rFonts w:cs="Georgia"/>
                <w:b/>
                <w:color w:val="000000"/>
                <w:sz w:val="24"/>
                <w:szCs w:val="24"/>
              </w:rPr>
              <w:t>149</w:t>
            </w:r>
            <w:r w:rsidR="007B470C">
              <w:rPr>
                <w:rFonts w:cs="Georgia"/>
                <w:b/>
                <w:color w:val="000000"/>
                <w:sz w:val="24"/>
                <w:szCs w:val="24"/>
              </w:rPr>
              <w:t>.</w:t>
            </w:r>
            <w:r w:rsidR="007B470C" w:rsidRPr="007B470C">
              <w:rPr>
                <w:rFonts w:cs="Georgia"/>
                <w:b/>
                <w:color w:val="000000"/>
                <w:sz w:val="24"/>
                <w:szCs w:val="24"/>
              </w:rPr>
              <w:t>265,6</w:t>
            </w:r>
            <w:r w:rsidR="00AF2123">
              <w:rPr>
                <w:rFonts w:cs="Georgia"/>
                <w:b/>
                <w:color w:val="000000"/>
                <w:sz w:val="24"/>
                <w:szCs w:val="24"/>
              </w:rPr>
              <w:t>0</w:t>
            </w:r>
            <w:r>
              <w:rPr>
                <w:rFonts w:cs="Georgia"/>
                <w:b/>
                <w:color w:val="000000"/>
                <w:sz w:val="24"/>
                <w:szCs w:val="24"/>
              </w:rPr>
              <w:t xml:space="preserve"> Kč </w:t>
            </w: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>vč. DPH</w:t>
            </w:r>
          </w:p>
          <w:p w14:paraId="42AB694D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98229D" w:rsidRPr="00533179" w14:paraId="3B4F6C7E" w14:textId="77777777" w:rsidTr="00566F6C">
        <w:trPr>
          <w:cantSplit/>
          <w:trHeight w:val="256"/>
        </w:trPr>
        <w:tc>
          <w:tcPr>
            <w:tcW w:w="2413" w:type="dxa"/>
          </w:tcPr>
          <w:p w14:paraId="4C533690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Platební podmínky:</w:t>
            </w:r>
          </w:p>
        </w:tc>
        <w:tc>
          <w:tcPr>
            <w:tcW w:w="8082" w:type="dxa"/>
          </w:tcPr>
          <w:p w14:paraId="2F611AD7" w14:textId="77777777" w:rsidR="0098229D" w:rsidRPr="00533179" w:rsidRDefault="00AC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řevodem"/>
                    <w:listEntry w:val="hotově"/>
                  </w:ddList>
                </w:ffData>
              </w:fldChar>
            </w:r>
            <w:r w:rsidRPr="00533179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Pr="00533179">
              <w:rPr>
                <w:rFonts w:cs="Arial"/>
                <w:color w:val="000000"/>
                <w:sz w:val="17"/>
                <w:szCs w:val="17"/>
              </w:rPr>
            </w: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end"/>
            </w:r>
          </w:p>
        </w:tc>
      </w:tr>
      <w:tr w:rsidR="0098229D" w:rsidRPr="00533179" w14:paraId="2DF7CFDD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7101F510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7323581A" w14:textId="5A4037F6" w:rsidR="0098229D" w:rsidRPr="00533179" w:rsidRDefault="007B470C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Do 6 týdnů od objednání</w:t>
            </w:r>
          </w:p>
        </w:tc>
      </w:tr>
      <w:tr w:rsidR="0098229D" w:rsidRPr="00533179" w14:paraId="686D046C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16EE12DA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Datum vystavení:</w:t>
            </w:r>
          </w:p>
        </w:tc>
        <w:tc>
          <w:tcPr>
            <w:tcW w:w="8082" w:type="dxa"/>
            <w:vAlign w:val="bottom"/>
          </w:tcPr>
          <w:p w14:paraId="4655E633" w14:textId="04058867" w:rsidR="0098229D" w:rsidRPr="00533179" w:rsidRDefault="00AF2123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1</w:t>
            </w:r>
            <w:r w:rsidR="007B470C">
              <w:rPr>
                <w:rFonts w:cs="Georgia"/>
                <w:color w:val="000000"/>
                <w:sz w:val="21"/>
                <w:szCs w:val="21"/>
              </w:rPr>
              <w:t>3</w:t>
            </w:r>
            <w:r w:rsidR="0072026A">
              <w:rPr>
                <w:rFonts w:cs="Georgia"/>
                <w:color w:val="000000"/>
                <w:sz w:val="21"/>
                <w:szCs w:val="21"/>
              </w:rPr>
              <w:t>.</w:t>
            </w:r>
            <w:r w:rsidR="007B470C">
              <w:rPr>
                <w:rFonts w:cs="Georgia"/>
                <w:color w:val="000000"/>
                <w:sz w:val="21"/>
                <w:szCs w:val="21"/>
              </w:rPr>
              <w:t>10</w:t>
            </w:r>
            <w:r w:rsidR="0072026A">
              <w:rPr>
                <w:rFonts w:cs="Georgia"/>
                <w:color w:val="000000"/>
                <w:sz w:val="21"/>
                <w:szCs w:val="21"/>
              </w:rPr>
              <w:t>.202</w:t>
            </w:r>
            <w:r w:rsidR="00EE170E">
              <w:rPr>
                <w:rFonts w:cs="Georgia"/>
                <w:color w:val="000000"/>
                <w:sz w:val="21"/>
                <w:szCs w:val="21"/>
              </w:rPr>
              <w:t>5</w:t>
            </w:r>
          </w:p>
        </w:tc>
      </w:tr>
      <w:tr w:rsidR="0098229D" w:rsidRPr="00533179" w14:paraId="4DD8B3F1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394F9188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Záruční podmínky:</w:t>
            </w:r>
          </w:p>
        </w:tc>
        <w:tc>
          <w:tcPr>
            <w:tcW w:w="8082" w:type="dxa"/>
            <w:vAlign w:val="bottom"/>
          </w:tcPr>
          <w:p w14:paraId="3C8ED045" w14:textId="77777777" w:rsidR="0098229D" w:rsidRPr="00533179" w:rsidRDefault="0098229D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</w:p>
        </w:tc>
      </w:tr>
    </w:tbl>
    <w:p w14:paraId="0D7C0C54" w14:textId="77777777" w:rsidR="00566F6C" w:rsidRPr="00533179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</w:p>
    <w:p w14:paraId="6BE0019B" w14:textId="447D90AB" w:rsidR="00A76ED6" w:rsidRDefault="00566F6C" w:rsidP="00BF1D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533179">
        <w:rPr>
          <w:rFonts w:cs="Calibri"/>
          <w:b/>
          <w:bCs/>
        </w:rPr>
        <w:t>Plnění bude financováno z</w:t>
      </w:r>
      <w:r w:rsidRPr="00EE5BD1">
        <w:rPr>
          <w:rFonts w:cs="Calibri"/>
          <w:b/>
          <w:bCs/>
        </w:rPr>
        <w:t xml:space="preserve">: </w:t>
      </w:r>
      <w:r w:rsidR="00975ABC" w:rsidRPr="002A181A">
        <w:rPr>
          <w:rFonts w:cs="Calibri"/>
        </w:rPr>
        <w:t>SFDI</w:t>
      </w:r>
      <w:r w:rsidR="00975ABC">
        <w:rPr>
          <w:rFonts w:cs="Calibri"/>
        </w:rPr>
        <w:t xml:space="preserve"> </w:t>
      </w:r>
      <w:r w:rsidR="00A76ED6">
        <w:rPr>
          <w:rFonts w:cs="Calibri"/>
        </w:rPr>
        <w:t>–</w:t>
      </w:r>
      <w:r w:rsidR="00975ABC">
        <w:rPr>
          <w:rFonts w:cs="Calibri"/>
        </w:rPr>
        <w:t xml:space="preserve"> </w:t>
      </w:r>
      <w:r w:rsidR="00A76ED6" w:rsidRPr="00190DCE">
        <w:rPr>
          <w:rFonts w:cs="Calibri"/>
        </w:rPr>
        <w:t>projekt</w:t>
      </w:r>
      <w:r w:rsidR="00A76ED6" w:rsidRPr="00A76ED6">
        <w:rPr>
          <w:rFonts w:cs="Calibri"/>
        </w:rPr>
        <w:t xml:space="preserve"> </w:t>
      </w:r>
      <w:r w:rsidR="007B470C" w:rsidRPr="007B470C">
        <w:rPr>
          <w:rFonts w:cs="Georgia"/>
          <w:sz w:val="24"/>
          <w:szCs w:val="24"/>
        </w:rPr>
        <w:t>5005510040</w:t>
      </w:r>
      <w:r w:rsidR="00AF2123" w:rsidRPr="00AF2123">
        <w:rPr>
          <w:rFonts w:cs="Georgia"/>
          <w:sz w:val="24"/>
          <w:szCs w:val="24"/>
        </w:rPr>
        <w:t xml:space="preserve"> </w:t>
      </w:r>
      <w:r w:rsidR="00AF2123">
        <w:rPr>
          <w:rFonts w:cs="Georgia"/>
          <w:sz w:val="24"/>
          <w:szCs w:val="24"/>
        </w:rPr>
        <w:t>„</w:t>
      </w:r>
      <w:r w:rsidR="007B470C" w:rsidRPr="007B470C">
        <w:rPr>
          <w:rFonts w:cs="Georgia"/>
          <w:sz w:val="24"/>
          <w:szCs w:val="24"/>
        </w:rPr>
        <w:t>Servisní plavidla Praha, Slapy, Orlík</w:t>
      </w:r>
      <w:r w:rsidR="00AF2123">
        <w:rPr>
          <w:rFonts w:cs="Georgia"/>
          <w:sz w:val="24"/>
          <w:szCs w:val="24"/>
        </w:rPr>
        <w:t>“</w:t>
      </w:r>
    </w:p>
    <w:p w14:paraId="56C40D0D" w14:textId="19B281D0" w:rsidR="0098229D" w:rsidRPr="00533179" w:rsidRDefault="00566F6C" w:rsidP="00BF1D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color w:val="000000"/>
          <w:sz w:val="17"/>
          <w:szCs w:val="17"/>
        </w:rPr>
      </w:pPr>
      <w:r w:rsidRPr="00533179">
        <w:rPr>
          <w:rFonts w:cs="Calibri"/>
          <w:b/>
          <w:bCs/>
        </w:rPr>
        <w:t xml:space="preserve">Plnění </w:t>
      </w:r>
      <w:r w:rsidR="007B470C">
        <w:rPr>
          <w:rFonts w:cs="Calibri"/>
          <w:b/>
          <w:bCs/>
        </w:rPr>
        <w:t>je</w:t>
      </w:r>
      <w:r w:rsidRPr="00533179">
        <w:rPr>
          <w:rFonts w:cs="Calibri"/>
          <w:b/>
          <w:bCs/>
        </w:rPr>
        <w:t xml:space="preserve"> pro ekonomickou činnost ŘVC ČR</w:t>
      </w:r>
    </w:p>
    <w:p w14:paraId="3A359958" w14:textId="77777777" w:rsidR="0098229D" w:rsidRPr="00533179" w:rsidRDefault="0098229D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354894D8" w14:textId="77777777" w:rsidR="00670F35" w:rsidRPr="00533179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3C82EE12" w14:textId="77777777" w:rsidR="00670F35" w:rsidRPr="00533179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05F40CF2" w14:textId="77777777" w:rsidR="00083B76" w:rsidRPr="00533179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533179">
        <w:rPr>
          <w:b/>
          <w:bCs/>
        </w:rPr>
        <w:t>Vystavil</w:t>
      </w:r>
      <w:r w:rsidR="00670F35" w:rsidRPr="00533179">
        <w:rPr>
          <w:b/>
          <w:bCs/>
        </w:rPr>
        <w:t xml:space="preserve">: </w:t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  <w:r w:rsidR="00D11E48" w:rsidRPr="00533179">
        <w:rPr>
          <w:b/>
          <w:bCs/>
        </w:rPr>
        <w:t>Schvaluje:</w:t>
      </w:r>
      <w:r w:rsidR="00D11E48" w:rsidRPr="00533179">
        <w:t xml:space="preserve"> </w:t>
      </w:r>
      <w:r w:rsidR="00670F35" w:rsidRPr="00533179">
        <w:tab/>
      </w:r>
    </w:p>
    <w:p w14:paraId="7EA162AC" w14:textId="5F2D2183" w:rsidR="00083B76" w:rsidRPr="00533179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533179">
        <w:tab/>
      </w:r>
      <w:proofErr w:type="spellStart"/>
      <w:r w:rsidR="00DF2317">
        <w:rPr>
          <w:b/>
          <w:bCs/>
        </w:rPr>
        <w:t>xxxx</w:t>
      </w:r>
      <w:proofErr w:type="spellEnd"/>
      <w:r w:rsidRPr="00533179">
        <w:rPr>
          <w:b/>
          <w:bCs/>
        </w:rPr>
        <w:tab/>
      </w:r>
      <w:r w:rsidR="00D11E48" w:rsidRPr="00533179">
        <w:rPr>
          <w:b/>
          <w:bCs/>
        </w:rPr>
        <w:t>Ing. Lubomír Fojtů</w:t>
      </w:r>
    </w:p>
    <w:p w14:paraId="10535A9F" w14:textId="79A57C64" w:rsidR="00670F35" w:rsidRPr="00533179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533179">
        <w:rPr>
          <w:b/>
          <w:bCs/>
        </w:rPr>
        <w:tab/>
      </w:r>
      <w:r w:rsidR="00812F52" w:rsidRPr="00533179">
        <w:rPr>
          <w:b/>
          <w:bCs/>
        </w:rPr>
        <w:t>OSP</w:t>
      </w:r>
      <w:r w:rsidRPr="00533179">
        <w:rPr>
          <w:b/>
          <w:bCs/>
        </w:rPr>
        <w:tab/>
        <w:t>ředitel ŘVC ČR</w:t>
      </w:r>
    </w:p>
    <w:p w14:paraId="68C83C3C" w14:textId="77777777" w:rsidR="00083B76" w:rsidRPr="00533179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533179">
        <w:rPr>
          <w:b/>
          <w:bCs/>
        </w:rPr>
        <w:t>Souhlasí</w:t>
      </w:r>
      <w:r w:rsidR="00670F35" w:rsidRPr="00533179">
        <w:rPr>
          <w:b/>
          <w:bCs/>
        </w:rPr>
        <w:t>:</w:t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</w:p>
    <w:p w14:paraId="64BBA5A8" w14:textId="237E99FE" w:rsidR="00D11E48" w:rsidRPr="00533179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 w:rsidRPr="00533179">
        <w:rPr>
          <w:b/>
          <w:bCs/>
        </w:rPr>
        <w:tab/>
      </w:r>
      <w:proofErr w:type="spellStart"/>
      <w:r w:rsidR="00DF2317">
        <w:rPr>
          <w:b/>
          <w:bCs/>
        </w:rPr>
        <w:t>xxxx</w:t>
      </w:r>
      <w:proofErr w:type="spellEnd"/>
    </w:p>
    <w:p w14:paraId="278A35C4" w14:textId="11406B53" w:rsidR="00EE5BD1" w:rsidRDefault="00670F35" w:rsidP="00027CB8">
      <w:pPr>
        <w:tabs>
          <w:tab w:val="center" w:pos="5245"/>
        </w:tabs>
        <w:spacing w:after="0" w:line="240" w:lineRule="auto"/>
        <w:ind w:left="2160" w:firstLine="720"/>
      </w:pPr>
      <w:r w:rsidRPr="00533179">
        <w:tab/>
      </w:r>
      <w:r w:rsidR="00D11E48" w:rsidRPr="00533179">
        <w:t>Správce rozpočtu</w:t>
      </w:r>
    </w:p>
    <w:p w14:paraId="1A9D686D" w14:textId="77777777" w:rsidR="00DF2317" w:rsidRDefault="00DF2317" w:rsidP="00DF2317">
      <w:pPr>
        <w:tabs>
          <w:tab w:val="center" w:pos="5245"/>
        </w:tabs>
        <w:spacing w:after="0" w:line="240" w:lineRule="auto"/>
      </w:pPr>
    </w:p>
    <w:p w14:paraId="53B965EE" w14:textId="77777777" w:rsidR="00DF2317" w:rsidRDefault="00DF2317" w:rsidP="00DF2317">
      <w:pPr>
        <w:tabs>
          <w:tab w:val="center" w:pos="5245"/>
        </w:tabs>
        <w:spacing w:after="0" w:line="240" w:lineRule="auto"/>
      </w:pPr>
    </w:p>
    <w:p w14:paraId="02CD8514" w14:textId="1C9D25A1" w:rsidR="00DF2317" w:rsidRDefault="00DF2317" w:rsidP="00DF2317">
      <w:pPr>
        <w:tabs>
          <w:tab w:val="center" w:pos="5245"/>
        </w:tabs>
        <w:spacing w:after="0" w:line="240" w:lineRule="auto"/>
      </w:pPr>
      <w:r>
        <w:t>Akceptace: 14.10.2025</w:t>
      </w:r>
    </w:p>
    <w:sectPr w:rsidR="00DF2317" w:rsidSect="00503276">
      <w:footerReference w:type="default" r:id="rId8"/>
      <w:pgSz w:w="11903" w:h="16835"/>
      <w:pgMar w:top="567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D2EDE" w14:textId="77777777" w:rsidR="00AE5D4A" w:rsidRDefault="00AE5D4A">
      <w:pPr>
        <w:spacing w:after="0" w:line="240" w:lineRule="auto"/>
      </w:pPr>
      <w:r>
        <w:separator/>
      </w:r>
    </w:p>
  </w:endnote>
  <w:endnote w:type="continuationSeparator" w:id="0">
    <w:p w14:paraId="416A17FF" w14:textId="77777777" w:rsidR="00AE5D4A" w:rsidRDefault="00AE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HelveticaNeueLTPro-Cn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F1329" w14:textId="77777777" w:rsidR="00AE5D4A" w:rsidRDefault="00AE5D4A">
      <w:pPr>
        <w:spacing w:after="0" w:line="240" w:lineRule="auto"/>
      </w:pPr>
      <w:r>
        <w:separator/>
      </w:r>
    </w:p>
  </w:footnote>
  <w:footnote w:type="continuationSeparator" w:id="0">
    <w:p w14:paraId="68DF9DC8" w14:textId="77777777" w:rsidR="00AE5D4A" w:rsidRDefault="00AE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1DE28FF"/>
    <w:multiLevelType w:val="hybridMultilevel"/>
    <w:tmpl w:val="E7761A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385320">
    <w:abstractNumId w:val="1"/>
  </w:num>
  <w:num w:numId="2" w16cid:durableId="552959251">
    <w:abstractNumId w:val="0"/>
  </w:num>
  <w:num w:numId="3" w16cid:durableId="1910338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proofState w:spelling="clean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AED"/>
    <w:rsid w:val="000255CB"/>
    <w:rsid w:val="00027CB8"/>
    <w:rsid w:val="00045E9A"/>
    <w:rsid w:val="000477D3"/>
    <w:rsid w:val="000563D1"/>
    <w:rsid w:val="00056FCC"/>
    <w:rsid w:val="00067C02"/>
    <w:rsid w:val="00067CF9"/>
    <w:rsid w:val="000775B9"/>
    <w:rsid w:val="00083B76"/>
    <w:rsid w:val="00085BD1"/>
    <w:rsid w:val="00092777"/>
    <w:rsid w:val="00096AFA"/>
    <w:rsid w:val="000A0FEC"/>
    <w:rsid w:val="000B78F4"/>
    <w:rsid w:val="000D052F"/>
    <w:rsid w:val="000D521B"/>
    <w:rsid w:val="000E1D6A"/>
    <w:rsid w:val="000F432D"/>
    <w:rsid w:val="000F53D1"/>
    <w:rsid w:val="0010131A"/>
    <w:rsid w:val="001354F5"/>
    <w:rsid w:val="00142CB2"/>
    <w:rsid w:val="00150E23"/>
    <w:rsid w:val="00165917"/>
    <w:rsid w:val="00170DB8"/>
    <w:rsid w:val="00171B65"/>
    <w:rsid w:val="00176811"/>
    <w:rsid w:val="00176EB3"/>
    <w:rsid w:val="00190D93"/>
    <w:rsid w:val="00191D77"/>
    <w:rsid w:val="001A29F8"/>
    <w:rsid w:val="001D0FE1"/>
    <w:rsid w:val="001E5ECB"/>
    <w:rsid w:val="001F0568"/>
    <w:rsid w:val="001F3008"/>
    <w:rsid w:val="001F3976"/>
    <w:rsid w:val="00213C03"/>
    <w:rsid w:val="00217F55"/>
    <w:rsid w:val="002224AD"/>
    <w:rsid w:val="00222C17"/>
    <w:rsid w:val="002250B1"/>
    <w:rsid w:val="0023021D"/>
    <w:rsid w:val="0023044E"/>
    <w:rsid w:val="00246C94"/>
    <w:rsid w:val="00251675"/>
    <w:rsid w:val="0026146B"/>
    <w:rsid w:val="00272845"/>
    <w:rsid w:val="00273403"/>
    <w:rsid w:val="00273631"/>
    <w:rsid w:val="00273FDD"/>
    <w:rsid w:val="0027456E"/>
    <w:rsid w:val="002770F8"/>
    <w:rsid w:val="00297309"/>
    <w:rsid w:val="00297614"/>
    <w:rsid w:val="002A5EF2"/>
    <w:rsid w:val="002A6A77"/>
    <w:rsid w:val="002B5756"/>
    <w:rsid w:val="002D437A"/>
    <w:rsid w:val="003347D7"/>
    <w:rsid w:val="0034167F"/>
    <w:rsid w:val="00343F72"/>
    <w:rsid w:val="00360186"/>
    <w:rsid w:val="00360C8B"/>
    <w:rsid w:val="00374631"/>
    <w:rsid w:val="003860C4"/>
    <w:rsid w:val="003872C4"/>
    <w:rsid w:val="0039145E"/>
    <w:rsid w:val="003A64DD"/>
    <w:rsid w:val="003B25AA"/>
    <w:rsid w:val="003E2D12"/>
    <w:rsid w:val="003E5966"/>
    <w:rsid w:val="003F2364"/>
    <w:rsid w:val="004120C5"/>
    <w:rsid w:val="004308AD"/>
    <w:rsid w:val="004336B4"/>
    <w:rsid w:val="00433A2A"/>
    <w:rsid w:val="00445B8D"/>
    <w:rsid w:val="004507BB"/>
    <w:rsid w:val="00455802"/>
    <w:rsid w:val="0046035B"/>
    <w:rsid w:val="00463B6A"/>
    <w:rsid w:val="00463D83"/>
    <w:rsid w:val="004A292A"/>
    <w:rsid w:val="004C4BD3"/>
    <w:rsid w:val="004C54FB"/>
    <w:rsid w:val="004F1490"/>
    <w:rsid w:val="00503276"/>
    <w:rsid w:val="00504226"/>
    <w:rsid w:val="00505A0C"/>
    <w:rsid w:val="00533179"/>
    <w:rsid w:val="00534A12"/>
    <w:rsid w:val="00535C2D"/>
    <w:rsid w:val="00542083"/>
    <w:rsid w:val="00542F67"/>
    <w:rsid w:val="00545D74"/>
    <w:rsid w:val="00566F6C"/>
    <w:rsid w:val="00567701"/>
    <w:rsid w:val="005716E0"/>
    <w:rsid w:val="00582B3C"/>
    <w:rsid w:val="00585546"/>
    <w:rsid w:val="005928C8"/>
    <w:rsid w:val="005A6748"/>
    <w:rsid w:val="005B026C"/>
    <w:rsid w:val="005C0797"/>
    <w:rsid w:val="005D468F"/>
    <w:rsid w:val="005F1E73"/>
    <w:rsid w:val="005F297A"/>
    <w:rsid w:val="00600F39"/>
    <w:rsid w:val="00603131"/>
    <w:rsid w:val="00616F9D"/>
    <w:rsid w:val="00625F19"/>
    <w:rsid w:val="00631B68"/>
    <w:rsid w:val="006378B9"/>
    <w:rsid w:val="00651A5A"/>
    <w:rsid w:val="00651FA4"/>
    <w:rsid w:val="00656ED8"/>
    <w:rsid w:val="00667C66"/>
    <w:rsid w:val="00670F35"/>
    <w:rsid w:val="00690093"/>
    <w:rsid w:val="006B2D53"/>
    <w:rsid w:val="006B37BF"/>
    <w:rsid w:val="006B71F4"/>
    <w:rsid w:val="006C19DA"/>
    <w:rsid w:val="006D4512"/>
    <w:rsid w:val="006D47EE"/>
    <w:rsid w:val="006E65AE"/>
    <w:rsid w:val="006E75A3"/>
    <w:rsid w:val="006F59A1"/>
    <w:rsid w:val="006F5D79"/>
    <w:rsid w:val="007013A3"/>
    <w:rsid w:val="0070144E"/>
    <w:rsid w:val="00704A47"/>
    <w:rsid w:val="0071229C"/>
    <w:rsid w:val="007138CC"/>
    <w:rsid w:val="00717262"/>
    <w:rsid w:val="0072026A"/>
    <w:rsid w:val="00720D87"/>
    <w:rsid w:val="00725DCF"/>
    <w:rsid w:val="00730E1E"/>
    <w:rsid w:val="00742CFF"/>
    <w:rsid w:val="007749D0"/>
    <w:rsid w:val="00775387"/>
    <w:rsid w:val="00775F44"/>
    <w:rsid w:val="007846C5"/>
    <w:rsid w:val="00785B87"/>
    <w:rsid w:val="00785C31"/>
    <w:rsid w:val="00786073"/>
    <w:rsid w:val="007A4ABD"/>
    <w:rsid w:val="007B470C"/>
    <w:rsid w:val="007B4B59"/>
    <w:rsid w:val="007F333D"/>
    <w:rsid w:val="007F40AB"/>
    <w:rsid w:val="007F5C8C"/>
    <w:rsid w:val="0080434D"/>
    <w:rsid w:val="00805997"/>
    <w:rsid w:val="00812F52"/>
    <w:rsid w:val="00816AA2"/>
    <w:rsid w:val="008302CA"/>
    <w:rsid w:val="00836EC4"/>
    <w:rsid w:val="00840826"/>
    <w:rsid w:val="00850A1C"/>
    <w:rsid w:val="00852A6D"/>
    <w:rsid w:val="00882612"/>
    <w:rsid w:val="008B1889"/>
    <w:rsid w:val="008C6BAA"/>
    <w:rsid w:val="008E4C60"/>
    <w:rsid w:val="009532C2"/>
    <w:rsid w:val="00957E22"/>
    <w:rsid w:val="0096143E"/>
    <w:rsid w:val="0096739E"/>
    <w:rsid w:val="00975ABC"/>
    <w:rsid w:val="00976DF8"/>
    <w:rsid w:val="0098229D"/>
    <w:rsid w:val="0098239C"/>
    <w:rsid w:val="00987E92"/>
    <w:rsid w:val="009936F1"/>
    <w:rsid w:val="00994DDF"/>
    <w:rsid w:val="009A6AA3"/>
    <w:rsid w:val="009C08F8"/>
    <w:rsid w:val="009C15B8"/>
    <w:rsid w:val="009E6599"/>
    <w:rsid w:val="009E79E1"/>
    <w:rsid w:val="00A22369"/>
    <w:rsid w:val="00A30A31"/>
    <w:rsid w:val="00A33837"/>
    <w:rsid w:val="00A43D3F"/>
    <w:rsid w:val="00A44C32"/>
    <w:rsid w:val="00A461FE"/>
    <w:rsid w:val="00A72BBE"/>
    <w:rsid w:val="00A74B91"/>
    <w:rsid w:val="00A756C9"/>
    <w:rsid w:val="00A762E5"/>
    <w:rsid w:val="00A76ED6"/>
    <w:rsid w:val="00A96809"/>
    <w:rsid w:val="00A978BF"/>
    <w:rsid w:val="00AA7B05"/>
    <w:rsid w:val="00AB08F2"/>
    <w:rsid w:val="00AC4AF0"/>
    <w:rsid w:val="00AC7366"/>
    <w:rsid w:val="00AD0588"/>
    <w:rsid w:val="00AD0A6B"/>
    <w:rsid w:val="00AD3E76"/>
    <w:rsid w:val="00AE5D4A"/>
    <w:rsid w:val="00AE6150"/>
    <w:rsid w:val="00AF2123"/>
    <w:rsid w:val="00AF4766"/>
    <w:rsid w:val="00AF7E54"/>
    <w:rsid w:val="00B006D7"/>
    <w:rsid w:val="00B04813"/>
    <w:rsid w:val="00B161DA"/>
    <w:rsid w:val="00B203C6"/>
    <w:rsid w:val="00B4150D"/>
    <w:rsid w:val="00B41962"/>
    <w:rsid w:val="00B936BA"/>
    <w:rsid w:val="00BA0791"/>
    <w:rsid w:val="00BB050A"/>
    <w:rsid w:val="00BB50D1"/>
    <w:rsid w:val="00BC1A7F"/>
    <w:rsid w:val="00BC6236"/>
    <w:rsid w:val="00BC6B04"/>
    <w:rsid w:val="00BD086A"/>
    <w:rsid w:val="00BD2091"/>
    <w:rsid w:val="00BD6EAD"/>
    <w:rsid w:val="00BD7845"/>
    <w:rsid w:val="00BF1D2A"/>
    <w:rsid w:val="00C10375"/>
    <w:rsid w:val="00C12BCD"/>
    <w:rsid w:val="00C37BCE"/>
    <w:rsid w:val="00C520CE"/>
    <w:rsid w:val="00C7284B"/>
    <w:rsid w:val="00C72860"/>
    <w:rsid w:val="00C7781C"/>
    <w:rsid w:val="00C80DFF"/>
    <w:rsid w:val="00C80E92"/>
    <w:rsid w:val="00C81B08"/>
    <w:rsid w:val="00C851E4"/>
    <w:rsid w:val="00CB4B74"/>
    <w:rsid w:val="00CC0E4F"/>
    <w:rsid w:val="00CC6C4A"/>
    <w:rsid w:val="00CE2CB0"/>
    <w:rsid w:val="00CE6AD6"/>
    <w:rsid w:val="00CF0C82"/>
    <w:rsid w:val="00CF790D"/>
    <w:rsid w:val="00CF7CEF"/>
    <w:rsid w:val="00D042FB"/>
    <w:rsid w:val="00D06AAD"/>
    <w:rsid w:val="00D104CB"/>
    <w:rsid w:val="00D110F7"/>
    <w:rsid w:val="00D11E48"/>
    <w:rsid w:val="00D405C7"/>
    <w:rsid w:val="00D42667"/>
    <w:rsid w:val="00D4300B"/>
    <w:rsid w:val="00D4422D"/>
    <w:rsid w:val="00D46474"/>
    <w:rsid w:val="00D500B7"/>
    <w:rsid w:val="00D670B1"/>
    <w:rsid w:val="00D67FF4"/>
    <w:rsid w:val="00D71F88"/>
    <w:rsid w:val="00D925E6"/>
    <w:rsid w:val="00D93E5F"/>
    <w:rsid w:val="00D97030"/>
    <w:rsid w:val="00DA0419"/>
    <w:rsid w:val="00DA2769"/>
    <w:rsid w:val="00DA3294"/>
    <w:rsid w:val="00DA4087"/>
    <w:rsid w:val="00DA7C89"/>
    <w:rsid w:val="00DC200A"/>
    <w:rsid w:val="00DC7D0A"/>
    <w:rsid w:val="00DD0A8E"/>
    <w:rsid w:val="00DD21B3"/>
    <w:rsid w:val="00DD6AFD"/>
    <w:rsid w:val="00DE0DDE"/>
    <w:rsid w:val="00DF2317"/>
    <w:rsid w:val="00E13208"/>
    <w:rsid w:val="00E14D68"/>
    <w:rsid w:val="00E20339"/>
    <w:rsid w:val="00E24129"/>
    <w:rsid w:val="00E31742"/>
    <w:rsid w:val="00E34032"/>
    <w:rsid w:val="00E510F5"/>
    <w:rsid w:val="00E6062F"/>
    <w:rsid w:val="00E71112"/>
    <w:rsid w:val="00E86BEE"/>
    <w:rsid w:val="00EB1537"/>
    <w:rsid w:val="00EB5625"/>
    <w:rsid w:val="00EB75C4"/>
    <w:rsid w:val="00EC4EDC"/>
    <w:rsid w:val="00EC6A26"/>
    <w:rsid w:val="00ED13FC"/>
    <w:rsid w:val="00EE170E"/>
    <w:rsid w:val="00EE2D0D"/>
    <w:rsid w:val="00EE5BD1"/>
    <w:rsid w:val="00EE7917"/>
    <w:rsid w:val="00EF5B87"/>
    <w:rsid w:val="00EF79CC"/>
    <w:rsid w:val="00F104F1"/>
    <w:rsid w:val="00F1081C"/>
    <w:rsid w:val="00F237B0"/>
    <w:rsid w:val="00F27428"/>
    <w:rsid w:val="00F3345D"/>
    <w:rsid w:val="00F44E9F"/>
    <w:rsid w:val="00F54D50"/>
    <w:rsid w:val="00F85F35"/>
    <w:rsid w:val="00F92078"/>
    <w:rsid w:val="00F92A13"/>
    <w:rsid w:val="00F96093"/>
    <w:rsid w:val="00FD1614"/>
    <w:rsid w:val="00FE4055"/>
    <w:rsid w:val="00FE7D4A"/>
    <w:rsid w:val="00FF1EAA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05A2B"/>
  <w15:chartTrackingRefBased/>
  <w15:docId w15:val="{3885DBE8-7E28-47FE-9733-219448000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Revize">
    <w:name w:val="Revision"/>
    <w:hidden/>
    <w:uiPriority w:val="99"/>
    <w:semiHidden/>
    <w:rsid w:val="00C80E92"/>
    <w:rPr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EC4EDC"/>
    <w:rPr>
      <w:color w:val="954F72" w:themeColor="followedHyperlink"/>
      <w:u w:val="single"/>
    </w:rPr>
  </w:style>
  <w:style w:type="character" w:customStyle="1" w:styleId="nowrap">
    <w:name w:val="nowrap"/>
    <w:basedOn w:val="Standardnpsmoodstavce"/>
    <w:rsid w:val="00FF1EAA"/>
  </w:style>
  <w:style w:type="paragraph" w:styleId="Zhlav">
    <w:name w:val="header"/>
    <w:basedOn w:val="Normln"/>
    <w:link w:val="Zhlav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0C5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0C5"/>
    <w:rPr>
      <w:sz w:val="22"/>
      <w:szCs w:val="22"/>
    </w:rPr>
  </w:style>
  <w:style w:type="paragraph" w:styleId="Normlnweb">
    <w:name w:val="Normal (Web)"/>
    <w:basedOn w:val="Normln"/>
    <w:uiPriority w:val="99"/>
    <w:unhideWhenUsed/>
    <w:rsid w:val="00975ABC"/>
    <w:pPr>
      <w:spacing w:before="100" w:beforeAutospacing="1" w:after="100" w:afterAutospacing="1" w:line="240" w:lineRule="auto"/>
    </w:pPr>
    <w:rPr>
      <w:rFonts w:eastAsiaTheme="minorHAns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303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cp:lastModifiedBy>Jana Mullerová</cp:lastModifiedBy>
  <cp:revision>3</cp:revision>
  <dcterms:created xsi:type="dcterms:W3CDTF">2025-10-15T12:58:00Z</dcterms:created>
  <dcterms:modified xsi:type="dcterms:W3CDTF">2025-10-15T15:14:00Z</dcterms:modified>
</cp:coreProperties>
</file>