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0601A7">
        <w:rPr>
          <w:bCs/>
          <w:noProof/>
          <w:sz w:val="32"/>
          <w:szCs w:val="32"/>
        </w:rPr>
        <w:t>24002018</w:t>
      </w:r>
      <w:r w:rsidRPr="000601A7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637A47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041FF4" w:rsidRPr="00313878">
        <w:rPr>
          <w:rFonts w:cs="Segoe UI"/>
          <w:szCs w:val="20"/>
        </w:rPr>
        <w:t>Petrem V</w:t>
      </w:r>
      <w:r w:rsidR="001309E3">
        <w:rPr>
          <w:rFonts w:cs="Segoe UI"/>
          <w:bCs/>
          <w:noProof/>
          <w:szCs w:val="20"/>
        </w:rPr>
        <w:t> a l d m a n e m, ředitelem</w:t>
      </w:r>
      <w:r w:rsidR="001309E3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7DE0A523" w:rsidR="00D93B5C" w:rsidRPr="00C52EC1" w:rsidRDefault="001309E3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Růžená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5654C211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1309E3" w:rsidRPr="001309E3">
        <w:rPr>
          <w:rFonts w:cs="Segoe UI"/>
          <w:szCs w:val="20"/>
        </w:rPr>
        <w:t>Obecní úřad</w:t>
      </w:r>
      <w:r w:rsidR="001309E3">
        <w:rPr>
          <w:rFonts w:cs="Segoe UI"/>
          <w:szCs w:val="20"/>
        </w:rPr>
        <w:t xml:space="preserve"> obec </w:t>
      </w:r>
      <w:r w:rsidR="00C52EC1" w:rsidRPr="00C52EC1">
        <w:rPr>
          <w:rFonts w:cs="Segoe UI"/>
          <w:bCs/>
          <w:noProof/>
          <w:szCs w:val="20"/>
        </w:rPr>
        <w:t>Růžená</w:t>
      </w:r>
      <w:r w:rsidR="001309E3">
        <w:rPr>
          <w:rFonts w:cs="Segoe UI"/>
          <w:bCs/>
          <w:noProof/>
          <w:szCs w:val="20"/>
        </w:rPr>
        <w:t xml:space="preserve">, </w:t>
      </w:r>
      <w:r w:rsidR="001309E3" w:rsidRPr="00C52EC1">
        <w:rPr>
          <w:rFonts w:cs="Segoe UI"/>
          <w:bCs/>
          <w:noProof/>
          <w:szCs w:val="20"/>
        </w:rPr>
        <w:t>Růžená</w:t>
      </w:r>
      <w:r w:rsidR="001309E3">
        <w:rPr>
          <w:rFonts w:cs="Segoe UI"/>
          <w:bCs/>
          <w:noProof/>
          <w:szCs w:val="20"/>
        </w:rPr>
        <w:t xml:space="preserve"> </w:t>
      </w:r>
      <w:r w:rsidR="00C52EC1" w:rsidRPr="00C52EC1">
        <w:rPr>
          <w:rFonts w:cs="Segoe UI"/>
          <w:bCs/>
          <w:noProof/>
          <w:szCs w:val="20"/>
        </w:rPr>
        <w:t xml:space="preserve">7, 589 01 </w:t>
      </w:r>
      <w:bookmarkEnd w:id="3"/>
      <w:r w:rsidR="001309E3" w:rsidRPr="001309E3">
        <w:rPr>
          <w:rFonts w:cs="Segoe UI"/>
          <w:bCs/>
          <w:noProof/>
          <w:szCs w:val="20"/>
        </w:rPr>
        <w:t>Třešť</w:t>
      </w:r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00488658</w:t>
      </w:r>
      <w:bookmarkEnd w:id="4"/>
    </w:p>
    <w:p w14:paraId="247BA7BF" w14:textId="15A82365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1309E3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Marti</w:t>
      </w:r>
      <w:r w:rsidR="000601A7">
        <w:rPr>
          <w:rFonts w:cs="Segoe UI"/>
          <w:bCs/>
          <w:noProof/>
          <w:szCs w:val="20"/>
        </w:rPr>
        <w:t>nem</w:t>
      </w:r>
      <w:r w:rsidR="006E0215">
        <w:rPr>
          <w:rFonts w:cs="Segoe UI"/>
          <w:bCs/>
          <w:noProof/>
          <w:szCs w:val="20"/>
        </w:rPr>
        <w:t xml:space="preserve"> Š</w:t>
      </w:r>
      <w:r w:rsidR="001309E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i</w:t>
      </w:r>
      <w:r w:rsidR="001309E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1309E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1309E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1309E3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ý</w:t>
      </w:r>
      <w:r w:rsidR="001309E3">
        <w:rPr>
          <w:rFonts w:cs="Segoe UI"/>
          <w:bCs/>
          <w:noProof/>
          <w:szCs w:val="20"/>
        </w:rPr>
        <w:t xml:space="preserve">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94-3817681/0710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8220681/0100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041FF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454AD852" w:rsidR="005B3FD4" w:rsidRDefault="005B3FD4" w:rsidP="00041FF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24002018</w:t>
      </w:r>
      <w:r w:rsidRPr="004F57C2">
        <w:rPr>
          <w:rFonts w:cs="Segoe UI"/>
          <w:szCs w:val="20"/>
        </w:rPr>
        <w:t xml:space="preserve"> ze dne </w:t>
      </w:r>
      <w:r w:rsidR="00D632F6">
        <w:rPr>
          <w:rFonts w:cs="Segoe UI"/>
          <w:szCs w:val="20"/>
        </w:rPr>
        <w:br/>
      </w:r>
      <w:r w:rsidR="00192922">
        <w:rPr>
          <w:rFonts w:cs="Segoe UI"/>
          <w:bCs/>
          <w:noProof/>
          <w:szCs w:val="20"/>
        </w:rPr>
        <w:t>17.</w:t>
      </w:r>
      <w:r w:rsidR="00D632F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D632F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041FF4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041FF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2B1036E" w:rsidR="00FC20D3" w:rsidRPr="00EC5F5E" w:rsidRDefault="00EC5F5E" w:rsidP="00041FF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1240700108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Kanalizace a ČOV Růžená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1240700108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967484">
        <w:rPr>
          <w:rFonts w:cs="Segoe UI"/>
          <w:szCs w:val="20"/>
        </w:rPr>
        <w:t>4. 7. 2024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041FF4">
      <w:pPr>
        <w:suppressAutoHyphens/>
        <w:spacing w:before="240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2F9707C8" w:rsidR="004759BC" w:rsidRPr="004759BC" w:rsidRDefault="005F2353" w:rsidP="00041FF4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041FF4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041FF4">
      <w:pPr>
        <w:suppressAutoHyphens/>
        <w:jc w:val="center"/>
      </w:pPr>
      <w:r>
        <w:rPr>
          <w:rFonts w:cs="Segoe UI"/>
          <w:bCs/>
          <w:noProof/>
          <w:szCs w:val="20"/>
        </w:rPr>
        <w:t>12 926 018,46</w:t>
      </w:r>
      <w:r w:rsidR="004759BC">
        <w:t xml:space="preserve"> Kč</w:t>
      </w:r>
    </w:p>
    <w:p w14:paraId="1A92F462" w14:textId="0EE6F64C" w:rsidR="004759BC" w:rsidRDefault="004759BC" w:rsidP="00041FF4">
      <w:pPr>
        <w:suppressAutoHyphens/>
        <w:jc w:val="center"/>
      </w:pPr>
      <w:r>
        <w:t>(</w:t>
      </w:r>
      <w:r w:rsidR="00041FF4">
        <w:t>slovy: dvanáct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devět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dvacet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osmnáct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0601A7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 w:rsidR="00041FF4">
        <w:rPr>
          <w:rFonts w:cs="Segoe UI"/>
          <w:bCs/>
          <w:noProof/>
          <w:szCs w:val="20"/>
        </w:rPr>
        <w:t xml:space="preserve">, </w:t>
      </w:r>
      <w:r w:rsidR="00446890">
        <w:rPr>
          <w:rFonts w:cs="Segoe UI"/>
          <w:bCs/>
          <w:noProof/>
          <w:szCs w:val="20"/>
        </w:rPr>
        <w:t>čtyřicet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041FF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 w:rsidR="00041FF4">
        <w:t>)</w:t>
      </w:r>
    </w:p>
    <w:p w14:paraId="12B60A01" w14:textId="332BD74A" w:rsidR="004759BC" w:rsidRDefault="004759BC" w:rsidP="00041FF4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041FF4">
      <w:pPr>
        <w:suppressAutoHyphens/>
        <w:ind w:left="426"/>
        <w:jc w:val="both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17A79797" w:rsidR="004759BC" w:rsidRPr="00EB4C01" w:rsidRDefault="00063D4A" w:rsidP="00041FF4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19,83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041FF4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1240700108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65 184 149,61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041FF4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4D838139" w:rsidR="00D32A9A" w:rsidRPr="003D1C78" w:rsidRDefault="00932F7E" w:rsidP="00041FF4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0601A7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041FF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041FF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49015537" w:rsidR="000B1B87" w:rsidRDefault="000B1B87" w:rsidP="00041FF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0601A7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041FF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041FF4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lastRenderedPageBreak/>
        <w:t>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041FF4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77B986DC" w:rsidR="007558CA" w:rsidRPr="00BA0CB1" w:rsidRDefault="007558CA" w:rsidP="00041FF4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č. </w:t>
      </w:r>
      <w:r w:rsidR="001945DD">
        <w:rPr>
          <w:rFonts w:cs="Segoe UI"/>
          <w:bCs/>
          <w:noProof/>
          <w:szCs w:val="20"/>
        </w:rPr>
        <w:t>10680145027675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r w:rsidR="00D632F6" w:rsidRPr="00BA0CB1">
        <w:rPr>
          <w:rFonts w:cs="Segoe UI"/>
          <w:szCs w:val="20"/>
        </w:rPr>
        <w:t>půjčky – viz</w:t>
      </w:r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9.</w:t>
      </w:r>
      <w:r w:rsidR="00D632F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7.</w:t>
      </w:r>
      <w:r w:rsidR="00D632F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0C54FBF0" w:rsidR="007558CA" w:rsidRPr="00C66B47" w:rsidRDefault="007558CA" w:rsidP="00041FF4">
      <w:pPr>
        <w:pStyle w:val="rove"/>
        <w:numPr>
          <w:ilvl w:val="0"/>
          <w:numId w:val="55"/>
        </w:numPr>
        <w:suppressAutoHyphens/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</w:t>
      </w:r>
      <w:r w:rsidRPr="00C66B47">
        <w:rPr>
          <w:rFonts w:cs="Segoe UI"/>
          <w:szCs w:val="20"/>
        </w:rPr>
        <w:t xml:space="preserve">dne </w:t>
      </w:r>
      <w:r w:rsidR="004B0C07">
        <w:rPr>
          <w:rFonts w:cs="Segoe UI"/>
          <w:bCs/>
          <w:noProof/>
          <w:szCs w:val="20"/>
        </w:rPr>
        <w:t>9. 7. 2025</w:t>
      </w:r>
      <w:r w:rsidRPr="00C66B47">
        <w:rPr>
          <w:rFonts w:cs="Segoe UI"/>
          <w:szCs w:val="20"/>
        </w:rPr>
        <w:t xml:space="preserve">). Limit jednotlivé platby inkasa je stanoven ve výši </w:t>
      </w:r>
      <w:r w:rsidR="001945DD" w:rsidRPr="00C66B47">
        <w:rPr>
          <w:rFonts w:cs="Segoe UI"/>
          <w:bCs/>
          <w:noProof/>
          <w:szCs w:val="20"/>
        </w:rPr>
        <w:t>93 714</w:t>
      </w:r>
      <w:r w:rsidR="001945DD" w:rsidRPr="00C66B47">
        <w:rPr>
          <w:rFonts w:cs="Segoe UI"/>
          <w:bCs/>
          <w:szCs w:val="20"/>
        </w:rPr>
        <w:t xml:space="preserve"> </w:t>
      </w:r>
      <w:r w:rsidRPr="00C66B47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041FF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041FF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BDB8429" w:rsidR="000B1B87" w:rsidRPr="00920959" w:rsidRDefault="000B1B87" w:rsidP="00041FF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0601A7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0601A7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2029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31 776,46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5D80D441" w:rsidR="000B1B87" w:rsidRPr="00313878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215 433,65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0601A7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0601A7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2029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 xml:space="preserve">povinen doručit Fondu ve lhůtě nejpozději 30 pracovních dní před datem </w:t>
      </w:r>
      <w:r w:rsidR="000B1B87" w:rsidRPr="00313878">
        <w:rPr>
          <w:rFonts w:ascii="Segoe UI" w:hAnsi="Segoe UI" w:cs="Segoe UI"/>
          <w:sz w:val="20"/>
          <w:szCs w:val="20"/>
        </w:rPr>
        <w:lastRenderedPageBreak/>
        <w:t>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041FF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30CD3F4B" w14:textId="3D22CA9E" w:rsidR="00911265" w:rsidRPr="000601A7" w:rsidRDefault="00662CB6" w:rsidP="000601A7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041FF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041FF4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041FF4">
      <w:pPr>
        <w:suppressAutoHyphens/>
      </w:pPr>
    </w:p>
    <w:p w14:paraId="716018B7" w14:textId="085F30A5" w:rsidR="007B7560" w:rsidRDefault="007B7560" w:rsidP="00041FF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041FF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041FF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041FF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041FF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488F9C27" w14:textId="0209FC57" w:rsidR="00AB6722" w:rsidRPr="000601A7" w:rsidRDefault="005204F6" w:rsidP="000601A7">
      <w:pPr>
        <w:pStyle w:val="rove"/>
        <w:numPr>
          <w:ilvl w:val="0"/>
          <w:numId w:val="62"/>
        </w:numPr>
        <w:suppressAutoHyphens/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041FF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041FF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041FF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041FF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041FF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041FF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041FF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041FF4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F270D49" w14:textId="43A120F5" w:rsidR="00783E9E" w:rsidRDefault="00BF0EDB" w:rsidP="000601A7">
      <w:pPr>
        <w:suppressAutoHyphens/>
        <w:spacing w:before="100" w:beforeAutospacing="1" w:after="100" w:afterAutospacing="1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3C169A72" w14:textId="77777777" w:rsidR="00D632F6" w:rsidRDefault="00D632F6" w:rsidP="000601A7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</w:p>
    <w:p w14:paraId="6F2B2B57" w14:textId="23778ADA" w:rsidR="0058003A" w:rsidRDefault="00F551FF" w:rsidP="000601A7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  <w:r>
        <w:t>V</w:t>
      </w:r>
    </w:p>
    <w:p w14:paraId="44D14324" w14:textId="77777777" w:rsidR="000601A7" w:rsidRDefault="00F551FF" w:rsidP="000601A7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29AC6B56" w14:textId="77777777" w:rsidR="000601A7" w:rsidRDefault="000601A7" w:rsidP="000601A7">
      <w:pPr>
        <w:pStyle w:val="rove"/>
        <w:tabs>
          <w:tab w:val="left" w:pos="5103"/>
        </w:tabs>
        <w:suppressAutoHyphens/>
        <w:spacing w:before="480" w:after="0"/>
        <w:ind w:left="0" w:firstLine="0"/>
      </w:pPr>
    </w:p>
    <w:p w14:paraId="7395C1EF" w14:textId="2B09952B" w:rsidR="00F551FF" w:rsidRDefault="00F551FF" w:rsidP="000601A7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041FF4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300" w14:textId="77777777" w:rsidR="0084706E" w:rsidRDefault="0084706E" w:rsidP="0013795C">
      <w:pPr>
        <w:spacing w:after="0" w:line="240" w:lineRule="auto"/>
      </w:pPr>
      <w:r>
        <w:separator/>
      </w:r>
    </w:p>
  </w:endnote>
  <w:endnote w:type="continuationSeparator" w:id="0">
    <w:p w14:paraId="3657BCF0" w14:textId="77777777" w:rsidR="0084706E" w:rsidRDefault="0084706E" w:rsidP="0013795C">
      <w:pPr>
        <w:spacing w:after="0" w:line="240" w:lineRule="auto"/>
      </w:pPr>
      <w:r>
        <w:continuationSeparator/>
      </w:r>
    </w:p>
  </w:endnote>
  <w:endnote w:type="continuationNotice" w:id="1">
    <w:p w14:paraId="6FAF4504" w14:textId="77777777" w:rsidR="0084706E" w:rsidRDefault="0084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0075" w14:textId="77777777" w:rsidR="0084706E" w:rsidRDefault="0084706E" w:rsidP="0013795C">
      <w:pPr>
        <w:spacing w:after="0" w:line="240" w:lineRule="auto"/>
      </w:pPr>
      <w:r>
        <w:separator/>
      </w:r>
    </w:p>
  </w:footnote>
  <w:footnote w:type="continuationSeparator" w:id="0">
    <w:p w14:paraId="309B0470" w14:textId="77777777" w:rsidR="0084706E" w:rsidRDefault="0084706E" w:rsidP="0013795C">
      <w:pPr>
        <w:spacing w:after="0" w:line="240" w:lineRule="auto"/>
      </w:pPr>
      <w:r>
        <w:continuationSeparator/>
      </w:r>
    </w:p>
  </w:footnote>
  <w:footnote w:type="continuationNotice" w:id="1">
    <w:p w14:paraId="71A6B5B4" w14:textId="77777777" w:rsidR="0084706E" w:rsidRDefault="0084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41FF4"/>
    <w:rsid w:val="000535A1"/>
    <w:rsid w:val="000601A7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66F6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9E3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370C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0C0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36D11"/>
    <w:rsid w:val="009440AB"/>
    <w:rsid w:val="00950DAC"/>
    <w:rsid w:val="00952EE7"/>
    <w:rsid w:val="00965BDF"/>
    <w:rsid w:val="00967484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076FE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6B47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2F6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0700"/>
    <w:rsid w:val="00E525A6"/>
    <w:rsid w:val="00E552AD"/>
    <w:rsid w:val="00E56F87"/>
    <w:rsid w:val="00E60DBC"/>
    <w:rsid w:val="00E634FB"/>
    <w:rsid w:val="00E65EF9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1959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2025-10-15T13:13:00Z</dcterms:created>
  <dcterms:modified xsi:type="dcterms:W3CDTF">2025-10-15T13:13:00Z</dcterms:modified>
</cp:coreProperties>
</file>