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  <w:r w:rsidR="00414CD2">
        <w:rPr>
          <w:rFonts w:cs="Arial"/>
          <w:sz w:val="22"/>
          <w:szCs w:val="22"/>
        </w:rPr>
        <w:t xml:space="preserve"> č. …………</w:t>
      </w:r>
    </w:p>
    <w:p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D779F5">
        <w:rPr>
          <w:rFonts w:cs="Arial"/>
          <w:bCs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sp. zn. AXII 253</w:t>
      </w:r>
    </w:p>
    <w:p w:rsidR="00BF541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který</w:t>
      </w:r>
      <w:r w:rsidR="002F1402" w:rsidRPr="003F5550">
        <w:rPr>
          <w:rFonts w:cs="Arial"/>
          <w:szCs w:val="22"/>
        </w:rPr>
        <w:t xml:space="preserve"> jedná: </w:t>
      </w:r>
      <w:r w:rsidR="00111485">
        <w:rPr>
          <w:rFonts w:cs="Arial"/>
          <w:szCs w:val="22"/>
        </w:rPr>
        <w:t>xxx</w:t>
      </w:r>
      <w:r w:rsidR="00BC5D48">
        <w:rPr>
          <w:rFonts w:cs="Arial"/>
          <w:szCs w:val="22"/>
        </w:rPr>
        <w:t xml:space="preserve">, </w:t>
      </w:r>
      <w:r w:rsidR="002F1402" w:rsidRPr="003F5550">
        <w:rPr>
          <w:rFonts w:cs="Arial"/>
          <w:szCs w:val="22"/>
        </w:rPr>
        <w:t>ředitel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111485">
        <w:rPr>
          <w:rFonts w:cs="Arial"/>
          <w:szCs w:val="22"/>
        </w:rPr>
        <w:t>xxx</w:t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:rsidR="002F1402" w:rsidRPr="00CB6AED" w:rsidRDefault="00EB72DC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CB6AED">
        <w:rPr>
          <w:rFonts w:ascii="LiberationSans" w:hAnsi="LiberationSans" w:cs="LiberationSans"/>
          <w:b/>
        </w:rPr>
        <w:t>OLFIN Car s.r.o.</w:t>
      </w:r>
    </w:p>
    <w:p w:rsidR="002F1402" w:rsidRPr="00EB72DC" w:rsidRDefault="002F1402" w:rsidP="00EB72DC">
      <w:pPr>
        <w:tabs>
          <w:tab w:val="left" w:pos="2552"/>
          <w:tab w:val="left" w:pos="2835"/>
        </w:tabs>
        <w:rPr>
          <w:rFonts w:cs="Arial"/>
          <w:bCs/>
          <w:sz w:val="20"/>
        </w:rPr>
      </w:pPr>
      <w:r w:rsidRPr="003F5550">
        <w:rPr>
          <w:rFonts w:cs="Arial"/>
          <w:szCs w:val="22"/>
        </w:rPr>
        <w:t xml:space="preserve">Sídlem: </w:t>
      </w:r>
      <w:r w:rsidR="00EB72DC">
        <w:rPr>
          <w:rFonts w:ascii="LiberationSans" w:hAnsi="LiberationSans" w:cs="LiberationSans"/>
        </w:rPr>
        <w:t>Na Rybárně 1670, Pražské Předměstí, 500 02 Hradec Králové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 w:rsidR="00EB72DC">
        <w:rPr>
          <w:rFonts w:ascii="LiberationSans" w:hAnsi="LiberationSans" w:cs="LiberationSans"/>
        </w:rPr>
        <w:t>609 13 312</w:t>
      </w:r>
    </w:p>
    <w:p w:rsidR="002F1402" w:rsidRPr="003F5550" w:rsidRDefault="00EB72DC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vedená u Krajského soudu v Hradci Králové, pod sp. zn. </w:t>
      </w:r>
      <w:r>
        <w:rPr>
          <w:rFonts w:ascii="LiberationSans" w:hAnsi="LiberationSans" w:cs="LiberationSans"/>
          <w:szCs w:val="22"/>
        </w:rPr>
        <w:t>C 6359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 w:rsidR="00EB72DC">
        <w:rPr>
          <w:rFonts w:cs="Arial"/>
          <w:szCs w:val="22"/>
        </w:rPr>
        <w:t xml:space="preserve"> </w:t>
      </w:r>
      <w:r w:rsidR="00111485">
        <w:rPr>
          <w:rFonts w:ascii="LiberationSans" w:hAnsi="LiberationSans" w:cs="LiberationSans"/>
          <w:szCs w:val="22"/>
        </w:rPr>
        <w:t>xxx</w:t>
      </w:r>
      <w:r w:rsidRPr="003F5550">
        <w:rPr>
          <w:rFonts w:cs="Arial"/>
          <w:szCs w:val="22"/>
        </w:rPr>
        <w:tab/>
      </w:r>
      <w:r w:rsidRPr="003F5550">
        <w:rPr>
          <w:rFonts w:cs="Arial"/>
          <w:szCs w:val="22"/>
        </w:rPr>
        <w:tab/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111485">
        <w:rPr>
          <w:rFonts w:cs="Arial"/>
          <w:szCs w:val="22"/>
        </w:rPr>
        <w:t>xxx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:rsidR="002F1402" w:rsidRPr="003F5550" w:rsidRDefault="008550B0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8550B0">
        <w:rPr>
          <w:rFonts w:cs="Arial"/>
          <w:szCs w:val="22"/>
        </w:rPr>
        <w:t xml:space="preserve">Tato Kupní smlouva se uzavírá na základě výsledku veřejné zakázky malého rozsahu vedené pod názvem „Nákup 2 ks osobních automobilů“ a interním číslem </w:t>
      </w:r>
      <w:r w:rsidRPr="008550B0">
        <w:rPr>
          <w:rFonts w:cs="Arial"/>
          <w:b/>
          <w:bCs/>
          <w:szCs w:val="22"/>
        </w:rPr>
        <w:t>074/2025/ZMR</w:t>
      </w:r>
      <w:r w:rsidRPr="008550B0">
        <w:rPr>
          <w:rFonts w:cs="Arial"/>
          <w:szCs w:val="22"/>
        </w:rPr>
        <w:t xml:space="preserve">, která byla zadána v </w:t>
      </w:r>
      <w:r w:rsidRPr="002B59EF">
        <w:rPr>
          <w:rFonts w:cs="Arial"/>
          <w:szCs w:val="22"/>
        </w:rPr>
        <w:t>uzavřeném řízení</w:t>
      </w:r>
      <w:r w:rsidRPr="008550B0">
        <w:rPr>
          <w:rFonts w:cs="Arial"/>
          <w:szCs w:val="22"/>
        </w:rPr>
        <w:t xml:space="preserve"> oslovením více dodavatelů</w:t>
      </w:r>
      <w:r w:rsidRPr="008550B0" w:rsidDel="008550B0">
        <w:rPr>
          <w:rFonts w:cs="Arial"/>
          <w:szCs w:val="22"/>
        </w:rPr>
        <w:t xml:space="preserve"> </w:t>
      </w:r>
      <w:r w:rsidR="00902398" w:rsidRPr="003F5550">
        <w:rPr>
          <w:rFonts w:cs="Arial"/>
          <w:bCs/>
          <w:szCs w:val="22"/>
        </w:rPr>
        <w:t>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>, § 2</w:t>
      </w:r>
      <w:r w:rsidR="00D779F5">
        <w:rPr>
          <w:rFonts w:cs="Arial"/>
          <w:szCs w:val="22"/>
        </w:rPr>
        <w:t>7</w:t>
      </w:r>
      <w:r w:rsidR="00573C42" w:rsidRPr="003F5550">
        <w:rPr>
          <w:rFonts w:cs="Arial"/>
          <w:szCs w:val="22"/>
        </w:rPr>
        <w:t xml:space="preserve"> a § </w:t>
      </w:r>
      <w:r w:rsidR="00D779F5">
        <w:rPr>
          <w:rFonts w:cs="Arial"/>
          <w:szCs w:val="22"/>
        </w:rPr>
        <w:t>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 xml:space="preserve">, a v souladu s nabídkou Prodávajícího ze dne </w:t>
      </w:r>
      <w:r w:rsidR="00EB72DC">
        <w:rPr>
          <w:rFonts w:cs="Arial"/>
          <w:szCs w:val="22"/>
        </w:rPr>
        <w:t>27.08. 2025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:rsidR="002F1402" w:rsidRPr="003F5550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I.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lastRenderedPageBreak/>
        <w:t>Účel a předmět Smlouvy</w:t>
      </w:r>
    </w:p>
    <w:p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:rsidR="00F94DA1" w:rsidRPr="003F5550" w:rsidRDefault="003E3189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</w:t>
      </w:r>
      <w:r w:rsidR="00D779F5">
        <w:rPr>
          <w:rFonts w:cs="Arial"/>
          <w:szCs w:val="22"/>
        </w:rPr>
        <w:t xml:space="preserve"> </w:t>
      </w:r>
      <w:r w:rsidR="001224EF">
        <w:rPr>
          <w:rFonts w:cs="Arial"/>
          <w:b/>
          <w:szCs w:val="22"/>
          <w:u w:val="single"/>
        </w:rPr>
        <w:t>2 kusy osobních automobilů</w:t>
      </w:r>
      <w:r w:rsidR="004048F5">
        <w:rPr>
          <w:rFonts w:cs="Arial"/>
          <w:b/>
          <w:szCs w:val="22"/>
        </w:rPr>
        <w:t xml:space="preserve"> </w:t>
      </w:r>
      <w:r w:rsidRPr="004048F5">
        <w:rPr>
          <w:rFonts w:cs="Arial"/>
          <w:iCs/>
          <w:szCs w:val="22"/>
        </w:rPr>
        <w:t>dle</w:t>
      </w:r>
      <w:r w:rsidRPr="003F5550">
        <w:rPr>
          <w:rFonts w:cs="Arial"/>
          <w:iCs/>
          <w:szCs w:val="22"/>
        </w:rPr>
        <w:t xml:space="preserve"> technické specifikace, která tvoří přílohu č. </w:t>
      </w:r>
      <w:r w:rsidR="006704AC" w:rsidRPr="003F5550">
        <w:rPr>
          <w:rFonts w:cs="Arial"/>
          <w:iCs/>
          <w:szCs w:val="22"/>
        </w:rPr>
        <w:t>1</w:t>
      </w:r>
      <w:r w:rsidR="00F94DA1" w:rsidRPr="003F5550">
        <w:rPr>
          <w:rFonts w:cs="Arial"/>
          <w:iCs/>
          <w:szCs w:val="22"/>
        </w:rPr>
        <w:t xml:space="preserve"> této </w:t>
      </w:r>
      <w:r w:rsidR="00561FA1">
        <w:rPr>
          <w:rFonts w:cs="Arial"/>
          <w:iCs/>
          <w:szCs w:val="22"/>
        </w:rPr>
        <w:t>S</w:t>
      </w:r>
      <w:r w:rsidR="00F94DA1" w:rsidRPr="003F5550">
        <w:rPr>
          <w:rFonts w:cs="Arial"/>
          <w:iCs/>
          <w:szCs w:val="22"/>
        </w:rPr>
        <w:t>mlouvy</w:t>
      </w:r>
      <w:r w:rsidR="007443B5" w:rsidRPr="003F5550">
        <w:rPr>
          <w:rFonts w:cs="Arial"/>
          <w:iCs/>
          <w:szCs w:val="22"/>
        </w:rPr>
        <w:t xml:space="preserve"> (dále jen </w:t>
      </w:r>
      <w:r w:rsidR="00263C85">
        <w:rPr>
          <w:rFonts w:cs="Arial"/>
          <w:iCs/>
          <w:szCs w:val="22"/>
        </w:rPr>
        <w:t>„</w:t>
      </w:r>
      <w:r w:rsidR="00263C85" w:rsidRPr="00263C85">
        <w:rPr>
          <w:rFonts w:cs="Arial"/>
          <w:b/>
          <w:bCs/>
          <w:iCs/>
          <w:szCs w:val="22"/>
        </w:rPr>
        <w:t>Předmět koupě</w:t>
      </w:r>
      <w:r w:rsidR="00263C85">
        <w:rPr>
          <w:rFonts w:cs="Arial"/>
          <w:iCs/>
          <w:szCs w:val="22"/>
        </w:rPr>
        <w:t xml:space="preserve">“ a </w:t>
      </w:r>
      <w:r w:rsidR="007443B5" w:rsidRPr="003F5550">
        <w:rPr>
          <w:rFonts w:cs="Arial"/>
          <w:iCs/>
          <w:szCs w:val="22"/>
        </w:rPr>
        <w:t>„</w:t>
      </w:r>
      <w:r w:rsidR="007443B5" w:rsidRPr="003F5550">
        <w:rPr>
          <w:rFonts w:cs="Arial"/>
          <w:b/>
          <w:bCs/>
          <w:iCs/>
          <w:szCs w:val="22"/>
        </w:rPr>
        <w:t>Technická specifikace</w:t>
      </w:r>
      <w:r w:rsidR="007443B5" w:rsidRPr="003F5550">
        <w:rPr>
          <w:rFonts w:cs="Arial"/>
          <w:iCs/>
          <w:szCs w:val="22"/>
        </w:rPr>
        <w:t>“).</w:t>
      </w:r>
    </w:p>
    <w:p w:rsidR="001224EF" w:rsidRDefault="007443B5" w:rsidP="001224EF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D779F5">
        <w:rPr>
          <w:rFonts w:cs="Arial"/>
          <w:b/>
          <w:bCs/>
          <w:szCs w:val="22"/>
        </w:rPr>
        <w:t>Klasifikace dle kódu CPV:</w:t>
      </w:r>
      <w:r w:rsidR="004048F5">
        <w:rPr>
          <w:rFonts w:cs="Arial"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>34110000-1 Osobní vozidla</w:t>
      </w:r>
      <w:r w:rsidR="001224EF" w:rsidRPr="001224EF">
        <w:rPr>
          <w:rFonts w:cs="Arial"/>
          <w:b/>
          <w:bCs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ab/>
      </w:r>
      <w:r w:rsidR="001224EF" w:rsidRPr="001224EF">
        <w:rPr>
          <w:rFonts w:cs="Arial"/>
          <w:b/>
          <w:bCs/>
          <w:szCs w:val="22"/>
        </w:rPr>
        <w:tab/>
        <w:t xml:space="preserve">50112000-3 Opravy a údržba automobilů </w:t>
      </w:r>
    </w:p>
    <w:p w:rsidR="003F5550" w:rsidRPr="003F5550" w:rsidRDefault="003F5550" w:rsidP="001224EF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závazek Prodávajícího:</w:t>
      </w:r>
    </w:p>
    <w:p w:rsidR="001224EF" w:rsidRPr="001224EF" w:rsidRDefault="001224EF" w:rsidP="00D779F5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dodání </w:t>
      </w:r>
      <w:r w:rsidRPr="001224EF">
        <w:rPr>
          <w:rFonts w:eastAsia="Calibri" w:cs="Arial"/>
          <w:szCs w:val="22"/>
          <w:lang w:eastAsia="en-US"/>
        </w:rPr>
        <w:t xml:space="preserve">2 kusů osobních automobilů </w:t>
      </w:r>
    </w:p>
    <w:p w:rsidR="001224EF" w:rsidRDefault="001224EF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1224EF">
        <w:rPr>
          <w:rFonts w:eastAsia="Calibri" w:cs="Arial"/>
          <w:szCs w:val="22"/>
          <w:lang w:eastAsia="en-US"/>
        </w:rPr>
        <w:t xml:space="preserve">provádění provozních a záručních servisních prací po dobu záruky na zakoupená vozidla </w:t>
      </w:r>
    </w:p>
    <w:p w:rsidR="00915541" w:rsidRPr="00D779F5" w:rsidRDefault="00915541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zajištění servisu a oprav včetně dodávky potřebných náhradních dílů po dobu záruky </w:t>
      </w:r>
    </w:p>
    <w:p w:rsidR="00D779F5" w:rsidRPr="00D779F5" w:rsidRDefault="00D779F5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uzavření servisní smlouvy </w:t>
      </w:r>
      <w:r w:rsidR="001224EF" w:rsidRPr="001224EF">
        <w:rPr>
          <w:rFonts w:eastAsia="Calibri" w:cs="Arial"/>
          <w:szCs w:val="22"/>
          <w:lang w:eastAsia="en-US"/>
        </w:rPr>
        <w:t>na provádění pozáručních provozních servisů včetně dodávání náhradních dílů a součástek potřebných k provozu na dobu 48 měsíců</w:t>
      </w:r>
    </w:p>
    <w:p w:rsidR="00C76B45" w:rsidRPr="003F5550" w:rsidRDefault="00C76B45" w:rsidP="00C76B4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:rsidR="006C5677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:rsidR="00742B6B" w:rsidRPr="003F5550" w:rsidRDefault="00742B6B" w:rsidP="00742B6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275E79">
        <w:rPr>
          <w:rFonts w:cs="Arial"/>
          <w:szCs w:val="22"/>
        </w:rPr>
        <w:t xml:space="preserve">Předmět koupě </w:t>
      </w:r>
      <w:r w:rsidR="00D73882">
        <w:rPr>
          <w:rFonts w:cs="Arial"/>
          <w:szCs w:val="22"/>
        </w:rPr>
        <w:t>dle této Smlouvy a Technické specifikace</w:t>
      </w:r>
      <w:r w:rsidR="001B6134">
        <w:rPr>
          <w:rFonts w:cs="Arial"/>
          <w:szCs w:val="22"/>
        </w:rPr>
        <w:t xml:space="preserve"> v místě</w:t>
      </w:r>
      <w:r w:rsidRPr="003F5550">
        <w:rPr>
          <w:rFonts w:cs="Arial"/>
          <w:szCs w:val="22"/>
        </w:rPr>
        <w:t xml:space="preserve"> plnění nejpozději do </w:t>
      </w:r>
      <w:r w:rsidR="00674A0E">
        <w:rPr>
          <w:rFonts w:cs="Arial"/>
          <w:szCs w:val="22"/>
        </w:rPr>
        <w:t>5</w:t>
      </w:r>
      <w:r w:rsidR="00240E30">
        <w:rPr>
          <w:rFonts w:cs="Arial"/>
          <w:szCs w:val="22"/>
        </w:rPr>
        <w:t xml:space="preserve"> měsíců</w:t>
      </w:r>
      <w:r w:rsidRPr="003F5550">
        <w:rPr>
          <w:rFonts w:cs="Arial"/>
          <w:szCs w:val="22"/>
        </w:rPr>
        <w:t xml:space="preserve"> </w:t>
      </w:r>
      <w:r w:rsidR="001B4893">
        <w:rPr>
          <w:rFonts w:cs="Arial"/>
          <w:szCs w:val="22"/>
        </w:rPr>
        <w:t xml:space="preserve">ode dne </w:t>
      </w:r>
      <w:r w:rsidR="00915541">
        <w:rPr>
          <w:rFonts w:cs="Arial"/>
          <w:szCs w:val="22"/>
        </w:rPr>
        <w:t>podpisu</w:t>
      </w:r>
      <w:r w:rsidRPr="003F5550">
        <w:rPr>
          <w:rFonts w:cs="Arial"/>
          <w:szCs w:val="22"/>
        </w:rPr>
        <w:t xml:space="preserve"> této </w:t>
      </w:r>
      <w:r w:rsidR="003F5550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915541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>.</w:t>
      </w:r>
    </w:p>
    <w:p w:rsid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Místo plnění je stanoveno </w:t>
      </w:r>
      <w:r w:rsidR="00D73882">
        <w:rPr>
          <w:rFonts w:cs="Arial"/>
          <w:szCs w:val="22"/>
        </w:rPr>
        <w:t>v sídle</w:t>
      </w:r>
      <w:r w:rsidRPr="003F5550">
        <w:rPr>
          <w:rFonts w:cs="Arial"/>
          <w:szCs w:val="22"/>
        </w:rPr>
        <w:t xml:space="preserve"> Kupujícího, tj. Náměstí Svobody 272, 542 25 Janské Lázně</w:t>
      </w:r>
      <w:r w:rsidR="008E5762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</w:t>
      </w:r>
    </w:p>
    <w:p w:rsidR="00325768" w:rsidRPr="003F5550" w:rsidRDefault="00325768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:rsidR="003F5550" w:rsidRDefault="002E1D7E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 xml:space="preserve">předání </w:t>
      </w:r>
      <w:r w:rsidRPr="003F5550">
        <w:rPr>
          <w:rFonts w:cs="Arial"/>
          <w:szCs w:val="22"/>
        </w:rPr>
        <w:t>v místě plnění veškerou nezbytnou součinnost</w:t>
      </w:r>
      <w:r w:rsidR="00674A0E">
        <w:rPr>
          <w:rFonts w:cs="Arial"/>
          <w:szCs w:val="22"/>
        </w:rPr>
        <w:t xml:space="preserve"> a</w:t>
      </w:r>
      <w:r w:rsidRPr="003F5550">
        <w:rPr>
          <w:rFonts w:cs="Arial"/>
          <w:szCs w:val="22"/>
        </w:rPr>
        <w:t xml:space="preserve"> </w:t>
      </w:r>
      <w:r w:rsidR="00396FEB" w:rsidRPr="003F5550">
        <w:rPr>
          <w:rFonts w:cs="Arial"/>
          <w:szCs w:val="22"/>
        </w:rPr>
        <w:t>zajistí přítomnost</w:t>
      </w:r>
      <w:r w:rsidRPr="003F5550">
        <w:rPr>
          <w:rFonts w:cs="Arial"/>
          <w:szCs w:val="22"/>
        </w:rPr>
        <w:t xml:space="preserve"> odpovědné osoby k převzetí dohodnutého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. </w:t>
      </w:r>
    </w:p>
    <w:p w:rsidR="005277F4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Osobou </w:t>
      </w:r>
      <w:r w:rsidRPr="003F5550">
        <w:rPr>
          <w:rFonts w:cs="Arial"/>
          <w:szCs w:val="22"/>
        </w:rPr>
        <w:t xml:space="preserve">oprávněnou k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a potvrzení předávacího protokolu </w:t>
      </w:r>
      <w:r w:rsidR="000D5606">
        <w:rPr>
          <w:rFonts w:cs="Arial"/>
          <w:szCs w:val="22"/>
        </w:rPr>
        <w:t xml:space="preserve">za Kupujícího: </w:t>
      </w:r>
    </w:p>
    <w:p w:rsidR="000D5606" w:rsidRPr="000D5606" w:rsidRDefault="00111485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b/>
          <w:bCs/>
          <w:szCs w:val="22"/>
        </w:rPr>
        <w:t>xxx</w:t>
      </w:r>
    </w:p>
    <w:p w:rsidR="00116E8F" w:rsidRPr="003F5550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před předáním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zajistit vlastním nákl</w:t>
      </w:r>
      <w:r w:rsidR="001B6134">
        <w:rPr>
          <w:rFonts w:cs="Arial"/>
          <w:szCs w:val="22"/>
        </w:rPr>
        <w:t xml:space="preserve">adem provedení všech </w:t>
      </w:r>
      <w:r w:rsidRPr="003F5550">
        <w:rPr>
          <w:rFonts w:cs="Arial"/>
          <w:szCs w:val="22"/>
        </w:rPr>
        <w:t xml:space="preserve">zkoušek potřebných pro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="001B6134">
        <w:rPr>
          <w:rFonts w:cs="Arial"/>
          <w:szCs w:val="22"/>
        </w:rPr>
        <w:t>mlouvou požadováno, a </w:t>
      </w:r>
      <w:r w:rsidRPr="003F5550">
        <w:rPr>
          <w:rFonts w:cs="Arial"/>
          <w:szCs w:val="22"/>
        </w:rPr>
        <w:t>k předání dokladů s těmito zkouškami spojených Kupujícímu.</w:t>
      </w:r>
    </w:p>
    <w:p w:rsidR="00EB250F" w:rsidRPr="00674A0E" w:rsidRDefault="00EB250F" w:rsidP="00674A0E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iCs/>
          <w:szCs w:val="22"/>
        </w:rPr>
      </w:pPr>
      <w:r w:rsidRPr="003F5550">
        <w:rPr>
          <w:rFonts w:cs="Arial"/>
          <w:szCs w:val="22"/>
        </w:rPr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</w:t>
      </w:r>
      <w:r w:rsidR="001B6134">
        <w:rPr>
          <w:rFonts w:cs="Arial"/>
          <w:szCs w:val="22"/>
        </w:rPr>
        <w:t>jeho řádným pře</w:t>
      </w:r>
      <w:r w:rsidR="007111A8" w:rsidRPr="003F5550">
        <w:rPr>
          <w:rFonts w:cs="Arial"/>
          <w:szCs w:val="22"/>
        </w:rPr>
        <w:t xml:space="preserve">dáním </w:t>
      </w:r>
      <w:r w:rsidR="001B6134">
        <w:rPr>
          <w:rFonts w:cs="Arial"/>
          <w:szCs w:val="22"/>
        </w:rPr>
        <w:t>Kupujícímu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674A0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1B6134">
        <w:rPr>
          <w:rFonts w:cs="Arial"/>
          <w:szCs w:val="22"/>
        </w:rPr>
        <w:t xml:space="preserve">vlastního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dále zejména</w:t>
      </w:r>
      <w:r w:rsidR="00673B8D" w:rsidRPr="003F5550">
        <w:rPr>
          <w:rFonts w:cs="Arial"/>
          <w:szCs w:val="22"/>
        </w:rPr>
        <w:t xml:space="preserve"> </w:t>
      </w:r>
      <w:r w:rsidR="00674A0E" w:rsidRPr="00674A0E">
        <w:rPr>
          <w:rFonts w:cs="Arial"/>
          <w:iCs/>
          <w:szCs w:val="22"/>
        </w:rPr>
        <w:t>COC list k vozidlu (Certifi</w:t>
      </w:r>
      <w:r w:rsidR="00674A0E">
        <w:rPr>
          <w:rFonts w:cs="Arial"/>
          <w:iCs/>
          <w:szCs w:val="22"/>
        </w:rPr>
        <w:t>c</w:t>
      </w:r>
      <w:r w:rsidR="00674A0E" w:rsidRPr="00674A0E">
        <w:rPr>
          <w:rFonts w:cs="Arial"/>
          <w:iCs/>
          <w:szCs w:val="22"/>
        </w:rPr>
        <w:t xml:space="preserve">ate od </w:t>
      </w:r>
      <w:r w:rsidR="00674A0E">
        <w:rPr>
          <w:rFonts w:cs="Arial"/>
          <w:iCs/>
          <w:szCs w:val="22"/>
        </w:rPr>
        <w:t>C</w:t>
      </w:r>
      <w:r w:rsidR="00674A0E" w:rsidRPr="00674A0E">
        <w:rPr>
          <w:rFonts w:cs="Arial"/>
          <w:iCs/>
          <w:szCs w:val="22"/>
        </w:rPr>
        <w:t>onformity)</w:t>
      </w:r>
      <w:r w:rsidR="00674A0E">
        <w:rPr>
          <w:rFonts w:cs="Arial"/>
          <w:iCs/>
          <w:szCs w:val="22"/>
        </w:rPr>
        <w:t xml:space="preserve">, </w:t>
      </w:r>
      <w:r w:rsidR="00674A0E" w:rsidRPr="00674A0E">
        <w:rPr>
          <w:rFonts w:cs="Arial"/>
          <w:iCs/>
          <w:szCs w:val="22"/>
        </w:rPr>
        <w:t>český návod k</w:t>
      </w:r>
      <w:r w:rsidR="00674A0E">
        <w:rPr>
          <w:rFonts w:cs="Arial"/>
          <w:iCs/>
          <w:szCs w:val="22"/>
        </w:rPr>
        <w:t> </w:t>
      </w:r>
      <w:r w:rsidR="00674A0E" w:rsidRPr="00674A0E">
        <w:rPr>
          <w:rFonts w:cs="Arial"/>
          <w:iCs/>
          <w:szCs w:val="22"/>
        </w:rPr>
        <w:t>obsluze</w:t>
      </w:r>
      <w:r w:rsidR="00674A0E">
        <w:rPr>
          <w:rFonts w:cs="Arial"/>
          <w:iCs/>
          <w:szCs w:val="22"/>
        </w:rPr>
        <w:t xml:space="preserve">, </w:t>
      </w:r>
      <w:r w:rsidR="00674A0E" w:rsidRPr="00674A0E">
        <w:rPr>
          <w:rFonts w:cs="Arial"/>
          <w:iCs/>
          <w:szCs w:val="22"/>
        </w:rPr>
        <w:t>servisní knížka</w:t>
      </w:r>
      <w:r w:rsidR="00673B8D" w:rsidRPr="00674A0E">
        <w:rPr>
          <w:rFonts w:cs="Arial"/>
          <w:iCs/>
          <w:szCs w:val="22"/>
        </w:rPr>
        <w:t xml:space="preserve"> a další doklady a</w:t>
      </w:r>
      <w:r w:rsidR="001F5729" w:rsidRPr="00674A0E">
        <w:rPr>
          <w:rFonts w:cs="Arial"/>
          <w:iCs/>
          <w:szCs w:val="22"/>
        </w:rPr>
        <w:t> </w:t>
      </w:r>
      <w:r w:rsidR="00673B8D" w:rsidRPr="00674A0E">
        <w:rPr>
          <w:rFonts w:cs="Arial"/>
          <w:iCs/>
          <w:szCs w:val="22"/>
        </w:rPr>
        <w:t xml:space="preserve">náležitosti </w:t>
      </w:r>
      <w:r w:rsidR="009917BB" w:rsidRPr="00674A0E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674A0E">
        <w:rPr>
          <w:rFonts w:cs="Arial"/>
          <w:szCs w:val="22"/>
        </w:rPr>
        <w:t xml:space="preserve">Za obě </w:t>
      </w:r>
      <w:r w:rsidR="000D5606" w:rsidRPr="00674A0E">
        <w:rPr>
          <w:rFonts w:cs="Arial"/>
          <w:szCs w:val="22"/>
        </w:rPr>
        <w:t>S</w:t>
      </w:r>
      <w:r w:rsidRPr="00674A0E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="00CB47F4">
        <w:rPr>
          <w:rFonts w:cs="Arial"/>
          <w:szCs w:val="22"/>
        </w:rPr>
        <w:t xml:space="preserve">neprokáže 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:rsidR="00D94B70" w:rsidRPr="003F555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lastRenderedPageBreak/>
        <w:t>IV.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:rsidR="00F94DA1" w:rsidRPr="00CB47F4" w:rsidRDefault="00F94DA1" w:rsidP="00111485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>Cena bez DPH:</w:t>
      </w:r>
      <w:r w:rsidRPr="00CB47F4">
        <w:rPr>
          <w:rFonts w:cs="Arial"/>
          <w:szCs w:val="22"/>
        </w:rPr>
        <w:t xml:space="preserve"> </w:t>
      </w:r>
      <w:r w:rsidR="00111485">
        <w:rPr>
          <w:rFonts w:ascii="SKODANext,Bold" w:hAnsi="SKODANext,Bold" w:cs="SKODANext,Bold"/>
          <w:b/>
          <w:bCs/>
          <w:szCs w:val="22"/>
        </w:rPr>
        <w:t>xxx</w:t>
      </w:r>
    </w:p>
    <w:p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:rsidR="002A6184" w:rsidRPr="003F5550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:rsidR="002F1402" w:rsidRPr="00920805" w:rsidRDefault="00CB47F4" w:rsidP="00920805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Předmět koupě dle této Smlouvy </w:t>
      </w:r>
      <w:r>
        <w:rPr>
          <w:rFonts w:cs="Arial"/>
          <w:szCs w:val="22"/>
        </w:rPr>
        <w:t xml:space="preserve">nezahrnuje cenu servisních </w:t>
      </w:r>
      <w:r w:rsidR="005E75FA">
        <w:rPr>
          <w:rFonts w:cs="Arial"/>
          <w:szCs w:val="22"/>
        </w:rPr>
        <w:t>činností</w:t>
      </w:r>
      <w:r>
        <w:rPr>
          <w:rFonts w:cs="Arial"/>
          <w:szCs w:val="22"/>
        </w:rPr>
        <w:t xml:space="preserve"> dle </w:t>
      </w:r>
      <w:r w:rsidRPr="00447C93">
        <w:rPr>
          <w:rFonts w:eastAsia="Calibri" w:cs="Arial"/>
          <w:szCs w:val="22"/>
          <w:lang w:eastAsia="en-US"/>
        </w:rPr>
        <w:t>servisní smlouvy</w:t>
      </w:r>
      <w:r>
        <w:rPr>
          <w:rFonts w:eastAsia="Calibri" w:cs="Arial"/>
          <w:szCs w:val="22"/>
          <w:lang w:eastAsia="en-US"/>
        </w:rPr>
        <w:t xml:space="preserve">, </w:t>
      </w:r>
      <w:r w:rsidRPr="003F5550">
        <w:rPr>
          <w:rFonts w:cs="Arial"/>
          <w:iCs/>
          <w:szCs w:val="22"/>
        </w:rPr>
        <w:t xml:space="preserve">která tvoří přílohu č. </w:t>
      </w:r>
      <w:r>
        <w:rPr>
          <w:rFonts w:cs="Arial"/>
          <w:iCs/>
          <w:szCs w:val="22"/>
        </w:rPr>
        <w:t>2</w:t>
      </w:r>
      <w:r w:rsidRPr="003F5550">
        <w:rPr>
          <w:rFonts w:cs="Arial"/>
          <w:iCs/>
          <w:szCs w:val="22"/>
        </w:rPr>
        <w:t xml:space="preserve"> této </w:t>
      </w:r>
      <w:r>
        <w:rPr>
          <w:rFonts w:cs="Arial"/>
          <w:iCs/>
          <w:szCs w:val="22"/>
        </w:rPr>
        <w:t>S</w:t>
      </w:r>
      <w:r w:rsidRPr="003F5550">
        <w:rPr>
          <w:rFonts w:cs="Arial"/>
          <w:iCs/>
          <w:szCs w:val="22"/>
        </w:rPr>
        <w:t>mlouvy</w:t>
      </w:r>
      <w:r w:rsidR="00C10729" w:rsidRPr="003F5550">
        <w:rPr>
          <w:rFonts w:cs="Arial"/>
          <w:szCs w:val="22"/>
        </w:rPr>
        <w:t>.</w:t>
      </w:r>
      <w:r w:rsidR="00C0699F" w:rsidRPr="003F5550">
        <w:rPr>
          <w:rFonts w:cs="Arial"/>
          <w:szCs w:val="22"/>
        </w:rPr>
        <w:t xml:space="preserve"> </w:t>
      </w:r>
    </w:p>
    <w:p w:rsidR="00C23F25" w:rsidRDefault="00C23F25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</w:t>
      </w:r>
      <w:r w:rsidR="00C23F25">
        <w:rPr>
          <w:rFonts w:cs="Arial"/>
          <w:szCs w:val="22"/>
        </w:rPr>
        <w:t xml:space="preserve">nejpozději do 7 dnů </w:t>
      </w:r>
      <w:r w:rsidR="003E3189" w:rsidRPr="003F5550">
        <w:rPr>
          <w:rFonts w:cs="Arial"/>
          <w:szCs w:val="22"/>
        </w:rPr>
        <w:t xml:space="preserve">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28, odst. 2 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:rsidR="007F7FCF" w:rsidRPr="003F5550" w:rsidRDefault="007F7FCF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:rsidR="00137CED" w:rsidRPr="001760A7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</w:t>
      </w:r>
      <w:r w:rsidRPr="001760A7">
        <w:rPr>
          <w:rFonts w:cs="Arial"/>
          <w:szCs w:val="22"/>
        </w:rPr>
        <w:t>smluvené, jinak obvyklé vlastnosti.</w:t>
      </w:r>
    </w:p>
    <w:p w:rsidR="00453F3E" w:rsidRPr="001760A7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760A7">
        <w:rPr>
          <w:rFonts w:cs="Arial"/>
          <w:szCs w:val="22"/>
        </w:rPr>
        <w:t xml:space="preserve">Záruční doba </w:t>
      </w:r>
      <w:r w:rsidR="009D4C96" w:rsidRPr="001760A7">
        <w:rPr>
          <w:rFonts w:cs="Arial"/>
          <w:szCs w:val="22"/>
        </w:rPr>
        <w:t xml:space="preserve">na </w:t>
      </w:r>
      <w:r w:rsidR="00476422" w:rsidRPr="001760A7">
        <w:rPr>
          <w:rFonts w:cs="Arial"/>
          <w:szCs w:val="22"/>
        </w:rPr>
        <w:t>P</w:t>
      </w:r>
      <w:r w:rsidR="009D4C96" w:rsidRPr="001760A7">
        <w:rPr>
          <w:rFonts w:cs="Arial"/>
          <w:szCs w:val="22"/>
        </w:rPr>
        <w:t xml:space="preserve">ředmět </w:t>
      </w:r>
      <w:r w:rsidR="00476422" w:rsidRPr="001760A7">
        <w:rPr>
          <w:rFonts w:cs="Arial"/>
          <w:szCs w:val="22"/>
        </w:rPr>
        <w:t>koupě</w:t>
      </w:r>
      <w:r w:rsidR="009D4C96" w:rsidRPr="001760A7">
        <w:rPr>
          <w:rFonts w:cs="Arial"/>
          <w:szCs w:val="22"/>
        </w:rPr>
        <w:t xml:space="preserve"> </w:t>
      </w:r>
      <w:r w:rsidR="00453F3E" w:rsidRPr="001760A7">
        <w:rPr>
          <w:rFonts w:cs="Arial"/>
          <w:szCs w:val="22"/>
        </w:rPr>
        <w:t xml:space="preserve">běží ode dne následujícího po dni podpisu Protokolu a </w:t>
      </w:r>
      <w:r w:rsidRPr="001760A7">
        <w:rPr>
          <w:rFonts w:cs="Arial"/>
          <w:szCs w:val="22"/>
        </w:rPr>
        <w:t xml:space="preserve">je </w:t>
      </w:r>
      <w:r w:rsidR="00120DF8" w:rsidRPr="001760A7">
        <w:rPr>
          <w:rFonts w:cs="Arial"/>
          <w:szCs w:val="22"/>
        </w:rPr>
        <w:t xml:space="preserve">Prodávajícím </w:t>
      </w:r>
      <w:r w:rsidRPr="001760A7">
        <w:rPr>
          <w:rFonts w:cs="Arial"/>
          <w:szCs w:val="22"/>
        </w:rPr>
        <w:t>poskytována</w:t>
      </w:r>
      <w:r w:rsidR="00453F3E" w:rsidRPr="001760A7">
        <w:rPr>
          <w:rFonts w:cs="Arial"/>
          <w:szCs w:val="22"/>
        </w:rPr>
        <w:t xml:space="preserve"> v následujícím rozsahu:</w:t>
      </w:r>
    </w:p>
    <w:p w:rsidR="009B70AD" w:rsidRPr="008550B0" w:rsidRDefault="00453F3E" w:rsidP="00E91A4F">
      <w:pPr>
        <w:numPr>
          <w:ilvl w:val="1"/>
          <w:numId w:val="34"/>
        </w:numPr>
        <w:spacing w:before="120" w:after="120" w:line="276" w:lineRule="auto"/>
        <w:ind w:left="1134"/>
        <w:jc w:val="both"/>
        <w:rPr>
          <w:rFonts w:cs="Arial"/>
          <w:szCs w:val="22"/>
        </w:rPr>
      </w:pPr>
      <w:r w:rsidRPr="001760A7">
        <w:rPr>
          <w:rFonts w:cs="Arial"/>
          <w:szCs w:val="22"/>
        </w:rPr>
        <w:t xml:space="preserve">záruka za jakost, tj. funkčnost vozidla jako celku, po dobu </w:t>
      </w:r>
      <w:r w:rsidRPr="002B59EF">
        <w:rPr>
          <w:rFonts w:cs="Arial"/>
          <w:szCs w:val="22"/>
        </w:rPr>
        <w:t>24 měsíců</w:t>
      </w:r>
      <w:r w:rsidRPr="008550B0">
        <w:rPr>
          <w:rFonts w:cs="Arial"/>
          <w:szCs w:val="22"/>
        </w:rPr>
        <w:t>;</w:t>
      </w:r>
    </w:p>
    <w:p w:rsidR="00453F3E" w:rsidRPr="008550B0" w:rsidRDefault="00453F3E" w:rsidP="00E91A4F">
      <w:pPr>
        <w:numPr>
          <w:ilvl w:val="1"/>
          <w:numId w:val="34"/>
        </w:numPr>
        <w:spacing w:before="120" w:after="120" w:line="276" w:lineRule="auto"/>
        <w:ind w:left="1134"/>
        <w:jc w:val="both"/>
        <w:rPr>
          <w:rFonts w:cs="Arial"/>
          <w:szCs w:val="22"/>
        </w:rPr>
      </w:pPr>
      <w:r w:rsidRPr="008550B0">
        <w:rPr>
          <w:rFonts w:cs="Arial"/>
          <w:szCs w:val="22"/>
        </w:rPr>
        <w:t xml:space="preserve">prodloužená záruka na jakost vozidla = záruka na bezvadnou funkci vozidla v délce </w:t>
      </w:r>
      <w:r w:rsidRPr="002B59EF">
        <w:rPr>
          <w:rFonts w:cs="Arial"/>
          <w:szCs w:val="22"/>
        </w:rPr>
        <w:t>60 měsíců</w:t>
      </w:r>
      <w:r w:rsidRPr="008550B0">
        <w:rPr>
          <w:rFonts w:cs="Arial"/>
          <w:szCs w:val="22"/>
        </w:rPr>
        <w:t xml:space="preserve">, nebo do ujetí </w:t>
      </w:r>
      <w:r w:rsidRPr="002B59EF">
        <w:rPr>
          <w:rFonts w:cs="Arial"/>
          <w:szCs w:val="22"/>
        </w:rPr>
        <w:t>150 000 km</w:t>
      </w:r>
      <w:r w:rsidRPr="008550B0">
        <w:rPr>
          <w:rFonts w:cs="Arial"/>
          <w:szCs w:val="22"/>
        </w:rPr>
        <w:t xml:space="preserve"> podle toho, která skutečnost nastane dříve;</w:t>
      </w:r>
    </w:p>
    <w:p w:rsidR="00453F3E" w:rsidRPr="008550B0" w:rsidRDefault="00453F3E" w:rsidP="00E91A4F">
      <w:pPr>
        <w:numPr>
          <w:ilvl w:val="1"/>
          <w:numId w:val="34"/>
        </w:numPr>
        <w:spacing w:before="120" w:after="120" w:line="276" w:lineRule="auto"/>
        <w:ind w:left="1134"/>
        <w:jc w:val="both"/>
        <w:rPr>
          <w:rFonts w:cs="Arial"/>
          <w:szCs w:val="22"/>
        </w:rPr>
      </w:pPr>
      <w:r w:rsidRPr="008550B0">
        <w:rPr>
          <w:rFonts w:cs="Arial"/>
          <w:szCs w:val="22"/>
        </w:rPr>
        <w:t xml:space="preserve">záruční doba na životnost karoserie proti korozi </w:t>
      </w:r>
      <w:r w:rsidRPr="002B59EF">
        <w:rPr>
          <w:rFonts w:cs="Arial"/>
          <w:szCs w:val="22"/>
        </w:rPr>
        <w:t>60 měsíců</w:t>
      </w:r>
      <w:r w:rsidRPr="008550B0">
        <w:rPr>
          <w:rFonts w:cs="Arial"/>
          <w:szCs w:val="22"/>
        </w:rPr>
        <w:t>;</w:t>
      </w:r>
    </w:p>
    <w:p w:rsidR="00453F3E" w:rsidRPr="008550B0" w:rsidRDefault="00453F3E" w:rsidP="00E91A4F">
      <w:pPr>
        <w:numPr>
          <w:ilvl w:val="1"/>
          <w:numId w:val="34"/>
        </w:numPr>
        <w:spacing w:before="120" w:after="120" w:line="276" w:lineRule="auto"/>
        <w:ind w:left="1134"/>
        <w:jc w:val="both"/>
        <w:rPr>
          <w:rFonts w:cs="Arial"/>
          <w:szCs w:val="22"/>
        </w:rPr>
      </w:pPr>
      <w:r w:rsidRPr="008550B0">
        <w:rPr>
          <w:rFonts w:cs="Arial"/>
          <w:szCs w:val="22"/>
        </w:rPr>
        <w:t xml:space="preserve">záruční doba na lakované části vozidel a trvanlivost laku </w:t>
      </w:r>
      <w:r w:rsidRPr="002B59EF">
        <w:rPr>
          <w:rFonts w:cs="Arial"/>
          <w:szCs w:val="22"/>
        </w:rPr>
        <w:t>36 měsíců</w:t>
      </w:r>
      <w:r w:rsidRPr="008550B0">
        <w:rPr>
          <w:rFonts w:cs="Arial"/>
          <w:szCs w:val="22"/>
        </w:rPr>
        <w:t>;</w:t>
      </w:r>
    </w:p>
    <w:p w:rsidR="00453F3E" w:rsidRPr="008550B0" w:rsidRDefault="00453F3E" w:rsidP="00E91A4F">
      <w:pPr>
        <w:numPr>
          <w:ilvl w:val="1"/>
          <w:numId w:val="34"/>
        </w:numPr>
        <w:spacing w:before="120" w:after="120" w:line="276" w:lineRule="auto"/>
        <w:ind w:left="1134"/>
        <w:jc w:val="both"/>
        <w:rPr>
          <w:rFonts w:cs="Arial"/>
          <w:szCs w:val="22"/>
        </w:rPr>
      </w:pPr>
      <w:r w:rsidRPr="008550B0">
        <w:rPr>
          <w:rFonts w:cs="Arial"/>
          <w:szCs w:val="22"/>
        </w:rPr>
        <w:t>nárok na bezplatné, včasné a řádné odstranění oprávněně reklamovaných vad, a to u jakéhokoliv servisního partnera bez ohledu na to, kde se závada vyskytla, totéž platí i pro případy poruchy v zahraničí.</w:t>
      </w:r>
    </w:p>
    <w:p w:rsidR="003F5550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</w:t>
      </w:r>
      <w:r w:rsidR="00CB5BDE">
        <w:rPr>
          <w:rFonts w:cs="Arial"/>
          <w:szCs w:val="22"/>
        </w:rPr>
        <w:t>30</w:t>
      </w:r>
      <w:r w:rsidR="00273FAA" w:rsidRPr="003F5550">
        <w:rPr>
          <w:rFonts w:cs="Arial"/>
          <w:szCs w:val="22"/>
        </w:rPr>
        <w:t xml:space="preserve">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>m v poslední den běhu doby záruky se považuje za včas uplatněnou.</w:t>
      </w:r>
    </w:p>
    <w:p w:rsidR="00273FAA" w:rsidRPr="003F5550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</w:t>
      </w:r>
      <w:r w:rsidR="007F7FCF" w:rsidRPr="003F5550">
        <w:rPr>
          <w:rFonts w:cs="Arial"/>
          <w:szCs w:val="22"/>
        </w:rPr>
        <w:t xml:space="preserve">zahájit odstranění </w:t>
      </w:r>
      <w:r w:rsidR="00F25972">
        <w:rPr>
          <w:rFonts w:cs="Arial"/>
          <w:szCs w:val="22"/>
        </w:rPr>
        <w:t xml:space="preserve">reklamovaných </w:t>
      </w:r>
      <w:r w:rsidR="007F7FCF" w:rsidRPr="003F5550">
        <w:rPr>
          <w:rFonts w:cs="Arial"/>
          <w:szCs w:val="22"/>
        </w:rPr>
        <w:t xml:space="preserve">vad </w:t>
      </w:r>
      <w:r w:rsidR="00476422">
        <w:rPr>
          <w:rFonts w:cs="Arial"/>
          <w:szCs w:val="22"/>
        </w:rPr>
        <w:t>Předmětu koupě</w:t>
      </w:r>
      <w:r w:rsidR="00AE21AA" w:rsidRPr="003F5550">
        <w:rPr>
          <w:rFonts w:cs="Arial"/>
          <w:szCs w:val="22"/>
        </w:rPr>
        <w:t>, nebo kterékoliv jeho části,</w:t>
      </w:r>
      <w:r w:rsidRPr="003F5550">
        <w:rPr>
          <w:rFonts w:cs="Arial"/>
          <w:szCs w:val="22"/>
        </w:rPr>
        <w:t xml:space="preserve"> bez zbytečného odkladu, nejpozději však do </w:t>
      </w:r>
      <w:r w:rsidR="002515F2" w:rsidRPr="002B59EF">
        <w:rPr>
          <w:rFonts w:cs="Arial"/>
          <w:szCs w:val="22"/>
        </w:rPr>
        <w:t>48</w:t>
      </w:r>
      <w:r w:rsidR="00AE21AA" w:rsidRPr="002B59EF">
        <w:rPr>
          <w:rFonts w:cs="Arial"/>
          <w:szCs w:val="22"/>
        </w:rPr>
        <w:t xml:space="preserve"> hodin</w:t>
      </w:r>
      <w:r w:rsidR="00AE21AA" w:rsidRPr="003F5550">
        <w:rPr>
          <w:rFonts w:cs="Arial"/>
          <w:szCs w:val="22"/>
        </w:rPr>
        <w:t xml:space="preserve"> od</w:t>
      </w:r>
      <w:r w:rsidR="00325768" w:rsidRPr="003F5550">
        <w:rPr>
          <w:rFonts w:cs="Arial"/>
          <w:szCs w:val="22"/>
        </w:rPr>
        <w:t> </w:t>
      </w:r>
      <w:r w:rsidR="00AE21AA" w:rsidRPr="003F5550">
        <w:rPr>
          <w:rFonts w:cs="Arial"/>
          <w:szCs w:val="22"/>
        </w:rPr>
        <w:t>prokazatelného nahlášení vady Kupujícím Prodávajícímu</w:t>
      </w:r>
      <w:r w:rsidRPr="003F5550">
        <w:rPr>
          <w:rFonts w:cs="Arial"/>
          <w:szCs w:val="22"/>
        </w:rPr>
        <w:t xml:space="preserve">, nedohodnou-li se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3F5550">
        <w:rPr>
          <w:rFonts w:cs="Arial"/>
          <w:szCs w:val="22"/>
        </w:rPr>
        <w:t>Smluvní strany jsou pov</w:t>
      </w:r>
      <w:r w:rsidR="00D94B70" w:rsidRPr="003F5550">
        <w:rPr>
          <w:rFonts w:cs="Arial"/>
          <w:szCs w:val="22"/>
        </w:rPr>
        <w:t xml:space="preserve">inny si </w:t>
      </w:r>
      <w:r w:rsidR="002515F2" w:rsidRPr="003F5550">
        <w:rPr>
          <w:rFonts w:cs="Arial"/>
          <w:szCs w:val="22"/>
        </w:rPr>
        <w:t xml:space="preserve">písemně </w:t>
      </w:r>
      <w:r w:rsidR="00D94B70" w:rsidRPr="003F5550">
        <w:rPr>
          <w:rFonts w:cs="Arial"/>
          <w:szCs w:val="22"/>
        </w:rPr>
        <w:t xml:space="preserve">dohodnout termín odstranění vady. </w:t>
      </w:r>
      <w:r w:rsidR="00A97316" w:rsidRPr="003F5550">
        <w:rPr>
          <w:rFonts w:cs="Arial"/>
          <w:szCs w:val="22"/>
        </w:rPr>
        <w:t>Po</w:t>
      </w:r>
      <w:r w:rsidRPr="003F5550">
        <w:rPr>
          <w:rFonts w:cs="Arial"/>
          <w:szCs w:val="22"/>
        </w:rPr>
        <w:t xml:space="preserve">kud bude vada </w:t>
      </w:r>
      <w:r w:rsidR="00976BD1" w:rsidRPr="003F5550">
        <w:rPr>
          <w:rFonts w:cs="Arial"/>
          <w:szCs w:val="22"/>
        </w:rPr>
        <w:t xml:space="preserve">neodstranitelná, </w:t>
      </w:r>
      <w:r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Pr="003F5550">
        <w:rPr>
          <w:rFonts w:cs="Arial"/>
          <w:szCs w:val="22"/>
        </w:rPr>
        <w:t>má Kupující možnost uplatnit dle svého rozhodnutí nárok</w:t>
      </w:r>
      <w:r w:rsidR="000C1C72">
        <w:rPr>
          <w:rFonts w:cs="Arial"/>
          <w:szCs w:val="22"/>
        </w:rPr>
        <w:t xml:space="preserve"> na</w:t>
      </w:r>
      <w:r w:rsidRPr="003F5550">
        <w:rPr>
          <w:rFonts w:cs="Arial"/>
          <w:szCs w:val="22"/>
        </w:rPr>
        <w:t>:</w:t>
      </w:r>
    </w:p>
    <w:p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přiměřenou slevu z kupní ceny, nebo</w:t>
      </w:r>
    </w:p>
    <w:p w:rsidR="007107BF" w:rsidRPr="003F5550" w:rsidRDefault="000C1C72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  <w:r w:rsidR="00C80735">
        <w:rPr>
          <w:rFonts w:cs="Arial"/>
          <w:szCs w:val="22"/>
        </w:rPr>
        <w:t xml:space="preserve"> V</w:t>
      </w:r>
      <w:r w:rsidR="00C80735" w:rsidRPr="00C80735">
        <w:rPr>
          <w:rFonts w:cs="Arial"/>
          <w:szCs w:val="22"/>
        </w:rPr>
        <w:t xml:space="preserve"> případě opravy delší než např. 5 dní bude </w:t>
      </w:r>
      <w:r w:rsidR="00C80735">
        <w:rPr>
          <w:rFonts w:cs="Arial"/>
          <w:szCs w:val="22"/>
        </w:rPr>
        <w:t xml:space="preserve">Prodávajícím </w:t>
      </w:r>
      <w:r w:rsidR="00C80735" w:rsidRPr="00C80735">
        <w:rPr>
          <w:rFonts w:cs="Arial"/>
          <w:szCs w:val="22"/>
        </w:rPr>
        <w:t>zajištěno náhradní vozidlo</w:t>
      </w:r>
      <w:r w:rsidR="00C80735">
        <w:rPr>
          <w:rFonts w:cs="Arial"/>
          <w:szCs w:val="22"/>
        </w:rPr>
        <w:t>.</w:t>
      </w:r>
    </w:p>
    <w:p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:rsidR="00C23F25" w:rsidRDefault="00C23F25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BE3AB6" w:rsidRPr="003F5550" w:rsidRDefault="00BE3AB6" w:rsidP="00BE3AB6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Pr="003F5550">
        <w:rPr>
          <w:rFonts w:cs="Arial"/>
          <w:b/>
          <w:bCs/>
          <w:szCs w:val="22"/>
        </w:rPr>
        <w:t>.</w:t>
      </w:r>
    </w:p>
    <w:p w:rsidR="00BE3AB6" w:rsidRPr="003F5550" w:rsidRDefault="00BE3AB6" w:rsidP="00BE3AB6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Servisní podmínky</w:t>
      </w:r>
    </w:p>
    <w:p w:rsidR="003A043A" w:rsidRPr="000F7092" w:rsidRDefault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0F7092">
        <w:rPr>
          <w:rFonts w:cs="Arial"/>
          <w:szCs w:val="22"/>
        </w:rPr>
        <w:t xml:space="preserve">Prodávající se zavazuje k pravidelné servisní činnosti, a to ve vztahu ke všem dodaným </w:t>
      </w:r>
      <w:r w:rsidR="000F7092" w:rsidRPr="000F7092">
        <w:rPr>
          <w:rFonts w:cs="Arial"/>
          <w:szCs w:val="22"/>
        </w:rPr>
        <w:t xml:space="preserve">kusům </w:t>
      </w:r>
      <w:r w:rsidR="00E91A4F">
        <w:rPr>
          <w:rFonts w:cs="Arial"/>
          <w:szCs w:val="22"/>
        </w:rPr>
        <w:t>osobních automobilů</w:t>
      </w:r>
      <w:r w:rsidRPr="000F7092">
        <w:rPr>
          <w:rFonts w:cs="Arial"/>
          <w:szCs w:val="22"/>
        </w:rPr>
        <w:t>.</w:t>
      </w:r>
    </w:p>
    <w:p w:rsidR="003A043A" w:rsidRDefault="003A043A" w:rsidP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Servisní činnosti dle odst. 8.1 tohoto článku se Prodávající zavazuje poskytovat </w:t>
      </w:r>
      <w:r w:rsidRPr="00BE3AB6">
        <w:rPr>
          <w:rFonts w:cs="Arial"/>
          <w:szCs w:val="22"/>
        </w:rPr>
        <w:t xml:space="preserve">po dobu </w:t>
      </w:r>
      <w:r w:rsidR="00C5766F">
        <w:rPr>
          <w:rFonts w:cs="Arial"/>
          <w:szCs w:val="22"/>
        </w:rPr>
        <w:t>stanovenou v servisní smlouvě</w:t>
      </w:r>
      <w:r w:rsidR="00C5766F">
        <w:rPr>
          <w:rFonts w:eastAsia="Calibri" w:cs="Arial"/>
          <w:szCs w:val="22"/>
          <w:lang w:eastAsia="en-US"/>
        </w:rPr>
        <w:t xml:space="preserve">, </w:t>
      </w:r>
      <w:r w:rsidR="00C5766F" w:rsidRPr="003F5550">
        <w:rPr>
          <w:rFonts w:cs="Arial"/>
          <w:iCs/>
          <w:szCs w:val="22"/>
        </w:rPr>
        <w:t xml:space="preserve">která tvoří přílohu č. </w:t>
      </w:r>
      <w:r w:rsidR="00C5766F">
        <w:rPr>
          <w:rFonts w:cs="Arial"/>
          <w:iCs/>
          <w:szCs w:val="22"/>
        </w:rPr>
        <w:t>2</w:t>
      </w:r>
      <w:r w:rsidR="00C5766F" w:rsidRPr="003F5550">
        <w:rPr>
          <w:rFonts w:cs="Arial"/>
          <w:iCs/>
          <w:szCs w:val="22"/>
        </w:rPr>
        <w:t xml:space="preserve"> této </w:t>
      </w:r>
      <w:r w:rsidR="00C5766F">
        <w:rPr>
          <w:rFonts w:cs="Arial"/>
          <w:iCs/>
          <w:szCs w:val="22"/>
        </w:rPr>
        <w:t>S</w:t>
      </w:r>
      <w:r w:rsidR="00C5766F" w:rsidRPr="003F5550">
        <w:rPr>
          <w:rFonts w:cs="Arial"/>
          <w:iCs/>
          <w:szCs w:val="22"/>
        </w:rPr>
        <w:t>mlouvy</w:t>
      </w:r>
      <w:r w:rsidR="00C5766F">
        <w:rPr>
          <w:rFonts w:cs="Arial"/>
          <w:szCs w:val="22"/>
        </w:rPr>
        <w:t>.</w:t>
      </w:r>
    </w:p>
    <w:p w:rsidR="003A043A" w:rsidRPr="00BB5E4E" w:rsidRDefault="003A043A" w:rsidP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Servisní činnosti dle tohoto článku je Prodávajícím poskytována </w:t>
      </w:r>
      <w:r w:rsidR="00C5766F">
        <w:rPr>
          <w:rFonts w:cs="Arial"/>
          <w:szCs w:val="22"/>
        </w:rPr>
        <w:t xml:space="preserve">dle podmínek </w:t>
      </w:r>
      <w:r w:rsidR="00C5766F">
        <w:rPr>
          <w:rFonts w:eastAsia="Calibri" w:cs="Arial"/>
          <w:szCs w:val="22"/>
          <w:lang w:eastAsia="en-US"/>
        </w:rPr>
        <w:t xml:space="preserve">stanovených </w:t>
      </w:r>
      <w:r w:rsidR="00C5766F">
        <w:rPr>
          <w:rFonts w:cs="Arial"/>
          <w:szCs w:val="22"/>
        </w:rPr>
        <w:t>v servisní smlouvě</w:t>
      </w:r>
      <w:r w:rsidR="00C5766F">
        <w:rPr>
          <w:rFonts w:eastAsia="Calibri" w:cs="Arial"/>
          <w:szCs w:val="22"/>
          <w:lang w:eastAsia="en-US"/>
        </w:rPr>
        <w:t xml:space="preserve">, </w:t>
      </w:r>
      <w:r w:rsidR="00C5766F" w:rsidRPr="003F5550">
        <w:rPr>
          <w:rFonts w:cs="Arial"/>
          <w:iCs/>
          <w:szCs w:val="22"/>
        </w:rPr>
        <w:t xml:space="preserve">která tvoří přílohu č. </w:t>
      </w:r>
      <w:r w:rsidR="00C5766F">
        <w:rPr>
          <w:rFonts w:cs="Arial"/>
          <w:iCs/>
          <w:szCs w:val="22"/>
        </w:rPr>
        <w:t>2</w:t>
      </w:r>
      <w:r w:rsidR="00C5766F" w:rsidRPr="003F5550">
        <w:rPr>
          <w:rFonts w:cs="Arial"/>
          <w:iCs/>
          <w:szCs w:val="22"/>
        </w:rPr>
        <w:t xml:space="preserve"> této </w:t>
      </w:r>
      <w:r w:rsidR="00C5766F">
        <w:rPr>
          <w:rFonts w:cs="Arial"/>
          <w:iCs/>
          <w:szCs w:val="22"/>
        </w:rPr>
        <w:t>S</w:t>
      </w:r>
      <w:r w:rsidR="00C5766F" w:rsidRPr="003F5550">
        <w:rPr>
          <w:rFonts w:cs="Arial"/>
          <w:iCs/>
          <w:szCs w:val="22"/>
        </w:rPr>
        <w:t>mlouvy</w:t>
      </w:r>
      <w:r>
        <w:rPr>
          <w:rFonts w:cs="Arial"/>
          <w:szCs w:val="22"/>
        </w:rPr>
        <w:t>.</w:t>
      </w:r>
    </w:p>
    <w:p w:rsidR="00BE3AB6" w:rsidRPr="00BB5E4E" w:rsidRDefault="003A043A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Servisní smlouvu dle odst. 8.</w:t>
      </w:r>
      <w:r w:rsidR="000F7092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tohoto článku je </w:t>
      </w:r>
      <w:r w:rsidR="00BB5E4E">
        <w:rPr>
          <w:rFonts w:cs="Arial"/>
          <w:szCs w:val="22"/>
        </w:rPr>
        <w:t>Prodávající s Kupujícím po</w:t>
      </w:r>
      <w:r w:rsidR="005D7A5E">
        <w:rPr>
          <w:rFonts w:cs="Arial"/>
          <w:szCs w:val="22"/>
        </w:rPr>
        <w:t xml:space="preserve">vinen </w:t>
      </w:r>
      <w:r w:rsidR="00A9071F">
        <w:rPr>
          <w:rFonts w:cs="Arial"/>
          <w:szCs w:val="22"/>
        </w:rPr>
        <w:t xml:space="preserve">uzavřít nejpozději </w:t>
      </w:r>
      <w:r w:rsidR="005D7A5E">
        <w:rPr>
          <w:rFonts w:cs="Arial"/>
          <w:szCs w:val="22"/>
        </w:rPr>
        <w:t>p</w:t>
      </w:r>
      <w:r w:rsidR="0070276D">
        <w:rPr>
          <w:rFonts w:cs="Arial"/>
          <w:szCs w:val="22"/>
        </w:rPr>
        <w:t>ři</w:t>
      </w:r>
      <w:r w:rsidR="00BB5E4E">
        <w:rPr>
          <w:rFonts w:cs="Arial"/>
          <w:szCs w:val="22"/>
        </w:rPr>
        <w:t xml:space="preserve"> </w:t>
      </w:r>
      <w:r w:rsidR="00A9071F">
        <w:rPr>
          <w:rFonts w:cs="Arial"/>
          <w:szCs w:val="22"/>
        </w:rPr>
        <w:t xml:space="preserve">řádném </w:t>
      </w:r>
      <w:r w:rsidR="00BB5E4E">
        <w:rPr>
          <w:rFonts w:cs="Arial"/>
          <w:szCs w:val="22"/>
        </w:rPr>
        <w:t xml:space="preserve">předání </w:t>
      </w:r>
      <w:r w:rsidR="005D7A5E">
        <w:rPr>
          <w:rFonts w:cs="Arial"/>
          <w:szCs w:val="22"/>
        </w:rPr>
        <w:t>P</w:t>
      </w:r>
      <w:r w:rsidR="00BB5E4E">
        <w:rPr>
          <w:rFonts w:cs="Arial"/>
          <w:szCs w:val="22"/>
        </w:rPr>
        <w:t>ředmět</w:t>
      </w:r>
      <w:r w:rsidR="00C83A79">
        <w:rPr>
          <w:rFonts w:cs="Arial"/>
          <w:szCs w:val="22"/>
        </w:rPr>
        <w:t>u</w:t>
      </w:r>
      <w:r w:rsidR="00BB5E4E">
        <w:rPr>
          <w:rFonts w:cs="Arial"/>
          <w:szCs w:val="22"/>
        </w:rPr>
        <w:t xml:space="preserve"> </w:t>
      </w:r>
      <w:r w:rsidR="005D7A5E">
        <w:rPr>
          <w:rFonts w:cs="Arial"/>
          <w:szCs w:val="22"/>
        </w:rPr>
        <w:t xml:space="preserve">koupě dle </w:t>
      </w:r>
      <w:r w:rsidR="00A9071F">
        <w:rPr>
          <w:rFonts w:cs="Arial"/>
          <w:szCs w:val="22"/>
        </w:rPr>
        <w:t>této Smlouvy</w:t>
      </w:r>
      <w:r w:rsidR="00BB5E4E">
        <w:rPr>
          <w:rFonts w:cs="Arial"/>
          <w:szCs w:val="22"/>
        </w:rPr>
        <w:t>.</w:t>
      </w:r>
      <w:r w:rsidR="00BE3AB6" w:rsidRPr="00BE3AB6">
        <w:rPr>
          <w:rFonts w:cs="Arial"/>
          <w:szCs w:val="22"/>
        </w:rPr>
        <w:t xml:space="preserve"> </w:t>
      </w:r>
    </w:p>
    <w:p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DC00E6" w:rsidRDefault="00DC00E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DC00E6" w:rsidRDefault="00DC00E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0F7092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BE3AB6">
        <w:rPr>
          <w:rFonts w:cs="Arial"/>
          <w:b/>
          <w:bCs/>
          <w:szCs w:val="22"/>
        </w:rPr>
        <w:t>X</w:t>
      </w:r>
      <w:r w:rsidR="002F1402"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 případ porušení povinnosti </w:t>
      </w:r>
      <w:r w:rsidR="00A9071F" w:rsidRPr="003F5550">
        <w:rPr>
          <w:rFonts w:cs="Arial"/>
          <w:szCs w:val="22"/>
        </w:rPr>
        <w:t xml:space="preserve">dodat </w:t>
      </w:r>
      <w:r w:rsidR="00DD7D9D">
        <w:rPr>
          <w:rFonts w:cs="Arial"/>
          <w:szCs w:val="22"/>
        </w:rPr>
        <w:t>Předmět koupě</w:t>
      </w:r>
      <w:r w:rsidR="00311A3C" w:rsidRPr="003F5550">
        <w:rPr>
          <w:rFonts w:cs="Arial"/>
          <w:szCs w:val="22"/>
        </w:rPr>
        <w:t xml:space="preserve"> v dohodnutém termínu</w:t>
      </w:r>
      <w:r w:rsidR="00A9071F">
        <w:rPr>
          <w:rFonts w:cs="Arial"/>
          <w:szCs w:val="22"/>
        </w:rPr>
        <w:t xml:space="preserve"> dle</w:t>
      </w:r>
      <w:r w:rsidR="005E588D"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 xml:space="preserve">čl. II </w:t>
      </w:r>
      <w:r w:rsidR="005E588D" w:rsidRPr="003F5550">
        <w:rPr>
          <w:rFonts w:cs="Arial"/>
          <w:szCs w:val="22"/>
        </w:rPr>
        <w:t xml:space="preserve">odst. </w:t>
      </w:r>
      <w:r w:rsidR="002515F2" w:rsidRPr="003F5550">
        <w:rPr>
          <w:rFonts w:cs="Arial"/>
          <w:szCs w:val="22"/>
        </w:rPr>
        <w:t>2</w:t>
      </w:r>
      <w:r w:rsidR="005E588D" w:rsidRPr="003F5550">
        <w:rPr>
          <w:rFonts w:cs="Arial"/>
          <w:szCs w:val="22"/>
        </w:rPr>
        <w:t>.</w:t>
      </w:r>
      <w:r w:rsidR="006359BE">
        <w:rPr>
          <w:rFonts w:cs="Arial"/>
          <w:szCs w:val="22"/>
        </w:rPr>
        <w:t>1</w:t>
      </w:r>
      <w:r w:rsidR="005E588D" w:rsidRPr="003F5550">
        <w:rPr>
          <w:rFonts w:cs="Arial"/>
          <w:szCs w:val="22"/>
        </w:rPr>
        <w:t xml:space="preserve"> této </w:t>
      </w:r>
      <w:r w:rsidR="006359BE">
        <w:rPr>
          <w:rFonts w:cs="Arial"/>
          <w:szCs w:val="22"/>
        </w:rPr>
        <w:t>S</w:t>
      </w:r>
      <w:r w:rsidR="00A9071F">
        <w:rPr>
          <w:rFonts w:cs="Arial"/>
          <w:szCs w:val="22"/>
        </w:rPr>
        <w:t>mlouvy</w:t>
      </w:r>
      <w:r w:rsidRPr="003F5550">
        <w:rPr>
          <w:rFonts w:cs="Arial"/>
          <w:szCs w:val="22"/>
        </w:rPr>
        <w:t xml:space="preserve"> je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povinen zaplatit </w:t>
      </w:r>
      <w:r w:rsidR="00A9071F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 xml:space="preserve">smluvní pokutu ve výši </w:t>
      </w:r>
      <w:r w:rsidR="009D4C96" w:rsidRPr="003F5550">
        <w:rPr>
          <w:rFonts w:cs="Arial"/>
          <w:szCs w:val="22"/>
        </w:rPr>
        <w:t>0,</w:t>
      </w:r>
      <w:r w:rsidR="00C5766F">
        <w:rPr>
          <w:rFonts w:cs="Arial"/>
          <w:szCs w:val="22"/>
        </w:rPr>
        <w:t>1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 xml:space="preserve">ceny za </w:t>
      </w:r>
      <w:r w:rsidR="00DD7D9D">
        <w:rPr>
          <w:rFonts w:cs="Arial"/>
          <w:szCs w:val="22"/>
        </w:rPr>
        <w:t>Předmět koupě</w:t>
      </w:r>
      <w:r w:rsidR="00A9071F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</w:t>
      </w:r>
      <w:r w:rsidR="00A9071F">
        <w:rPr>
          <w:rFonts w:cs="Arial"/>
          <w:szCs w:val="22"/>
        </w:rPr>
        <w:t xml:space="preserve">trvání </w:t>
      </w:r>
      <w:r w:rsidRPr="003F5550">
        <w:rPr>
          <w:rFonts w:cs="Arial"/>
          <w:szCs w:val="22"/>
        </w:rPr>
        <w:t xml:space="preserve">prodlení </w:t>
      </w:r>
      <w:r w:rsidR="00A9071F">
        <w:rPr>
          <w:rFonts w:cs="Arial"/>
          <w:szCs w:val="22"/>
        </w:rPr>
        <w:t>se splněním povinnosti</w:t>
      </w:r>
      <w:r w:rsidRPr="003F5550">
        <w:rPr>
          <w:rFonts w:cs="Arial"/>
          <w:szCs w:val="22"/>
        </w:rPr>
        <w:t>.</w:t>
      </w:r>
      <w:r w:rsidR="005E588D" w:rsidRPr="003F5550">
        <w:rPr>
          <w:rFonts w:cs="Arial"/>
          <w:szCs w:val="22"/>
        </w:rPr>
        <w:t xml:space="preserve"> D</w:t>
      </w:r>
      <w:r w:rsidR="006D2D56">
        <w:rPr>
          <w:rFonts w:cs="Arial"/>
          <w:szCs w:val="22"/>
        </w:rPr>
        <w:t>nem řádného dodání a zprovoznění</w:t>
      </w:r>
      <w:r w:rsidR="005E588D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6D2D56">
        <w:rPr>
          <w:rFonts w:cs="Arial"/>
          <w:szCs w:val="22"/>
        </w:rPr>
        <w:t xml:space="preserve"> je den</w:t>
      </w:r>
      <w:r w:rsidR="005E588D" w:rsidRPr="003F5550">
        <w:rPr>
          <w:rFonts w:cs="Arial"/>
          <w:szCs w:val="22"/>
        </w:rPr>
        <w:t xml:space="preserve"> podpis</w:t>
      </w:r>
      <w:r w:rsidR="006D2D56">
        <w:rPr>
          <w:rFonts w:cs="Arial"/>
          <w:szCs w:val="22"/>
        </w:rPr>
        <w:t>u</w:t>
      </w:r>
      <w:r w:rsidR="005E588D" w:rsidRPr="003F5550">
        <w:rPr>
          <w:rFonts w:cs="Arial"/>
          <w:szCs w:val="22"/>
        </w:rPr>
        <w:t xml:space="preserve"> Protokolu</w:t>
      </w:r>
      <w:r w:rsidR="006D2D56">
        <w:rPr>
          <w:rFonts w:cs="Arial"/>
          <w:szCs w:val="22"/>
        </w:rPr>
        <w:t xml:space="preserve"> ze strany obou účastníků</w:t>
      </w:r>
      <w:r w:rsidR="005E588D" w:rsidRPr="003F5550">
        <w:rPr>
          <w:rFonts w:cs="Arial"/>
          <w:szCs w:val="22"/>
        </w:rPr>
        <w:t>.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0,</w:t>
      </w:r>
      <w:r w:rsidR="00C5766F">
        <w:rPr>
          <w:rFonts w:cs="Arial"/>
          <w:szCs w:val="22"/>
        </w:rPr>
        <w:t>1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 termínu sjednaného k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odstranění vad</w:t>
      </w:r>
      <w:r w:rsidR="00C90EFB" w:rsidRPr="003F5550">
        <w:rPr>
          <w:rFonts w:cs="Arial"/>
          <w:szCs w:val="22"/>
        </w:rPr>
        <w:t xml:space="preserve">, a to za každou vadu či </w:t>
      </w:r>
      <w:r w:rsidR="00FA37D5" w:rsidRPr="003F5550">
        <w:rPr>
          <w:rFonts w:cs="Arial"/>
          <w:szCs w:val="22"/>
        </w:rPr>
        <w:t xml:space="preserve">vzájemně </w:t>
      </w:r>
      <w:r w:rsidR="00C90EFB" w:rsidRPr="003F5550">
        <w:rPr>
          <w:rFonts w:cs="Arial"/>
          <w:szCs w:val="22"/>
        </w:rPr>
        <w:t>související soubor vad</w:t>
      </w:r>
      <w:r w:rsidR="006D2D56">
        <w:rPr>
          <w:rFonts w:cs="Arial"/>
          <w:szCs w:val="22"/>
        </w:rPr>
        <w:t>, nedohodnou-li se S</w:t>
      </w:r>
      <w:r w:rsidR="00883777" w:rsidRPr="003F5550">
        <w:rPr>
          <w:rFonts w:cs="Arial"/>
          <w:szCs w:val="22"/>
        </w:rPr>
        <w:t>mluvní strany jinak</w:t>
      </w:r>
      <w:r w:rsidR="00C90EFB" w:rsidRPr="003F5550">
        <w:rPr>
          <w:rFonts w:cs="Arial"/>
          <w:szCs w:val="22"/>
        </w:rPr>
        <w:t>.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dostane do prodlení </w:t>
      </w:r>
      <w:r w:rsidR="00FE72FB" w:rsidRPr="003F5550">
        <w:rPr>
          <w:rFonts w:cs="Arial"/>
          <w:szCs w:val="22"/>
        </w:rPr>
        <w:t>delší</w:t>
      </w:r>
      <w:r w:rsidR="00DF504C" w:rsidRPr="003F5550">
        <w:rPr>
          <w:rFonts w:cs="Arial"/>
          <w:szCs w:val="22"/>
        </w:rPr>
        <w:t>ho</w:t>
      </w:r>
      <w:r w:rsidR="00FE72FB" w:rsidRPr="003F5550">
        <w:rPr>
          <w:rFonts w:cs="Arial"/>
          <w:szCs w:val="22"/>
        </w:rPr>
        <w:t xml:space="preserve"> než </w:t>
      </w:r>
      <w:r w:rsidR="00311A3C" w:rsidRPr="003F5550">
        <w:rPr>
          <w:rFonts w:cs="Arial"/>
          <w:szCs w:val="22"/>
        </w:rPr>
        <w:t>10</w:t>
      </w:r>
      <w:r w:rsidR="00FE72FB" w:rsidRPr="003F5550">
        <w:rPr>
          <w:rFonts w:cs="Arial"/>
          <w:szCs w:val="22"/>
        </w:rPr>
        <w:t xml:space="preserve"> kalendářních dnů </w:t>
      </w:r>
      <w:r w:rsidRPr="003F5550">
        <w:rPr>
          <w:rFonts w:cs="Arial"/>
          <w:szCs w:val="22"/>
        </w:rPr>
        <w:t>s</w:t>
      </w:r>
      <w:r w:rsidR="00BF0E48" w:rsidRPr="003F5550">
        <w:rPr>
          <w:rFonts w:cs="Arial"/>
          <w:szCs w:val="22"/>
        </w:rPr>
        <w:t xml:space="preserve"> úhradou sjednané </w:t>
      </w:r>
      <w:r w:rsidR="00DD7D9D">
        <w:rPr>
          <w:rFonts w:cs="Arial"/>
          <w:szCs w:val="22"/>
        </w:rPr>
        <w:t xml:space="preserve">kupní </w:t>
      </w:r>
      <w:r w:rsidR="00BF0E48" w:rsidRPr="003F5550">
        <w:rPr>
          <w:rFonts w:cs="Arial"/>
          <w:szCs w:val="22"/>
        </w:rPr>
        <w:t>ceny ve sjednaném termínu</w:t>
      </w:r>
      <w:r w:rsidRPr="003F5550">
        <w:rPr>
          <w:rFonts w:cs="Arial"/>
          <w:szCs w:val="22"/>
        </w:rPr>
        <w:t xml:space="preserve">, je povinen uhradit </w:t>
      </w:r>
      <w:r w:rsidR="00311A3C" w:rsidRPr="003F5550">
        <w:rPr>
          <w:rFonts w:cs="Arial"/>
          <w:szCs w:val="22"/>
        </w:rPr>
        <w:t xml:space="preserve">Prodávajícímu </w:t>
      </w:r>
      <w:r w:rsidR="006D2D56">
        <w:rPr>
          <w:rFonts w:cs="Arial"/>
          <w:szCs w:val="22"/>
        </w:rPr>
        <w:t>úrok z prodlení z dlužné částky ve výši stanovené dle občanského zákoníku</w:t>
      </w:r>
      <w:r w:rsidR="00C90EFB" w:rsidRPr="003F5550">
        <w:rPr>
          <w:rFonts w:cs="Arial"/>
          <w:szCs w:val="22"/>
        </w:rPr>
        <w:t>.</w:t>
      </w:r>
    </w:p>
    <w:p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:rsidR="0047580C" w:rsidRPr="003F5550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:rsidR="00A2698D" w:rsidRPr="003F5550" w:rsidRDefault="00A2698D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termínem dodání delším než </w:t>
      </w:r>
      <w:r w:rsidR="004F2D15">
        <w:rPr>
          <w:rFonts w:cs="Arial"/>
          <w:szCs w:val="22"/>
        </w:rPr>
        <w:t>30</w:t>
      </w:r>
      <w:r w:rsidRPr="003F5550">
        <w:rPr>
          <w:rFonts w:cs="Arial"/>
          <w:szCs w:val="22"/>
        </w:rPr>
        <w:t xml:space="preserve"> dní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nepravdivost prohlášení prodávajícího dle čl. </w:t>
      </w:r>
      <w:r w:rsidR="006359BE">
        <w:rPr>
          <w:rFonts w:cs="Arial"/>
          <w:szCs w:val="22"/>
        </w:rPr>
        <w:t>VI odst. 6.4 a/nebo 6</w:t>
      </w:r>
      <w:r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úhradou oprávněně vyúčtované kupní ceny delším než </w:t>
      </w:r>
      <w:r w:rsidR="004F2D15">
        <w:rPr>
          <w:rFonts w:cs="Arial"/>
          <w:szCs w:val="22"/>
        </w:rPr>
        <w:t>30</w:t>
      </w:r>
      <w:r w:rsidRPr="003F5550">
        <w:rPr>
          <w:rFonts w:cs="Arial"/>
          <w:szCs w:val="22"/>
        </w:rPr>
        <w:t xml:space="preserve"> pracovních dní</w:t>
      </w:r>
      <w:r w:rsidR="006D2D56">
        <w:rPr>
          <w:rFonts w:cs="Arial"/>
          <w:szCs w:val="22"/>
        </w:rPr>
        <w:t>.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 w:rsidR="006359BE"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0E7521">
        <w:rPr>
          <w:rFonts w:cs="Arial"/>
          <w:szCs w:val="22"/>
        </w:rPr>
        <w:t xml:space="preserve"> s účinky ex nunc (od nynějška)</w:t>
      </w:r>
      <w:r w:rsidRPr="003F5550">
        <w:rPr>
          <w:rFonts w:cs="Arial"/>
          <w:szCs w:val="22"/>
        </w:rPr>
        <w:t>.</w:t>
      </w:r>
      <w:bookmarkStart w:id="0" w:name="_Hlk198026038"/>
    </w:p>
    <w:bookmarkEnd w:id="0"/>
    <w:p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</w:t>
      </w:r>
      <w:r w:rsidR="00BE3AB6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:rsidR="002B5343" w:rsidRPr="003F5550" w:rsidRDefault="002B534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</w:t>
      </w:r>
      <w:r w:rsidR="00BE3AB6">
        <w:rPr>
          <w:rFonts w:cs="Arial"/>
          <w:b/>
          <w:sz w:val="22"/>
          <w:szCs w:val="22"/>
        </w:rPr>
        <w:t>I</w:t>
      </w:r>
      <w:r w:rsidRPr="003F5550">
        <w:rPr>
          <w:rFonts w:cs="Arial"/>
          <w:b/>
          <w:sz w:val="22"/>
          <w:szCs w:val="22"/>
        </w:rPr>
        <w:t>.</w:t>
      </w:r>
    </w:p>
    <w:p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zákoníků</w:t>
      </w:r>
      <w:r w:rsidRPr="003F5550">
        <w:rPr>
          <w:rFonts w:cs="Arial"/>
          <w:szCs w:val="22"/>
        </w:rPr>
        <w:t>.</w:t>
      </w:r>
    </w:p>
    <w:p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včetně skutečně uhrazené ceny ve smyslu </w:t>
      </w:r>
      <w:r w:rsidR="000E7521">
        <w:rPr>
          <w:rFonts w:cs="Arial"/>
          <w:szCs w:val="22"/>
        </w:rPr>
        <w:t xml:space="preserve">ustanovení </w:t>
      </w:r>
      <w:r w:rsidRPr="002B5343">
        <w:rPr>
          <w:rFonts w:cs="Arial"/>
          <w:szCs w:val="22"/>
        </w:rPr>
        <w:t xml:space="preserve">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 Smlouva nabývá účinnosti dnem zveřejnění v registru smluv.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:rsidR="00561FA1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bookmarkStart w:id="1" w:name="_Hlk200977758"/>
      <w:r>
        <w:rPr>
          <w:rFonts w:cs="Arial"/>
          <w:szCs w:val="22"/>
        </w:rPr>
        <w:t xml:space="preserve">Příloha č. 1 - </w:t>
      </w:r>
      <w:r w:rsidR="00561FA1">
        <w:rPr>
          <w:rFonts w:cs="Arial"/>
          <w:szCs w:val="22"/>
        </w:rPr>
        <w:t>Technická specifikace</w:t>
      </w:r>
      <w:r w:rsidR="00DC00E6">
        <w:rPr>
          <w:rFonts w:cs="Arial"/>
          <w:szCs w:val="22"/>
        </w:rPr>
        <w:t xml:space="preserve"> (rozdělená na část 1a a 1b)</w:t>
      </w:r>
    </w:p>
    <w:bookmarkEnd w:id="1"/>
    <w:p w:rsidR="00561FA1" w:rsidRPr="002B5343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Příloha č. 2 - </w:t>
      </w:r>
      <w:r w:rsidR="00561FA1">
        <w:rPr>
          <w:rFonts w:cs="Arial"/>
          <w:szCs w:val="22"/>
        </w:rPr>
        <w:t>Servisní smlouva</w:t>
      </w:r>
    </w:p>
    <w:p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71F8C" w:rsidRPr="003F5550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811A98" w:rsidRPr="002B5343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>
        <w:rPr>
          <w:rFonts w:cs="Arial"/>
          <w:szCs w:val="22"/>
        </w:rPr>
        <w:tab/>
      </w:r>
      <w:r w:rsidR="00FC049B">
        <w:rPr>
          <w:rFonts w:cs="Arial"/>
          <w:szCs w:val="22"/>
        </w:rPr>
        <w:t xml:space="preserve">Janských Lázních </w:t>
      </w:r>
      <w:r>
        <w:rPr>
          <w:rFonts w:cs="Arial"/>
          <w:szCs w:val="22"/>
        </w:rPr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43844">
        <w:rPr>
          <w:rFonts w:cs="Arial"/>
          <w:szCs w:val="22"/>
        </w:rPr>
        <w:t xml:space="preserve">         </w:t>
      </w:r>
      <w:r>
        <w:rPr>
          <w:rFonts w:cs="Arial"/>
          <w:szCs w:val="22"/>
        </w:rPr>
        <w:t>V</w:t>
      </w:r>
      <w:r w:rsidR="003564E2">
        <w:rPr>
          <w:rFonts w:cs="Arial"/>
          <w:szCs w:val="22"/>
        </w:rPr>
        <w:t xml:space="preserve"> Hradci Králové  </w:t>
      </w:r>
      <w:r>
        <w:rPr>
          <w:rFonts w:cs="Arial"/>
          <w:szCs w:val="22"/>
        </w:rPr>
        <w:t>dne</w:t>
      </w:r>
      <w:r w:rsidR="00715D55">
        <w:rPr>
          <w:rFonts w:cs="Arial"/>
          <w:szCs w:val="22"/>
        </w:rPr>
        <w:t xml:space="preserve"> </w:t>
      </w:r>
    </w:p>
    <w:p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:rsidR="002B5343" w:rsidRPr="002B5343" w:rsidRDefault="00111485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3564E2">
        <w:rPr>
          <w:rFonts w:cs="Arial"/>
          <w:b/>
          <w:bCs/>
          <w:szCs w:val="22"/>
        </w:rPr>
        <w:t xml:space="preserve">          </w:t>
      </w:r>
      <w:r>
        <w:rPr>
          <w:rFonts w:ascii="LiberationSans" w:hAnsi="LiberationSans" w:cs="LiberationSans"/>
          <w:b/>
          <w:szCs w:val="22"/>
        </w:rPr>
        <w:t>xxx</w:t>
      </w:r>
      <w:bookmarkStart w:id="2" w:name="_GoBack"/>
      <w:bookmarkEnd w:id="2"/>
      <w:r w:rsidR="003564E2" w:rsidRPr="003564E2">
        <w:rPr>
          <w:rFonts w:ascii="LiberationSans" w:hAnsi="LiberationSans" w:cs="LiberationSans"/>
          <w:b/>
          <w:szCs w:val="22"/>
        </w:rPr>
        <w:t xml:space="preserve"> - jednatel</w:t>
      </w:r>
    </w:p>
    <w:p w:rsidR="00F30BB2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ředitel</w:t>
      </w: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4F2D15" w:rsidRDefault="004F2D15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821720" w:rsidRPr="00F572F8" w:rsidRDefault="00821720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  <w:r w:rsidRPr="00F572F8">
        <w:rPr>
          <w:b/>
          <w:bCs/>
        </w:rPr>
        <w:t xml:space="preserve">Příloha č. </w:t>
      </w:r>
      <w:r w:rsidR="0004170E" w:rsidRPr="00F572F8">
        <w:rPr>
          <w:b/>
          <w:bCs/>
        </w:rPr>
        <w:t>1</w:t>
      </w:r>
      <w:r w:rsidR="0004170E">
        <w:rPr>
          <w:b/>
          <w:bCs/>
        </w:rPr>
        <w:t>a</w:t>
      </w:r>
      <w:r w:rsidR="0004170E" w:rsidRPr="00F572F8">
        <w:rPr>
          <w:b/>
          <w:bCs/>
        </w:rPr>
        <w:t xml:space="preserve"> – Technická</w:t>
      </w:r>
      <w:r w:rsidRPr="00F572F8">
        <w:rPr>
          <w:b/>
          <w:bCs/>
        </w:rPr>
        <w:t xml:space="preserve"> specifikace</w:t>
      </w:r>
    </w:p>
    <w:p w:rsidR="004F2D15" w:rsidRDefault="004F2D15" w:rsidP="004F2D15">
      <w:pPr>
        <w:spacing w:before="120" w:line="276" w:lineRule="auto"/>
        <w:contextualSpacing/>
        <w:jc w:val="both"/>
      </w:pPr>
    </w:p>
    <w:p w:rsidR="004F2D15" w:rsidRPr="004F2D15" w:rsidRDefault="004F2D15" w:rsidP="004F2D15">
      <w:pPr>
        <w:spacing w:before="120" w:line="276" w:lineRule="auto"/>
        <w:contextualSpacing/>
        <w:jc w:val="both"/>
      </w:pPr>
      <w:r w:rsidRPr="004F2D15">
        <w:t xml:space="preserve">Vozidlo </w:t>
      </w:r>
      <w:r w:rsidR="0004170E">
        <w:t>splňuje</w:t>
      </w:r>
      <w:r w:rsidRPr="004F2D15">
        <w:t xml:space="preserve"> následující podmínky:</w:t>
      </w:r>
    </w:p>
    <w:p w:rsidR="004F2D15" w:rsidRPr="004F2D15" w:rsidRDefault="004F2D15" w:rsidP="0004170E">
      <w:pPr>
        <w:numPr>
          <w:ilvl w:val="3"/>
          <w:numId w:val="43"/>
        </w:numPr>
        <w:spacing w:before="120" w:line="276" w:lineRule="auto"/>
        <w:ind w:left="426"/>
        <w:contextualSpacing/>
        <w:jc w:val="both"/>
      </w:pPr>
      <w:r w:rsidRPr="004F2D15">
        <w:t>nové vozidlo – modelový rok výroby 2024-2025;</w:t>
      </w:r>
    </w:p>
    <w:p w:rsidR="004F2D15" w:rsidRPr="004F2D15" w:rsidRDefault="004F2D15" w:rsidP="0004170E">
      <w:pPr>
        <w:numPr>
          <w:ilvl w:val="3"/>
          <w:numId w:val="43"/>
        </w:numPr>
        <w:spacing w:before="120" w:line="276" w:lineRule="auto"/>
        <w:ind w:left="426"/>
        <w:contextualSpacing/>
        <w:jc w:val="both"/>
      </w:pPr>
      <w:r w:rsidRPr="004F2D15">
        <w:t xml:space="preserve">typ vozidla </w:t>
      </w:r>
      <w:r w:rsidR="0004170E">
        <w:t xml:space="preserve">je </w:t>
      </w:r>
      <w:r w:rsidRPr="004F2D15">
        <w:t>homologován pro provoz na pozemních komunikacích v ČR;</w:t>
      </w:r>
    </w:p>
    <w:p w:rsidR="004F2D15" w:rsidRPr="004F2D15" w:rsidRDefault="004F2D15" w:rsidP="0004170E">
      <w:pPr>
        <w:numPr>
          <w:ilvl w:val="3"/>
          <w:numId w:val="43"/>
        </w:numPr>
        <w:spacing w:before="120" w:line="276" w:lineRule="auto"/>
        <w:ind w:left="426"/>
        <w:contextualSpacing/>
        <w:jc w:val="both"/>
      </w:pPr>
      <w:r w:rsidRPr="004F2D15">
        <w:t>vozidlo musí splňovat exhalační normu Euro 6, popřípadě vyšší;</w:t>
      </w:r>
    </w:p>
    <w:p w:rsidR="004F2D15" w:rsidRPr="004F2D15" w:rsidRDefault="004F2D15" w:rsidP="0004170E">
      <w:pPr>
        <w:numPr>
          <w:ilvl w:val="3"/>
          <w:numId w:val="43"/>
        </w:numPr>
        <w:spacing w:before="120" w:line="276" w:lineRule="auto"/>
        <w:ind w:left="426"/>
        <w:contextualSpacing/>
        <w:jc w:val="both"/>
      </w:pPr>
      <w:r w:rsidRPr="004F2D15">
        <w:lastRenderedPageBreak/>
        <w:t xml:space="preserve">vozidlo musí splňovat vybavení vozidel povinnou výbavou dle </w:t>
      </w:r>
      <w:r w:rsidR="0004170E">
        <w:t xml:space="preserve">vyhlášky č. </w:t>
      </w:r>
      <w:r w:rsidR="0004170E" w:rsidRPr="0004170E">
        <w:t>153/2023 Sb.</w:t>
      </w:r>
      <w:r w:rsidRPr="004F2D15">
        <w:t xml:space="preserve">, </w:t>
      </w:r>
      <w:r w:rsidR="0004170E" w:rsidRPr="0004170E">
        <w:t>o schvalování technické způsobilosti vozidel a technických podmínkách provozu vozidel na pozemních komunikacích</w:t>
      </w:r>
      <w:r w:rsidR="0004170E">
        <w:t>,</w:t>
      </w:r>
      <w:r w:rsidR="0004170E" w:rsidRPr="0004170E">
        <w:t xml:space="preserve"> </w:t>
      </w:r>
      <w:r w:rsidRPr="004F2D15">
        <w:t>v platném znění;</w:t>
      </w:r>
    </w:p>
    <w:p w:rsidR="00821720" w:rsidRDefault="004F2D15" w:rsidP="0004170E">
      <w:pPr>
        <w:numPr>
          <w:ilvl w:val="3"/>
          <w:numId w:val="43"/>
        </w:numPr>
        <w:spacing w:before="120" w:line="276" w:lineRule="auto"/>
        <w:ind w:left="426"/>
        <w:contextualSpacing/>
        <w:jc w:val="both"/>
      </w:pPr>
      <w:r w:rsidRPr="004F2D15">
        <w:t xml:space="preserve">vozidlo musí splňovat technické parametry a výbavu v souladu s minimálními požadavky zadavatele dle přílohy č. </w:t>
      </w:r>
      <w:r w:rsidR="0004170E">
        <w:t>1b</w:t>
      </w:r>
      <w:r w:rsidRPr="004F2D15">
        <w:t xml:space="preserve"> této </w:t>
      </w:r>
      <w:r w:rsidR="0004170E">
        <w:t>Smlouvy.</w:t>
      </w:r>
    </w:p>
    <w:p w:rsidR="005C0079" w:rsidRDefault="005C0079" w:rsidP="005C0079">
      <w:pPr>
        <w:spacing w:before="120" w:line="276" w:lineRule="auto"/>
        <w:ind w:left="66"/>
        <w:contextualSpacing/>
        <w:jc w:val="both"/>
      </w:pPr>
    </w:p>
    <w:p w:rsidR="005C0079" w:rsidRDefault="005C0079" w:rsidP="005C0079">
      <w:pPr>
        <w:spacing w:before="120" w:line="276" w:lineRule="auto"/>
        <w:ind w:left="66"/>
        <w:contextualSpacing/>
        <w:jc w:val="both"/>
      </w:pPr>
      <w:r>
        <w:br w:type="page"/>
      </w:r>
      <w:r w:rsidRPr="00F572F8">
        <w:rPr>
          <w:b/>
          <w:bCs/>
        </w:rPr>
        <w:lastRenderedPageBreak/>
        <w:t>Příloha č. 1</w:t>
      </w:r>
      <w:r>
        <w:rPr>
          <w:b/>
          <w:bCs/>
        </w:rPr>
        <w:t>b</w:t>
      </w:r>
      <w:r w:rsidRPr="00F572F8">
        <w:rPr>
          <w:b/>
          <w:bCs/>
        </w:rPr>
        <w:t xml:space="preserve"> – Technická specifikace</w:t>
      </w:r>
      <w:r w:rsidR="00091CCD">
        <w:rPr>
          <w:b/>
          <w:bCs/>
        </w:rPr>
        <w:t xml:space="preserve"> </w:t>
      </w:r>
      <w:r w:rsidR="0035104F">
        <w:rPr>
          <w:b/>
          <w:bCs/>
        </w:rPr>
        <w:t>–</w:t>
      </w:r>
      <w:r w:rsidR="00091CCD">
        <w:rPr>
          <w:b/>
          <w:bCs/>
        </w:rPr>
        <w:t xml:space="preserve"> </w:t>
      </w:r>
      <w:r w:rsidR="0035104F">
        <w:rPr>
          <w:b/>
          <w:bCs/>
        </w:rPr>
        <w:t>technické údaje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632"/>
        <w:gridCol w:w="1787"/>
        <w:gridCol w:w="2240"/>
      </w:tblGrid>
      <w:tr w:rsidR="00216F87" w:rsidRPr="00216F87" w:rsidTr="002B59EF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TECHNICKÁ SPECIFIKACE – OSOBNÍ VOZIDLA NA BĚŽNÝ POHON – KATEGORIE 4B - benzin</w:t>
            </w:r>
          </w:p>
        </w:tc>
      </w:tr>
      <w:tr w:rsidR="00216F87" w:rsidRPr="00216F87" w:rsidTr="002B59EF">
        <w:trPr>
          <w:trHeight w:val="825"/>
        </w:trPr>
        <w:tc>
          <w:tcPr>
            <w:tcW w:w="13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Požadavek zadavatele</w:t>
            </w:r>
          </w:p>
        </w:tc>
        <w:tc>
          <w:tcPr>
            <w:tcW w:w="21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Nabídka dodavatele</w:t>
            </w: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br/>
              <w:t>(žluté buňky vyplní dodavatel)</w:t>
            </w:r>
          </w:p>
        </w:tc>
      </w:tr>
      <w:tr w:rsidR="00216F87" w:rsidRPr="00216F87" w:rsidTr="002B59EF">
        <w:trPr>
          <w:trHeight w:val="315"/>
        </w:trPr>
        <w:tc>
          <w:tcPr>
            <w:tcW w:w="1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Splnění požadavku dodavatelem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Popis naplnění požadavku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Tovární značka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Tovární značka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Škoda</w:t>
            </w: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Obchodní označení modelu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Obchodní označení modelu (včetně výbavového stupně)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E2147" w:rsidRDefault="006E2147" w:rsidP="006E214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Octavia Combi Exlusive Selection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Motor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zážehový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Palivo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bezolovnatý 95-oktanový benzin (Natural 95)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Výkon [kW]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min. 130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150</w:t>
            </w:r>
          </w:p>
        </w:tc>
      </w:tr>
      <w:tr w:rsidR="00216F87" w:rsidRPr="00216F87" w:rsidTr="002B59EF">
        <w:trPr>
          <w:trHeight w:val="31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Točivý moment [Nm]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min. 250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</w:tr>
      <w:tr w:rsidR="00216F87" w:rsidRPr="00216F87" w:rsidTr="002B59EF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ZÁKLADNÍ VLASTNOSTI VOZU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Provedení karoserie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AC (kombi)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kombi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Počet dveří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Počet míst k sezení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Převodovka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automatická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1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Pohon kol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4 x 4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6E214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ROZMĚRY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Rozvor (mm) dle technické dokumentace vozidla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22BD" w:rsidRDefault="003F22BD" w:rsidP="003F22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2600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2677</w:t>
            </w: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 xml:space="preserve">Základní objem zavazadlového prostoru měřený metodou VDA V210 v dm³ 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min. 535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640</w:t>
            </w:r>
          </w:p>
        </w:tc>
      </w:tr>
      <w:tr w:rsidR="00216F87" w:rsidRPr="00216F87" w:rsidTr="002B59EF">
        <w:trPr>
          <w:trHeight w:val="31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Objem palivové nádrže [dm³]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min. 45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55</w:t>
            </w:r>
          </w:p>
        </w:tc>
      </w:tr>
      <w:tr w:rsidR="00216F87" w:rsidRPr="00216F87" w:rsidTr="002B59EF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EXTERIÉR A INTERIÉR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Barva karoserie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bílá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1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Převládající barva interiéru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šedá nebo černá; případně kombinace obou barev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F22BD" w:rsidRDefault="003F22BD" w:rsidP="003F22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Suite černý -kůže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BEZPEČNOST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Airbagy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min. 6 airbagů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Přední mlhové světlomety nebo typ světlometů nahrazující funkci předních mlhových světlometů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  <w:r w:rsidR="00216F87" w:rsidRPr="00216F87">
              <w:rPr>
                <w:rFonts w:ascii="Calibri" w:hAnsi="Calibri" w:cs="Calibri"/>
                <w:color w:val="000000"/>
                <w:sz w:val="20"/>
              </w:rPr>
              <w:t>"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F22BD" w:rsidRDefault="003F22BD" w:rsidP="003F22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Matrix-LED přední světlomety s funkcí do špatného počasí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31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Aktivní systém prevence čelního nárazu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VÝBAVA A FUNKČNOST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Klimatizace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automatická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Tempomat nebo adaptivní tempomat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F22BD" w:rsidRDefault="003F22BD" w:rsidP="003F22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Prediktivní tempomat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Centrální zamykání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bezklíčové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Počet ovladačů centrálního zamykání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požadovány alespoň dva ovladače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</w:tr>
      <w:tr w:rsidR="00216F87" w:rsidRPr="00216F87" w:rsidTr="002B59EF">
        <w:trPr>
          <w:trHeight w:val="73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Okna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elektrické stahování oken minimálně předních dveří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F22BD" w:rsidRDefault="003F22BD" w:rsidP="003F22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El. stahování předních i zadních oken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Tónování oken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tónování (max. dle legislativy)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102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Zadní stěrač s ostřikovačem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zadní stěrač s ostřikovačem v případě karoserie Kombi nebo Crossover nebo SUV nebo Hatchback nebo Liftback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Audiosystém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originální z výroby a integrovaný v palubní desce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Palubní počítač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Multimediální systém vybavený rozhraním Apple Carplay a Android Auto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76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Handsfree sada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handsfree - bluetooth, handsfree jako jedna z funkcí integrovaného autorádia (vestavěné společně s rádiem)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70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 xml:space="preserve">USB port [k nabíjení, případně propojení se systémem vozu] 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min. 1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F22BD" w:rsidRDefault="003F22BD" w:rsidP="003F22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2x USB-C vpředu, 2x USB-C vzadu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Volant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výškově a podélně nastavitelný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Sedadla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dělená a sklopná zadní opěradla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Přední sedadla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výškově nastavitelné sedadlo řidiče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>Vnější zpětná zrcátka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elektricky ovládaná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Koberce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požadovány koberce pocházející z originálního příslušenství výrobce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Materiál koberců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gumové koberce vpředu i vzadu a v zavazadlovém prostoru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102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Pneumatiky, kola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na vozidle namontována kola dle ročního období v okamžiku dodání, tj. zimní v období mezi 15. 10. a 31. 3., ve zbývajícím období letní; součástí dodávky i kola pro opačné období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Stáří pneumatik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dodávané pneumatiky nesmějí být starší než 18 měsíců v momentu převzetí vozidla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Letní, zimní pneumatiky kompatibilní s vozidlem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 xml:space="preserve">letní pneu na litých discích včetně sady kompatibilních bezpečnostních šroubů kol 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3F22BD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Kola z lehké slitiny Lerna 18", pneu 225/45 R18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zimní pneu na litých discích včetně sady kompatibilních bezpečnostních šroubů kol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Kola z lehké slitiny Lyra 17", zimní pneu dle aktuální nabídky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Sady disků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sada disků zvlášť pro letní i zimní pneu, tj. celkem dvě sady disků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70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Rezervní kolo nebo dojezdové kolo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rezervní kolo nebo dojezdové kolo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Rezervní kolo - dojezdové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480"/>
        </w:trPr>
        <w:tc>
          <w:tcPr>
            <w:tcW w:w="13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Povinná výbava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ZÁRUKA  </w:t>
            </w:r>
          </w:p>
        </w:tc>
      </w:tr>
      <w:tr w:rsidR="00216F87" w:rsidRPr="00216F87" w:rsidTr="002B59EF">
        <w:trPr>
          <w:trHeight w:val="1065"/>
        </w:trPr>
        <w:tc>
          <w:tcPr>
            <w:tcW w:w="138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Záruka na jakost vozidla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záruka za jakost, tj. funkčnost vozidla jako celku po dobu 24 měsíců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Záruka na vozidlo 24 měsíců</w:t>
            </w:r>
          </w:p>
        </w:tc>
      </w:tr>
      <w:tr w:rsidR="00216F87" w:rsidRPr="00216F87" w:rsidTr="002B59EF">
        <w:trPr>
          <w:trHeight w:val="1065"/>
        </w:trPr>
        <w:tc>
          <w:tcPr>
            <w:tcW w:w="138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prodloužená záruka na jakost vozidla = záruka na bezvadnou funkci vozidla v délce 60 měsíců, nebo do ujetí 150 000 km podle toho, která skutečnost nastane dříve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 měsíců nebo do 150 000 km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1065"/>
        </w:trPr>
        <w:tc>
          <w:tcPr>
            <w:tcW w:w="138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záruční doba na životnost karoserie proti korozi 60 měsíců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dle zadání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1065"/>
        </w:trPr>
        <w:tc>
          <w:tcPr>
            <w:tcW w:w="138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záruční doba na lakované části vozidel a trvanlivost laku 36 měsíců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dle zadání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52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Speciální záruky na lak a neprorezavění karoserie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délka záruky na lak min. 3 roky, délka záruky na neprorezavění karoserie min. 12 let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Dle zadání</w:t>
            </w:r>
          </w:p>
        </w:tc>
      </w:tr>
      <w:tr w:rsidR="00216F87" w:rsidRPr="00216F87" w:rsidTr="002B59EF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NADSTANDARDNÍ VÝBAVA</w:t>
            </w:r>
          </w:p>
        </w:tc>
      </w:tr>
      <w:tr w:rsidR="00216F87" w:rsidRPr="00216F87" w:rsidTr="002B59EF">
        <w:trPr>
          <w:trHeight w:val="765"/>
        </w:trPr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Základní nebo podélné střešní nosiče, prolisy v karoserii, nebo jiný systém umožňující přímou montáž střešních příčníků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Střešní nosič - černý (combi)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51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>Parkovací senzory vzadu a/nebo parkovací kamera vzadu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senzory vpředu/vzadu, panoramatický kamerový systém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>Vyhřívaná vnější zpětná zrcátka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>Středová loketní opěrka vpředu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>Středová loketní opěrka vzadu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–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>–</w:t>
            </w:r>
          </w:p>
        </w:tc>
      </w:tr>
      <w:tr w:rsidR="00216F87" w:rsidRPr="00216F87" w:rsidTr="002B59EF">
        <w:trPr>
          <w:trHeight w:val="153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>Letní pneu na litých discích včetně sady kompatibilních bezpečnostních šroubů kol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sz w:val="20"/>
              </w:rPr>
            </w:pPr>
            <w:r w:rsidRPr="00216F87">
              <w:rPr>
                <w:rFonts w:ascii="Calibri" w:hAnsi="Calibri" w:cs="Calibri"/>
                <w:sz w:val="20"/>
              </w:rPr>
              <w:t xml:space="preserve">–                                           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ANO</w:t>
            </w:r>
          </w:p>
        </w:tc>
      </w:tr>
      <w:tr w:rsidR="00216F87" w:rsidRPr="00216F87" w:rsidTr="002B59EF">
        <w:trPr>
          <w:trHeight w:val="219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lastRenderedPageBreak/>
              <w:t>Hasicí přístroj [práškový min. 0,5 kg] umístěný pod sedadlem spolujezdce či v prostoru určeném pro hasicí přístroj, nebo pevně uchycený k vozidlu v zavazadlovém prostoru nebo, případně možnost dodatečné montáže hasicího přístroje v autorizovaném servisu výrobce bez ztráty záruky na vozidlo (případná dodatečná montáž je součástí nabídkové ceny za nadstandardní výbavu)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Tažné zařízení sklopné, el. odjistitelné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Sněhové řetězy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Reflexní vesty pro všechny cestující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177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Ochranná mříž mezi zavazadlovým prostorem a prostorem pro cestující, případně možnost dodatečné montáže ochranné mříže v autorizovaném servisu výrobce bez ztráty záruky na vozidlo (případná dodatečná montáž je součástí nabídkové ceny za nadstandardní výbavu)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  <w:r w:rsidR="00216F87" w:rsidRPr="00216F87">
              <w:rPr>
                <w:rFonts w:ascii="Calibri" w:hAnsi="Calibri" w:cs="Calibri"/>
                <w:color w:val="000000"/>
                <w:sz w:val="20"/>
              </w:rPr>
              <w:t>"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16F87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NADSTANDARDNÍ VÝBAVA parametrů s odůvodněním na úrovni zadavatele (možnost rozporu s 3E a/nebo riziko bezdůvodného omezení hospodářské soutěže)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Vestavěná GPS navigace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52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sz w:val="20"/>
              </w:rPr>
              <w:t>Parkovací senzory vpředu a/nebo parkovací kamera vpředu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Digitální přístrojový štít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30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Asistent hlídání mrtvého úhlu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  <w:tr w:rsidR="00216F87" w:rsidRPr="00216F87" w:rsidTr="002B59EF">
        <w:trPr>
          <w:trHeight w:val="1890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Zásuvka 12V v zavazadlovém prostoru nebo možnost dodatečné montáže zásuvky 12V v zavazadlovém prostoru v autorizovaném servisu výrobce vozidla bez ztráty záruky na vozidlo (případná dodatečná montáž zásuvky 12V v zavazadlovém prostoru je součástí nabídkové ceny za nadstandardní výbavu a příslušenství)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92696" w:rsidRDefault="00492696" w:rsidP="004926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zásuvka 12V v zavazadlovém prostoru</w:t>
            </w:r>
          </w:p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16F87" w:rsidRPr="00216F87" w:rsidTr="002B59EF">
        <w:trPr>
          <w:trHeight w:val="315"/>
        </w:trPr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b/>
                <w:bCs/>
                <w:color w:val="000000"/>
                <w:sz w:val="20"/>
              </w:rPr>
              <w:t>Aktivní systém hlídání jízdního pruhu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požadováno</w:t>
            </w:r>
          </w:p>
        </w:tc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6F87" w:rsidRPr="00216F87" w:rsidRDefault="00492696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F87" w:rsidRPr="00216F87" w:rsidRDefault="00216F87" w:rsidP="00216F8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16F87">
              <w:rPr>
                <w:rFonts w:ascii="Calibri" w:hAnsi="Calibri" w:cs="Calibri"/>
                <w:color w:val="000000"/>
                <w:sz w:val="20"/>
              </w:rPr>
              <w:t>–</w:t>
            </w:r>
          </w:p>
        </w:tc>
      </w:tr>
    </w:tbl>
    <w:p w:rsidR="005C0079" w:rsidRDefault="005C0079" w:rsidP="005C0079">
      <w:pPr>
        <w:spacing w:before="120" w:line="276" w:lineRule="auto"/>
        <w:ind w:left="66"/>
        <w:contextualSpacing/>
        <w:jc w:val="both"/>
      </w:pPr>
    </w:p>
    <w:p w:rsidR="005C0079" w:rsidRDefault="005C0079" w:rsidP="005C0079">
      <w:pPr>
        <w:spacing w:before="120" w:line="276" w:lineRule="auto"/>
        <w:ind w:left="66"/>
        <w:contextualSpacing/>
        <w:jc w:val="both"/>
      </w:pPr>
    </w:p>
    <w:p w:rsidR="005C0079" w:rsidRDefault="005C0079" w:rsidP="005C0079">
      <w:pPr>
        <w:spacing w:before="120" w:line="276" w:lineRule="auto"/>
        <w:ind w:left="66"/>
        <w:contextualSpacing/>
        <w:jc w:val="both"/>
      </w:pPr>
    </w:p>
    <w:p w:rsidR="005C0079" w:rsidRPr="00F572F8" w:rsidRDefault="005C0079" w:rsidP="002B59EF">
      <w:pPr>
        <w:spacing w:before="120" w:line="276" w:lineRule="auto"/>
        <w:contextualSpacing/>
        <w:jc w:val="both"/>
      </w:pPr>
    </w:p>
    <w:sectPr w:rsidR="005C0079" w:rsidRPr="00F572F8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C42" w:rsidRDefault="00784C42">
      <w:r>
        <w:separator/>
      </w:r>
    </w:p>
  </w:endnote>
  <w:endnote w:type="continuationSeparator" w:id="0">
    <w:p w:rsidR="00784C42" w:rsidRDefault="00784C42">
      <w:r>
        <w:continuationSeparator/>
      </w:r>
    </w:p>
  </w:endnote>
  <w:endnote w:type="continuationNotice" w:id="1">
    <w:p w:rsidR="00784C42" w:rsidRDefault="00784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KODANext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4384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C42" w:rsidRDefault="00784C42">
      <w:r>
        <w:separator/>
      </w:r>
    </w:p>
  </w:footnote>
  <w:footnote w:type="continuationSeparator" w:id="0">
    <w:p w:rsidR="00784C42" w:rsidRDefault="00784C42">
      <w:r>
        <w:continuationSeparator/>
      </w:r>
    </w:p>
  </w:footnote>
  <w:footnote w:type="continuationNotice" w:id="1">
    <w:p w:rsidR="00784C42" w:rsidRDefault="00784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Pr="00541D50" w:rsidRDefault="00111485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1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9C423A"/>
    <w:multiLevelType w:val="hybridMultilevel"/>
    <w:tmpl w:val="607E305A"/>
    <w:lvl w:ilvl="0" w:tplc="8F46DEFE">
      <w:start w:val="1"/>
      <w:numFmt w:val="decimal"/>
      <w:lvlText w:val="%1."/>
      <w:lvlJc w:val="left"/>
      <w:pPr>
        <w:ind w:left="360" w:hanging="360"/>
      </w:pPr>
      <w:rPr>
        <w:b/>
        <w:color w:val="0070C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976AFF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89341184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57922"/>
    <w:multiLevelType w:val="hybridMultilevel"/>
    <w:tmpl w:val="8CFAEC48"/>
    <w:lvl w:ilvl="0" w:tplc="FE081764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2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7" w15:restartNumberingAfterBreak="0">
    <w:nsid w:val="5CD6368C"/>
    <w:multiLevelType w:val="singleLevel"/>
    <w:tmpl w:val="FFFFFFFF"/>
    <w:lvl w:ilvl="0">
      <w:numFmt w:val="decimal"/>
      <w:lvlText w:val="*"/>
      <w:lvlJc w:val="left"/>
    </w:lvl>
  </w:abstractNum>
  <w:abstractNum w:abstractNumId="28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416C"/>
    <w:multiLevelType w:val="hybridMultilevel"/>
    <w:tmpl w:val="B240CBAE"/>
    <w:lvl w:ilvl="0" w:tplc="AF607340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5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63F5"/>
    <w:multiLevelType w:val="hybridMultilevel"/>
    <w:tmpl w:val="F49C94AC"/>
    <w:lvl w:ilvl="0" w:tplc="52422E30">
      <w:start w:val="1"/>
      <w:numFmt w:val="decimal"/>
      <w:lvlText w:val="12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B184C"/>
    <w:multiLevelType w:val="hybridMultilevel"/>
    <w:tmpl w:val="8CC02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1F10"/>
    <w:multiLevelType w:val="hybridMultilevel"/>
    <w:tmpl w:val="E73A2EB0"/>
    <w:lvl w:ilvl="0" w:tplc="E7C65C3A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5"/>
  </w:num>
  <w:num w:numId="3">
    <w:abstractNumId w:val="8"/>
  </w:num>
  <w:num w:numId="4">
    <w:abstractNumId w:val="7"/>
  </w:num>
  <w:num w:numId="5">
    <w:abstractNumId w:val="25"/>
  </w:num>
  <w:num w:numId="6">
    <w:abstractNumId w:val="43"/>
  </w:num>
  <w:num w:numId="7">
    <w:abstractNumId w:val="22"/>
  </w:num>
  <w:num w:numId="8">
    <w:abstractNumId w:val="24"/>
  </w:num>
  <w:num w:numId="9">
    <w:abstractNumId w:val="21"/>
  </w:num>
  <w:num w:numId="10">
    <w:abstractNumId w:val="32"/>
  </w:num>
  <w:num w:numId="11">
    <w:abstractNumId w:val="39"/>
  </w:num>
  <w:num w:numId="12">
    <w:abstractNumId w:val="3"/>
  </w:num>
  <w:num w:numId="13">
    <w:abstractNumId w:val="40"/>
  </w:num>
  <w:num w:numId="14">
    <w:abstractNumId w:val="16"/>
  </w:num>
  <w:num w:numId="15">
    <w:abstractNumId w:val="6"/>
  </w:num>
  <w:num w:numId="16">
    <w:abstractNumId w:val="42"/>
  </w:num>
  <w:num w:numId="17">
    <w:abstractNumId w:val="15"/>
  </w:num>
  <w:num w:numId="18">
    <w:abstractNumId w:val="34"/>
  </w:num>
  <w:num w:numId="19">
    <w:abstractNumId w:val="11"/>
  </w:num>
  <w:num w:numId="20">
    <w:abstractNumId w:val="20"/>
  </w:num>
  <w:num w:numId="21">
    <w:abstractNumId w:val="29"/>
  </w:num>
  <w:num w:numId="22">
    <w:abstractNumId w:val="5"/>
  </w:num>
  <w:num w:numId="23">
    <w:abstractNumId w:val="36"/>
  </w:num>
  <w:num w:numId="24">
    <w:abstractNumId w:val="19"/>
  </w:num>
  <w:num w:numId="25">
    <w:abstractNumId w:val="37"/>
  </w:num>
  <w:num w:numId="26">
    <w:abstractNumId w:val="13"/>
  </w:num>
  <w:num w:numId="27">
    <w:abstractNumId w:val="33"/>
  </w:num>
  <w:num w:numId="28">
    <w:abstractNumId w:val="18"/>
  </w:num>
  <w:num w:numId="29">
    <w:abstractNumId w:val="9"/>
  </w:num>
  <w:num w:numId="30">
    <w:abstractNumId w:val="38"/>
  </w:num>
  <w:num w:numId="31">
    <w:abstractNumId w:val="17"/>
  </w:num>
  <w:num w:numId="32">
    <w:abstractNumId w:val="14"/>
  </w:num>
  <w:num w:numId="33">
    <w:abstractNumId w:val="23"/>
  </w:num>
  <w:num w:numId="34">
    <w:abstractNumId w:val="4"/>
  </w:num>
  <w:num w:numId="35">
    <w:abstractNumId w:val="30"/>
  </w:num>
  <w:num w:numId="36">
    <w:abstractNumId w:val="31"/>
  </w:num>
  <w:num w:numId="37">
    <w:abstractNumId w:val="10"/>
  </w:num>
  <w:num w:numId="38">
    <w:abstractNumId w:val="28"/>
  </w:num>
  <w:num w:numId="39">
    <w:abstractNumId w:val="26"/>
  </w:num>
  <w:num w:numId="4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1">
    <w:abstractNumId w:val="27"/>
  </w:num>
  <w:num w:numId="42">
    <w:abstractNumId w:val="41"/>
  </w:num>
  <w:num w:numId="4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3827"/>
    <w:rsid w:val="000258CA"/>
    <w:rsid w:val="0002673A"/>
    <w:rsid w:val="000304CA"/>
    <w:rsid w:val="00033336"/>
    <w:rsid w:val="00036A06"/>
    <w:rsid w:val="000408FC"/>
    <w:rsid w:val="0004170E"/>
    <w:rsid w:val="000430F0"/>
    <w:rsid w:val="00043D58"/>
    <w:rsid w:val="0004499F"/>
    <w:rsid w:val="00050637"/>
    <w:rsid w:val="000537B6"/>
    <w:rsid w:val="00062742"/>
    <w:rsid w:val="00073E97"/>
    <w:rsid w:val="00074556"/>
    <w:rsid w:val="0008413D"/>
    <w:rsid w:val="00090788"/>
    <w:rsid w:val="00091CCD"/>
    <w:rsid w:val="00092770"/>
    <w:rsid w:val="00093728"/>
    <w:rsid w:val="000959F1"/>
    <w:rsid w:val="00097309"/>
    <w:rsid w:val="000A0709"/>
    <w:rsid w:val="000A6304"/>
    <w:rsid w:val="000B5A0C"/>
    <w:rsid w:val="000C1C72"/>
    <w:rsid w:val="000C6A83"/>
    <w:rsid w:val="000D1634"/>
    <w:rsid w:val="000D4C49"/>
    <w:rsid w:val="000D5012"/>
    <w:rsid w:val="000D5606"/>
    <w:rsid w:val="000E230D"/>
    <w:rsid w:val="000E59B5"/>
    <w:rsid w:val="000E7521"/>
    <w:rsid w:val="000F7092"/>
    <w:rsid w:val="00100C62"/>
    <w:rsid w:val="0010258C"/>
    <w:rsid w:val="00110C07"/>
    <w:rsid w:val="00111485"/>
    <w:rsid w:val="00114998"/>
    <w:rsid w:val="00116E8F"/>
    <w:rsid w:val="001202D3"/>
    <w:rsid w:val="00120DF8"/>
    <w:rsid w:val="001224EF"/>
    <w:rsid w:val="00127A5B"/>
    <w:rsid w:val="00131CB3"/>
    <w:rsid w:val="00137CED"/>
    <w:rsid w:val="00140A10"/>
    <w:rsid w:val="00140A40"/>
    <w:rsid w:val="00157AFB"/>
    <w:rsid w:val="00166A43"/>
    <w:rsid w:val="00166EEE"/>
    <w:rsid w:val="0017463F"/>
    <w:rsid w:val="001752D5"/>
    <w:rsid w:val="001760A7"/>
    <w:rsid w:val="00191C3F"/>
    <w:rsid w:val="00197A7E"/>
    <w:rsid w:val="001A4C90"/>
    <w:rsid w:val="001B4893"/>
    <w:rsid w:val="001B5F4E"/>
    <w:rsid w:val="001B6134"/>
    <w:rsid w:val="001B745D"/>
    <w:rsid w:val="001C017D"/>
    <w:rsid w:val="001C3C0B"/>
    <w:rsid w:val="001D1447"/>
    <w:rsid w:val="001D3D4B"/>
    <w:rsid w:val="001D443F"/>
    <w:rsid w:val="001E1027"/>
    <w:rsid w:val="001F2999"/>
    <w:rsid w:val="001F43CD"/>
    <w:rsid w:val="001F46F8"/>
    <w:rsid w:val="001F5729"/>
    <w:rsid w:val="00203407"/>
    <w:rsid w:val="00210B0F"/>
    <w:rsid w:val="00211F18"/>
    <w:rsid w:val="00215FAC"/>
    <w:rsid w:val="00216F87"/>
    <w:rsid w:val="00223390"/>
    <w:rsid w:val="00240E30"/>
    <w:rsid w:val="0024728A"/>
    <w:rsid w:val="002515F2"/>
    <w:rsid w:val="0025548C"/>
    <w:rsid w:val="00263C85"/>
    <w:rsid w:val="002653E5"/>
    <w:rsid w:val="00273FAA"/>
    <w:rsid w:val="00275E79"/>
    <w:rsid w:val="002777C3"/>
    <w:rsid w:val="0028029E"/>
    <w:rsid w:val="00281C0B"/>
    <w:rsid w:val="00284FA5"/>
    <w:rsid w:val="00292E10"/>
    <w:rsid w:val="00296841"/>
    <w:rsid w:val="002A18B3"/>
    <w:rsid w:val="002A2977"/>
    <w:rsid w:val="002A4E6D"/>
    <w:rsid w:val="002A6184"/>
    <w:rsid w:val="002B4197"/>
    <w:rsid w:val="002B438E"/>
    <w:rsid w:val="002B5343"/>
    <w:rsid w:val="002B59EF"/>
    <w:rsid w:val="002C7576"/>
    <w:rsid w:val="002D386D"/>
    <w:rsid w:val="002E1D7E"/>
    <w:rsid w:val="002F107C"/>
    <w:rsid w:val="002F1402"/>
    <w:rsid w:val="002F4501"/>
    <w:rsid w:val="002F709D"/>
    <w:rsid w:val="00304FC4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04F"/>
    <w:rsid w:val="00351BDB"/>
    <w:rsid w:val="00353CE7"/>
    <w:rsid w:val="0035469E"/>
    <w:rsid w:val="003564E2"/>
    <w:rsid w:val="00365299"/>
    <w:rsid w:val="00391A89"/>
    <w:rsid w:val="00396FEB"/>
    <w:rsid w:val="003A043A"/>
    <w:rsid w:val="003A0CC3"/>
    <w:rsid w:val="003A3AAE"/>
    <w:rsid w:val="003A3F47"/>
    <w:rsid w:val="003A4127"/>
    <w:rsid w:val="003A496F"/>
    <w:rsid w:val="003B0E90"/>
    <w:rsid w:val="003B3EC4"/>
    <w:rsid w:val="003C5DE9"/>
    <w:rsid w:val="003D3A08"/>
    <w:rsid w:val="003D6F89"/>
    <w:rsid w:val="003E1425"/>
    <w:rsid w:val="003E3189"/>
    <w:rsid w:val="003F1D2D"/>
    <w:rsid w:val="003F22BD"/>
    <w:rsid w:val="003F5550"/>
    <w:rsid w:val="00402BA1"/>
    <w:rsid w:val="004048F5"/>
    <w:rsid w:val="0040708D"/>
    <w:rsid w:val="0041175E"/>
    <w:rsid w:val="00413C68"/>
    <w:rsid w:val="00414358"/>
    <w:rsid w:val="00414CD2"/>
    <w:rsid w:val="0042287F"/>
    <w:rsid w:val="00423E15"/>
    <w:rsid w:val="0043754B"/>
    <w:rsid w:val="00440DEE"/>
    <w:rsid w:val="00447C93"/>
    <w:rsid w:val="00450FDC"/>
    <w:rsid w:val="00453F3E"/>
    <w:rsid w:val="004604F7"/>
    <w:rsid w:val="0046180A"/>
    <w:rsid w:val="00461AB9"/>
    <w:rsid w:val="004742AB"/>
    <w:rsid w:val="0047580C"/>
    <w:rsid w:val="00476422"/>
    <w:rsid w:val="0048632A"/>
    <w:rsid w:val="00492696"/>
    <w:rsid w:val="00492EE6"/>
    <w:rsid w:val="004946D7"/>
    <w:rsid w:val="004977AC"/>
    <w:rsid w:val="004A15E8"/>
    <w:rsid w:val="004A37EA"/>
    <w:rsid w:val="004A52B1"/>
    <w:rsid w:val="004C3D2D"/>
    <w:rsid w:val="004C663A"/>
    <w:rsid w:val="004C6A82"/>
    <w:rsid w:val="004D013E"/>
    <w:rsid w:val="004D0E76"/>
    <w:rsid w:val="004D1DEB"/>
    <w:rsid w:val="004D27EC"/>
    <w:rsid w:val="004D54DD"/>
    <w:rsid w:val="004E3390"/>
    <w:rsid w:val="004F2D15"/>
    <w:rsid w:val="005031F1"/>
    <w:rsid w:val="00504031"/>
    <w:rsid w:val="0050484B"/>
    <w:rsid w:val="005176FE"/>
    <w:rsid w:val="00523812"/>
    <w:rsid w:val="005277F4"/>
    <w:rsid w:val="005555AE"/>
    <w:rsid w:val="00560673"/>
    <w:rsid w:val="00561FA1"/>
    <w:rsid w:val="00573C42"/>
    <w:rsid w:val="00573F00"/>
    <w:rsid w:val="0057501D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0079"/>
    <w:rsid w:val="005C22AC"/>
    <w:rsid w:val="005C5B96"/>
    <w:rsid w:val="005D2157"/>
    <w:rsid w:val="005D5366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11677"/>
    <w:rsid w:val="00611D0B"/>
    <w:rsid w:val="0061411D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634E5"/>
    <w:rsid w:val="00664F42"/>
    <w:rsid w:val="006652ED"/>
    <w:rsid w:val="006669F8"/>
    <w:rsid w:val="006704AC"/>
    <w:rsid w:val="0067215A"/>
    <w:rsid w:val="0067243F"/>
    <w:rsid w:val="0067333D"/>
    <w:rsid w:val="00673B8D"/>
    <w:rsid w:val="00674926"/>
    <w:rsid w:val="00674A0E"/>
    <w:rsid w:val="006820E0"/>
    <w:rsid w:val="00683FBE"/>
    <w:rsid w:val="00684F7C"/>
    <w:rsid w:val="00687098"/>
    <w:rsid w:val="006935AB"/>
    <w:rsid w:val="006A2182"/>
    <w:rsid w:val="006B017F"/>
    <w:rsid w:val="006B6E0E"/>
    <w:rsid w:val="006C5677"/>
    <w:rsid w:val="006D2D56"/>
    <w:rsid w:val="006D31EE"/>
    <w:rsid w:val="006D4F08"/>
    <w:rsid w:val="006E2147"/>
    <w:rsid w:val="006E307E"/>
    <w:rsid w:val="006E3BAA"/>
    <w:rsid w:val="006E49A3"/>
    <w:rsid w:val="006E7533"/>
    <w:rsid w:val="006F5191"/>
    <w:rsid w:val="006F665D"/>
    <w:rsid w:val="0070276D"/>
    <w:rsid w:val="007068F1"/>
    <w:rsid w:val="007107BF"/>
    <w:rsid w:val="00710814"/>
    <w:rsid w:val="007111A8"/>
    <w:rsid w:val="00715D55"/>
    <w:rsid w:val="00724304"/>
    <w:rsid w:val="00724F0C"/>
    <w:rsid w:val="0072789E"/>
    <w:rsid w:val="00742B6B"/>
    <w:rsid w:val="00743E55"/>
    <w:rsid w:val="007443B5"/>
    <w:rsid w:val="007471DB"/>
    <w:rsid w:val="007512C3"/>
    <w:rsid w:val="00751624"/>
    <w:rsid w:val="00754B29"/>
    <w:rsid w:val="00754B9F"/>
    <w:rsid w:val="0075650E"/>
    <w:rsid w:val="0076069B"/>
    <w:rsid w:val="0076114E"/>
    <w:rsid w:val="0076363D"/>
    <w:rsid w:val="00767004"/>
    <w:rsid w:val="007711F3"/>
    <w:rsid w:val="00775B63"/>
    <w:rsid w:val="00776620"/>
    <w:rsid w:val="007811F0"/>
    <w:rsid w:val="0078319F"/>
    <w:rsid w:val="00784C42"/>
    <w:rsid w:val="00784DC8"/>
    <w:rsid w:val="007A070E"/>
    <w:rsid w:val="007A1592"/>
    <w:rsid w:val="007A2962"/>
    <w:rsid w:val="007A37F6"/>
    <w:rsid w:val="007A56EA"/>
    <w:rsid w:val="007C709A"/>
    <w:rsid w:val="007F7FCF"/>
    <w:rsid w:val="008029B4"/>
    <w:rsid w:val="0080433E"/>
    <w:rsid w:val="00811A98"/>
    <w:rsid w:val="0081267A"/>
    <w:rsid w:val="00815F8D"/>
    <w:rsid w:val="00821720"/>
    <w:rsid w:val="00824F74"/>
    <w:rsid w:val="00825A97"/>
    <w:rsid w:val="00831125"/>
    <w:rsid w:val="00834C60"/>
    <w:rsid w:val="00847767"/>
    <w:rsid w:val="008550B0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39C9"/>
    <w:rsid w:val="008A4037"/>
    <w:rsid w:val="008A5EA7"/>
    <w:rsid w:val="008B36E3"/>
    <w:rsid w:val="008B5255"/>
    <w:rsid w:val="008B52CD"/>
    <w:rsid w:val="008C4364"/>
    <w:rsid w:val="008C6140"/>
    <w:rsid w:val="008D1544"/>
    <w:rsid w:val="008D1690"/>
    <w:rsid w:val="008D2D49"/>
    <w:rsid w:val="008E31E1"/>
    <w:rsid w:val="008E5762"/>
    <w:rsid w:val="008F10A2"/>
    <w:rsid w:val="008F17EF"/>
    <w:rsid w:val="008F2EF7"/>
    <w:rsid w:val="008F348D"/>
    <w:rsid w:val="008F5243"/>
    <w:rsid w:val="009001B4"/>
    <w:rsid w:val="00902398"/>
    <w:rsid w:val="009063A9"/>
    <w:rsid w:val="00911553"/>
    <w:rsid w:val="00913008"/>
    <w:rsid w:val="009137FE"/>
    <w:rsid w:val="00915541"/>
    <w:rsid w:val="00916B26"/>
    <w:rsid w:val="00920805"/>
    <w:rsid w:val="00935D3E"/>
    <w:rsid w:val="00947715"/>
    <w:rsid w:val="0096437B"/>
    <w:rsid w:val="00970A15"/>
    <w:rsid w:val="00976BD1"/>
    <w:rsid w:val="00987455"/>
    <w:rsid w:val="009917BB"/>
    <w:rsid w:val="00994ED9"/>
    <w:rsid w:val="00997E30"/>
    <w:rsid w:val="009A29ED"/>
    <w:rsid w:val="009B2069"/>
    <w:rsid w:val="009B6AD8"/>
    <w:rsid w:val="009B70AD"/>
    <w:rsid w:val="009C069E"/>
    <w:rsid w:val="009D4C96"/>
    <w:rsid w:val="009D7EDE"/>
    <w:rsid w:val="009E2A8A"/>
    <w:rsid w:val="009E5F2D"/>
    <w:rsid w:val="009E645F"/>
    <w:rsid w:val="009F6467"/>
    <w:rsid w:val="009F69B5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466B0"/>
    <w:rsid w:val="00A5179C"/>
    <w:rsid w:val="00A52392"/>
    <w:rsid w:val="00A710A9"/>
    <w:rsid w:val="00A71F8C"/>
    <w:rsid w:val="00A7773D"/>
    <w:rsid w:val="00A77F50"/>
    <w:rsid w:val="00A86130"/>
    <w:rsid w:val="00A86256"/>
    <w:rsid w:val="00A90376"/>
    <w:rsid w:val="00A9071F"/>
    <w:rsid w:val="00A93FF3"/>
    <w:rsid w:val="00A97316"/>
    <w:rsid w:val="00A97ED0"/>
    <w:rsid w:val="00AA1C68"/>
    <w:rsid w:val="00AA23AA"/>
    <w:rsid w:val="00AA56C4"/>
    <w:rsid w:val="00AA6D46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2906"/>
    <w:rsid w:val="00AF4530"/>
    <w:rsid w:val="00AF48B0"/>
    <w:rsid w:val="00AF7E7E"/>
    <w:rsid w:val="00B30AE6"/>
    <w:rsid w:val="00B31E1A"/>
    <w:rsid w:val="00B36D5B"/>
    <w:rsid w:val="00B43844"/>
    <w:rsid w:val="00B53001"/>
    <w:rsid w:val="00B55223"/>
    <w:rsid w:val="00B60DC0"/>
    <w:rsid w:val="00B7171E"/>
    <w:rsid w:val="00B72F20"/>
    <w:rsid w:val="00B75E8F"/>
    <w:rsid w:val="00B83048"/>
    <w:rsid w:val="00B90EA6"/>
    <w:rsid w:val="00BA5C80"/>
    <w:rsid w:val="00BB0AC5"/>
    <w:rsid w:val="00BB5E4E"/>
    <w:rsid w:val="00BB6214"/>
    <w:rsid w:val="00BB6FDF"/>
    <w:rsid w:val="00BC1794"/>
    <w:rsid w:val="00BC5D48"/>
    <w:rsid w:val="00BD1759"/>
    <w:rsid w:val="00BD424C"/>
    <w:rsid w:val="00BD6174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2BB"/>
    <w:rsid w:val="00BF6C81"/>
    <w:rsid w:val="00BF6EE9"/>
    <w:rsid w:val="00C00148"/>
    <w:rsid w:val="00C0699F"/>
    <w:rsid w:val="00C10729"/>
    <w:rsid w:val="00C107DB"/>
    <w:rsid w:val="00C16B8C"/>
    <w:rsid w:val="00C202B3"/>
    <w:rsid w:val="00C20F0B"/>
    <w:rsid w:val="00C21B81"/>
    <w:rsid w:val="00C2381E"/>
    <w:rsid w:val="00C23F25"/>
    <w:rsid w:val="00C241D0"/>
    <w:rsid w:val="00C3085C"/>
    <w:rsid w:val="00C33365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5766F"/>
    <w:rsid w:val="00C65E9F"/>
    <w:rsid w:val="00C752E4"/>
    <w:rsid w:val="00C76A56"/>
    <w:rsid w:val="00C76B45"/>
    <w:rsid w:val="00C8073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A00A1"/>
    <w:rsid w:val="00CB15E8"/>
    <w:rsid w:val="00CB47F4"/>
    <w:rsid w:val="00CB5BDE"/>
    <w:rsid w:val="00CB6AED"/>
    <w:rsid w:val="00CC0496"/>
    <w:rsid w:val="00CC3925"/>
    <w:rsid w:val="00CC4772"/>
    <w:rsid w:val="00CC7247"/>
    <w:rsid w:val="00CD2D3E"/>
    <w:rsid w:val="00CE2BF8"/>
    <w:rsid w:val="00CE3A74"/>
    <w:rsid w:val="00CF0F0C"/>
    <w:rsid w:val="00CF340A"/>
    <w:rsid w:val="00D038F8"/>
    <w:rsid w:val="00D136AD"/>
    <w:rsid w:val="00D17E7A"/>
    <w:rsid w:val="00D20AFE"/>
    <w:rsid w:val="00D221B2"/>
    <w:rsid w:val="00D31DC9"/>
    <w:rsid w:val="00D46173"/>
    <w:rsid w:val="00D7098E"/>
    <w:rsid w:val="00D72E6F"/>
    <w:rsid w:val="00D73882"/>
    <w:rsid w:val="00D749FF"/>
    <w:rsid w:val="00D74B39"/>
    <w:rsid w:val="00D75195"/>
    <w:rsid w:val="00D779F5"/>
    <w:rsid w:val="00D94B70"/>
    <w:rsid w:val="00D95600"/>
    <w:rsid w:val="00DA4B6C"/>
    <w:rsid w:val="00DA4E04"/>
    <w:rsid w:val="00DA79E9"/>
    <w:rsid w:val="00DB4A28"/>
    <w:rsid w:val="00DB5692"/>
    <w:rsid w:val="00DB59FA"/>
    <w:rsid w:val="00DC00E6"/>
    <w:rsid w:val="00DD7D9D"/>
    <w:rsid w:val="00DE6FF6"/>
    <w:rsid w:val="00DF03C2"/>
    <w:rsid w:val="00DF504C"/>
    <w:rsid w:val="00E017A8"/>
    <w:rsid w:val="00E22D76"/>
    <w:rsid w:val="00E27E8F"/>
    <w:rsid w:val="00E32A49"/>
    <w:rsid w:val="00E33197"/>
    <w:rsid w:val="00E4212A"/>
    <w:rsid w:val="00E45B2C"/>
    <w:rsid w:val="00E4656A"/>
    <w:rsid w:val="00E51AB4"/>
    <w:rsid w:val="00E563F9"/>
    <w:rsid w:val="00E56974"/>
    <w:rsid w:val="00E625EE"/>
    <w:rsid w:val="00E81AC0"/>
    <w:rsid w:val="00E85CB2"/>
    <w:rsid w:val="00E91A4F"/>
    <w:rsid w:val="00E943BE"/>
    <w:rsid w:val="00E95597"/>
    <w:rsid w:val="00EA2EA8"/>
    <w:rsid w:val="00EB250F"/>
    <w:rsid w:val="00EB36F4"/>
    <w:rsid w:val="00EB72DC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32285"/>
    <w:rsid w:val="00F45EC4"/>
    <w:rsid w:val="00F4760C"/>
    <w:rsid w:val="00F572F8"/>
    <w:rsid w:val="00F62A5C"/>
    <w:rsid w:val="00F64173"/>
    <w:rsid w:val="00F65DAB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049B"/>
    <w:rsid w:val="00FC235B"/>
    <w:rsid w:val="00FC2E16"/>
    <w:rsid w:val="00FE4482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E33CB6A"/>
  <w15:chartTrackingRefBased/>
  <w15:docId w15:val="{C29ABA2F-E4BA-42DC-8844-6B31515B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8217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rFonts w:ascii="Times New Roman" w:hAnsi="Times New Roman"/>
      <w:b/>
      <w:bCs/>
      <w:sz w:val="20"/>
      <w:lang w:val="x-none" w:eastAsia="x-none"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1553"/>
    <w:rPr>
      <w:rFonts w:ascii="Arial" w:hAnsi="Arial"/>
      <w:sz w:val="22"/>
    </w:rPr>
  </w:style>
  <w:style w:type="character" w:customStyle="1" w:styleId="Nadpis1Char">
    <w:name w:val="Nadpis 1 Char"/>
    <w:link w:val="Nadpis1"/>
    <w:rsid w:val="0082172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D85B-2037-4237-B1EB-7FA2EFA8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3658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25193</CharactersWithSpaces>
  <SharedDoc>false</SharedDoc>
  <HLinks>
    <vt:vector size="6" baseType="variant">
      <vt:variant>
        <vt:i4>1638526</vt:i4>
      </vt:variant>
      <vt:variant>
        <vt:i4>0</vt:i4>
      </vt:variant>
      <vt:variant>
        <vt:i4>0</vt:i4>
      </vt:variant>
      <vt:variant>
        <vt:i4>5</vt:i4>
      </vt:variant>
      <vt:variant>
        <vt:lpwstr>mailto:lucie.nesvadbova@janskelazne.com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2025-09-30T11:26:00Z</cp:lastPrinted>
  <dcterms:created xsi:type="dcterms:W3CDTF">2025-10-13T11:56:00Z</dcterms:created>
  <dcterms:modified xsi:type="dcterms:W3CDTF">2025-10-13T11:56:00Z</dcterms:modified>
</cp:coreProperties>
</file>