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</w:t>
      </w:r>
      <w:bookmarkEnd w:id="7"/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dočasném zajištění služby dodání surové vody z české vodní nádrže Fláje po</w:t>
        <w:br/>
        <w:t>dobu sanace saského vodního díla Lichtenberg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5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mezi</w:t>
        <w:tab/>
        <w:t>Svobodným státem Sasko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Saské státní ministerstvo životního prostředí a zemědělství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5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zastoupeným</w:t>
        <w:tab/>
        <w:t>Zemskou správou přehrad Svobodného státu Sasko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de-DE" w:eastAsia="de-DE" w:bidi="de-DE"/>
        </w:rPr>
        <w:t xml:space="preserve">Bahnhofstraße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01796 Pirna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DIČ: DE19952 1669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LTV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5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  <w:tab/>
        <w:t>Státním podnikem Povodí Ohře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 CZ – 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13052, dále jen: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PRVNÍ</w:t>
      </w:r>
      <w:bookmarkEnd w:id="10"/>
      <w:bookmarkEnd w:id="11"/>
      <w:bookmarkEnd w:id="1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 dodatku</w:t>
      </w:r>
      <w:bookmarkEnd w:id="13"/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upravuje původní ustanovení smlouvy v následujících ustanoveních: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souladu s ustanovením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§ 4 Odměna,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bod (1) se aktualizuje, podle uvedených pravidel, odměna za poskytování služby pro rok 2025. Míra inflace v ČR za rok 2024 byla Českým statistickým úřadem stanovena na 2,4 %. Navýšení odměny za službu pro rok 2025 je sjednáno o roční navýšení 2,4 %.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" distL="0" distR="0" simplePos="0" relativeHeight="125829378" behindDoc="0" locked="0" layoutInCell="1" allowOverlap="1">
                <wp:simplePos x="0" y="0"/>
                <wp:positionH relativeFrom="page">
                  <wp:posOffset>3346450</wp:posOffset>
                </wp:positionH>
                <wp:positionV relativeFrom="paragraph">
                  <wp:posOffset>0</wp:posOffset>
                </wp:positionV>
                <wp:extent cx="1051560" cy="96012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960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ČÁST DRUHÁ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center"/>
                            </w:pPr>
                            <w:bookmarkStart w:id="3" w:name="bookmark3"/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Obsah dodatku</w:t>
                              <w:br/>
                              <w:t>§ 4</w:t>
                            </w:r>
                            <w:bookmarkEnd w:id="3"/>
                            <w:bookmarkEnd w:id="4"/>
                            <w:bookmarkEnd w:id="5"/>
                          </w:p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3" w:name="bookmark3"/>
                            <w:bookmarkStart w:id="4" w:name="bookmark4"/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Odměna</w:t>
                            </w:r>
                            <w:bookmarkEnd w:id="3"/>
                            <w:bookmarkEnd w:id="4"/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3.5pt;margin-top:0;width:82.799999999999997pt;height:75.600000000000009pt;z-index:-125829375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 DRUHÁ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center"/>
                      </w:pPr>
                      <w:bookmarkStart w:id="3" w:name="bookmark3"/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Obsah dodatku</w:t>
                        <w:br/>
                        <w:t>§ 4</w:t>
                      </w:r>
                      <w:bookmarkEnd w:id="3"/>
                      <w:bookmarkEnd w:id="4"/>
                      <w:bookmarkEnd w:id="5"/>
                    </w:p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3" w:name="bookmark3"/>
                      <w:bookmarkStart w:id="4" w:name="bookmark4"/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Odměna</w:t>
                      </w:r>
                      <w:bookmarkEnd w:id="3"/>
                      <w:bookmarkEnd w:id="4"/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Bod (1) se mění následovně: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(1) Odměna za poskytování služby podle § 1 činí 7,916 mil. CZK/rok bez DPH a její výše je platná pro rok 2025. DPH, jejíž výše činí v současné době 21 %, bude vypořádána dle platné legislativy ČR v době uskutečnění plnění. Cena služby za příslušný další kalendářní rok bude stanovena vždy do 30.11. příslušného předchozího roku formou dodatku ke smlouvě. Meziroční zvýšení ceny je v rámci obecné míry inflace podle údajů Českého statistického úřadu přípustné až do 2,5 %.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00" w:line="36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TŘETÍ</w:t>
        <w:br/>
        <w:t>Společná ustanovení</w:t>
      </w:r>
      <w:bookmarkEnd w:id="16"/>
      <w:bookmarkEnd w:id="17"/>
      <w:bookmarkEnd w:id="18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body smlouvy se nemění.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4 je vyhotoven ve čtyřech stejnopisech v německém a českém jazyce, přičemž každá smluvní strana obdrží po dvou vyhotovení dodatku.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46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podpisu smlouvy oběma stranami a účinnosti zveřejněním v Registru smluv, pokud této účinnosti dle příslušných ustanovení smlouvy nenabude později.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40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12700</wp:posOffset>
                </wp:positionV>
                <wp:extent cx="1511935" cy="54864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193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Pirna,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Zemská správa přehrad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549999999999997pt;margin-top:1.pt;width:119.05pt;height:43.2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Pirna,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Zemská správa přehrad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4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headerReference w:type="default" r:id="rId5"/>
      <w:footerReference w:type="default" r:id="rId6"/>
      <w:headerReference w:type="even" r:id="rId7"/>
      <w:footerReference w:type="even" r:id="rId8"/>
      <w:footnotePr>
        <w:pos w:val="pageBottom"/>
        <w:numFmt w:val="decimal"/>
        <w:numRestart w:val="continuous"/>
      </w:footnotePr>
      <w:pgSz w:w="11909" w:h="16838"/>
      <w:pgMar w:top="1617" w:left="1391" w:right="1099" w:bottom="3095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6384925</wp:posOffset>
              </wp:positionH>
              <wp:positionV relativeFrom="page">
                <wp:posOffset>9909175</wp:posOffset>
              </wp:positionV>
              <wp:extent cx="460375" cy="17081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037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02.75pt;margin-top:780.25pt;width:36.25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6445885</wp:posOffset>
              </wp:positionH>
              <wp:positionV relativeFrom="page">
                <wp:posOffset>9909175</wp:posOffset>
              </wp:positionV>
              <wp:extent cx="396240" cy="17081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Seite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07.55000000000001pt;margin-top:780.25pt;width:31.199999999999999pt;height:13.4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Seite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441960</wp:posOffset>
              </wp:positionV>
              <wp:extent cx="5745480" cy="1828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548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4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číslo smlouvy LTV: 45 001 44277</w:t>
                            <w:tab/>
                            <w:t>číslo smlouvy POh: 798/2020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25pt;margin-top:34.800000000000004pt;width:452.40000000000003pt;height:14.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číslo smlouvy LTV: 45 001 44277</w:t>
                      <w:tab/>
                      <w:t>číslo smlouvy POh: 798/2020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627380</wp:posOffset>
              </wp:positionV>
              <wp:extent cx="594042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404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pt;margin-top:49.399999999999999pt;width:467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441960</wp:posOffset>
              </wp:positionV>
              <wp:extent cx="5745480" cy="18288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4548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4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číslo smlouvy LTV: 45 001 44277</w:t>
                            <w:tab/>
                            <w:t>číslo smlouvy POh: 798/2020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71.pt;margin-top:34.800000000000004pt;width:452.40000000000003pt;height:14.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číslo smlouvy LTV: 45 001 44277</w:t>
                      <w:tab/>
                      <w:t>číslo smlouvy POh: 798/2020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627380</wp:posOffset>
              </wp:positionV>
              <wp:extent cx="5940425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404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5pt;margin-top:49.399999999999999pt;width:467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 w:line="30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Martina</dc:creator>
  <cp:keywords/>
</cp:coreProperties>
</file>