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DF" w:rsidRPr="007A2FDF" w:rsidRDefault="007A2FDF" w:rsidP="007A2FDF">
      <w:pPr>
        <w:spacing w:line="240" w:lineRule="auto"/>
        <w:jc w:val="center"/>
        <w:rPr>
          <w:rFonts w:ascii="Times New Roman" w:hAnsi="Times New Roman" w:cs="Times New Roman"/>
          <w:b/>
          <w:sz w:val="32"/>
          <w:szCs w:val="32"/>
        </w:rPr>
      </w:pPr>
      <w:r w:rsidRPr="007A2FDF">
        <w:rPr>
          <w:rFonts w:ascii="Times New Roman" w:hAnsi="Times New Roman" w:cs="Times New Roman"/>
          <w:b/>
          <w:sz w:val="32"/>
          <w:szCs w:val="32"/>
        </w:rPr>
        <w:t>Příkazní smlouva</w:t>
      </w:r>
    </w:p>
    <w:p w:rsidR="007A2FDF" w:rsidRPr="007A2FDF" w:rsidRDefault="007A2FDF" w:rsidP="007A2FDF">
      <w:pPr>
        <w:spacing w:line="240" w:lineRule="auto"/>
        <w:jc w:val="center"/>
        <w:rPr>
          <w:rFonts w:ascii="Times New Roman" w:hAnsi="Times New Roman" w:cs="Times New Roman"/>
          <w:sz w:val="24"/>
          <w:szCs w:val="24"/>
        </w:rPr>
      </w:pPr>
      <w:r w:rsidRPr="007A2FDF">
        <w:rPr>
          <w:rFonts w:ascii="Times New Roman" w:hAnsi="Times New Roman" w:cs="Times New Roman"/>
          <w:sz w:val="24"/>
          <w:szCs w:val="24"/>
        </w:rPr>
        <w:t>dále jen „smlouva"</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uzavřená v souladu s ustanovením § 2430 a násl. zákona č. 89/2012 Sb., občanský zákoník, ve znění pozdějších předpisů (dále jen „občanský zákoník“) mezi smluvními stranami:</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b/>
          <w:sz w:val="24"/>
          <w:szCs w:val="24"/>
        </w:rPr>
      </w:pPr>
    </w:p>
    <w:p w:rsidR="007A2FDF" w:rsidRPr="007A2FDF" w:rsidRDefault="008C02D9" w:rsidP="007A2FDF">
      <w:pPr>
        <w:spacing w:line="240" w:lineRule="auto"/>
        <w:jc w:val="both"/>
        <w:rPr>
          <w:rFonts w:ascii="Times New Roman" w:hAnsi="Times New Roman" w:cs="Times New Roman"/>
          <w:b/>
          <w:sz w:val="24"/>
          <w:szCs w:val="24"/>
        </w:rPr>
      </w:pPr>
      <w:r>
        <w:rPr>
          <w:rFonts w:ascii="Times New Roman" w:hAnsi="Times New Roman" w:cs="Times New Roman"/>
          <w:b/>
          <w:sz w:val="24"/>
          <w:szCs w:val="24"/>
        </w:rPr>
        <w:t>Městská část Praha 3</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 xml:space="preserve">se sídlem: </w:t>
      </w:r>
      <w:r w:rsidRPr="007A2FDF">
        <w:rPr>
          <w:rFonts w:ascii="Times New Roman" w:hAnsi="Times New Roman" w:cs="Times New Roman"/>
          <w:sz w:val="24"/>
          <w:szCs w:val="24"/>
        </w:rPr>
        <w:tab/>
        <w:t>Havlíčkovo nám. 9, Praha 3, PSČ 130 00</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 xml:space="preserve">IČO: </w:t>
      </w:r>
      <w:r w:rsidRPr="007A2FDF">
        <w:rPr>
          <w:rFonts w:ascii="Times New Roman" w:hAnsi="Times New Roman" w:cs="Times New Roman"/>
          <w:sz w:val="24"/>
          <w:szCs w:val="24"/>
        </w:rPr>
        <w:tab/>
      </w:r>
      <w:r w:rsidRPr="007A2FDF">
        <w:rPr>
          <w:rFonts w:ascii="Times New Roman" w:hAnsi="Times New Roman" w:cs="Times New Roman"/>
          <w:sz w:val="24"/>
          <w:szCs w:val="24"/>
        </w:rPr>
        <w:tab/>
        <w:t>00063517</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zastoupená:</w:t>
      </w:r>
      <w:r w:rsidRPr="007A2FDF">
        <w:rPr>
          <w:rFonts w:ascii="Times New Roman" w:hAnsi="Times New Roman" w:cs="Times New Roman"/>
          <w:sz w:val="24"/>
          <w:szCs w:val="24"/>
        </w:rPr>
        <w:tab/>
        <w:t xml:space="preserve">Ing. Vladislavou </w:t>
      </w:r>
      <w:proofErr w:type="spellStart"/>
      <w:r w:rsidRPr="007A2FDF">
        <w:rPr>
          <w:rFonts w:ascii="Times New Roman" w:hAnsi="Times New Roman" w:cs="Times New Roman"/>
          <w:sz w:val="24"/>
          <w:szCs w:val="24"/>
        </w:rPr>
        <w:t>Hujovou</w:t>
      </w:r>
      <w:proofErr w:type="spellEnd"/>
      <w:r w:rsidRPr="007A2FDF">
        <w:rPr>
          <w:rFonts w:ascii="Times New Roman" w:hAnsi="Times New Roman" w:cs="Times New Roman"/>
          <w:sz w:val="24"/>
          <w:szCs w:val="24"/>
        </w:rPr>
        <w:t xml:space="preserve">, starostkou </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 xml:space="preserve">dále jen „příkazce" </w:t>
      </w:r>
      <w:r w:rsidRPr="00A01AE1">
        <w:rPr>
          <w:rFonts w:ascii="Times New Roman" w:hAnsi="Times New Roman" w:cs="Times New Roman"/>
          <w:b/>
          <w:sz w:val="24"/>
          <w:szCs w:val="24"/>
        </w:rPr>
        <w:t>na straně jedné</w:t>
      </w:r>
      <w:r w:rsidRPr="007A2FDF">
        <w:rPr>
          <w:rFonts w:ascii="Times New Roman" w:hAnsi="Times New Roman" w:cs="Times New Roman"/>
          <w:sz w:val="24"/>
          <w:szCs w:val="24"/>
        </w:rPr>
        <w:t xml:space="preserve"> a</w:t>
      </w:r>
    </w:p>
    <w:p w:rsidR="007A2FDF" w:rsidRPr="007A2FDF" w:rsidRDefault="007A2FDF" w:rsidP="007A2FDF">
      <w:pPr>
        <w:spacing w:line="240" w:lineRule="auto"/>
        <w:jc w:val="both"/>
        <w:rPr>
          <w:rFonts w:ascii="Times New Roman" w:hAnsi="Times New Roman" w:cs="Times New Roman"/>
          <w:sz w:val="24"/>
          <w:szCs w:val="24"/>
        </w:rPr>
      </w:pPr>
    </w:p>
    <w:p w:rsidR="00A01AE1" w:rsidRDefault="00A01AE1" w:rsidP="00A01AE1">
      <w:pPr>
        <w:pStyle w:val="Odstavecseseznamem"/>
        <w:numPr>
          <w:ilvl w:val="0"/>
          <w:numId w:val="3"/>
        </w:numPr>
        <w:spacing w:line="240" w:lineRule="auto"/>
        <w:ind w:left="425" w:hanging="425"/>
        <w:contextualSpacing w:val="0"/>
        <w:jc w:val="both"/>
        <w:rPr>
          <w:rFonts w:ascii="Times New Roman" w:hAnsi="Times New Roman" w:cs="Times New Roman"/>
          <w:sz w:val="24"/>
          <w:szCs w:val="24"/>
        </w:rPr>
      </w:pPr>
      <w:r w:rsidRPr="00A01AE1">
        <w:rPr>
          <w:rFonts w:ascii="Times New Roman" w:hAnsi="Times New Roman" w:cs="Times New Roman"/>
          <w:sz w:val="24"/>
          <w:szCs w:val="24"/>
        </w:rPr>
        <w:t xml:space="preserve">Mgr. </w:t>
      </w:r>
      <w:r w:rsidRPr="00A01AE1">
        <w:rPr>
          <w:rFonts w:ascii="Times New Roman" w:hAnsi="Times New Roman" w:cs="Times New Roman"/>
          <w:b/>
          <w:sz w:val="24"/>
          <w:szCs w:val="24"/>
        </w:rPr>
        <w:t>Michal Mazel</w:t>
      </w:r>
      <w:r w:rsidRPr="00A01AE1">
        <w:rPr>
          <w:rFonts w:ascii="Times New Roman" w:hAnsi="Times New Roman" w:cs="Times New Roman"/>
          <w:sz w:val="24"/>
          <w:szCs w:val="24"/>
        </w:rPr>
        <w:t>, advokát ev. č. ČAK 13419, IČ: 456 11</w:t>
      </w:r>
      <w:r>
        <w:rPr>
          <w:rFonts w:ascii="Times New Roman" w:hAnsi="Times New Roman" w:cs="Times New Roman"/>
          <w:sz w:val="24"/>
          <w:szCs w:val="24"/>
        </w:rPr>
        <w:t> </w:t>
      </w:r>
      <w:r w:rsidRPr="00A01AE1">
        <w:rPr>
          <w:rFonts w:ascii="Times New Roman" w:hAnsi="Times New Roman" w:cs="Times New Roman"/>
          <w:sz w:val="24"/>
          <w:szCs w:val="24"/>
        </w:rPr>
        <w:t>262,</w:t>
      </w:r>
    </w:p>
    <w:p w:rsidR="00A01AE1" w:rsidRDefault="00A01AE1" w:rsidP="00A01AE1">
      <w:pPr>
        <w:pStyle w:val="Odstavecseseznamem"/>
        <w:spacing w:line="240" w:lineRule="auto"/>
        <w:ind w:left="425"/>
        <w:contextualSpacing w:val="0"/>
        <w:jc w:val="both"/>
        <w:rPr>
          <w:rFonts w:ascii="Times New Roman" w:hAnsi="Times New Roman" w:cs="Times New Roman"/>
          <w:sz w:val="24"/>
          <w:szCs w:val="24"/>
        </w:rPr>
      </w:pPr>
      <w:r w:rsidRPr="00A01AE1">
        <w:rPr>
          <w:rFonts w:ascii="Times New Roman" w:hAnsi="Times New Roman" w:cs="Times New Roman"/>
          <w:sz w:val="24"/>
          <w:szCs w:val="24"/>
        </w:rPr>
        <w:t>se sídlem</w:t>
      </w:r>
      <w:r>
        <w:rPr>
          <w:rFonts w:ascii="Times New Roman" w:hAnsi="Times New Roman" w:cs="Times New Roman"/>
          <w:sz w:val="24"/>
          <w:szCs w:val="24"/>
        </w:rPr>
        <w:t xml:space="preserve"> </w:t>
      </w:r>
      <w:r w:rsidRPr="00A01AE1">
        <w:rPr>
          <w:rFonts w:ascii="Times New Roman" w:hAnsi="Times New Roman" w:cs="Times New Roman"/>
          <w:sz w:val="24"/>
          <w:szCs w:val="24"/>
        </w:rPr>
        <w:t>Vinohradská 938/37, 120 00 Praha 2</w:t>
      </w:r>
    </w:p>
    <w:p w:rsidR="00A01AE1" w:rsidRDefault="00A01AE1" w:rsidP="00A01AE1">
      <w:pPr>
        <w:pStyle w:val="Odstavecseseznamem"/>
        <w:numPr>
          <w:ilvl w:val="0"/>
          <w:numId w:val="3"/>
        </w:numPr>
        <w:spacing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Mgr. </w:t>
      </w:r>
      <w:r w:rsidRPr="00A01AE1">
        <w:rPr>
          <w:rFonts w:ascii="Times New Roman" w:hAnsi="Times New Roman" w:cs="Times New Roman"/>
          <w:b/>
          <w:sz w:val="24"/>
          <w:szCs w:val="24"/>
        </w:rPr>
        <w:t>Marie Plíšková</w:t>
      </w:r>
      <w:r>
        <w:rPr>
          <w:rFonts w:ascii="Times New Roman" w:hAnsi="Times New Roman" w:cs="Times New Roman"/>
          <w:sz w:val="24"/>
          <w:szCs w:val="24"/>
        </w:rPr>
        <w:t>, advokát ev. č. ČAK 15772, IČ: 691 35 631,</w:t>
      </w:r>
    </w:p>
    <w:p w:rsidR="00A01AE1" w:rsidRDefault="00A01AE1" w:rsidP="00A01AE1">
      <w:pPr>
        <w:spacing w:line="240" w:lineRule="auto"/>
        <w:ind w:firstLine="425"/>
        <w:jc w:val="both"/>
        <w:rPr>
          <w:rFonts w:ascii="Times New Roman" w:hAnsi="Times New Roman" w:cs="Times New Roman"/>
          <w:sz w:val="24"/>
          <w:szCs w:val="24"/>
        </w:rPr>
      </w:pPr>
      <w:r w:rsidRPr="00A01AE1">
        <w:rPr>
          <w:rFonts w:ascii="Times New Roman" w:hAnsi="Times New Roman" w:cs="Times New Roman"/>
          <w:sz w:val="24"/>
          <w:szCs w:val="24"/>
        </w:rPr>
        <w:t>se sídlem Vinohradská 938/37, 120 00 Praha 2</w:t>
      </w:r>
    </w:p>
    <w:p w:rsidR="00A01AE1" w:rsidRDefault="00A01AE1" w:rsidP="00A01AE1">
      <w:pPr>
        <w:pStyle w:val="Odstavecseseznamem"/>
        <w:numPr>
          <w:ilvl w:val="0"/>
          <w:numId w:val="3"/>
        </w:numPr>
        <w:spacing w:line="240" w:lineRule="auto"/>
        <w:ind w:left="425" w:hanging="426"/>
        <w:contextualSpacing w:val="0"/>
        <w:jc w:val="both"/>
        <w:rPr>
          <w:rFonts w:ascii="Times New Roman" w:hAnsi="Times New Roman" w:cs="Times New Roman"/>
          <w:sz w:val="24"/>
          <w:szCs w:val="24"/>
        </w:rPr>
      </w:pPr>
      <w:r w:rsidRPr="00A01AE1">
        <w:rPr>
          <w:rFonts w:ascii="Times New Roman" w:hAnsi="Times New Roman" w:cs="Times New Roman"/>
          <w:b/>
          <w:sz w:val="24"/>
          <w:szCs w:val="24"/>
        </w:rPr>
        <w:t>ROWAN LEGAL, advokátní kancelář s. r. o.</w:t>
      </w:r>
      <w:r>
        <w:rPr>
          <w:rFonts w:ascii="Times New Roman" w:hAnsi="Times New Roman" w:cs="Times New Roman"/>
          <w:sz w:val="24"/>
          <w:szCs w:val="24"/>
        </w:rPr>
        <w:t>, IČ: 284 68 414, DIČ: CZ 284 68 414,</w:t>
      </w:r>
    </w:p>
    <w:p w:rsidR="00A01AE1" w:rsidRDefault="00A01AE1" w:rsidP="00A01AE1">
      <w:pPr>
        <w:pStyle w:val="Odstavecseseznamem"/>
        <w:spacing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se sídlem Na Pankráci 1683/127, Nusle, 140 00 Praha 4,</w:t>
      </w:r>
    </w:p>
    <w:p w:rsidR="00A01AE1" w:rsidRDefault="00A01AE1" w:rsidP="00A01AE1">
      <w:pPr>
        <w:pStyle w:val="Odstavecseseznamem"/>
        <w:spacing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zapsaná v obchodním rejstříku vedeném Městským soudem v Praze,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C. 143781,</w:t>
      </w:r>
    </w:p>
    <w:p w:rsidR="00A01AE1" w:rsidRPr="00A01AE1" w:rsidRDefault="00A01AE1" w:rsidP="00A01AE1">
      <w:pPr>
        <w:pStyle w:val="Odstavecseseznamem"/>
        <w:spacing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zastoupená JUDr. Vilémem Podešvou, LLM, advokátem a jednatelem</w:t>
      </w:r>
    </w:p>
    <w:p w:rsidR="007A2FDF" w:rsidRPr="007A2FDF" w:rsidRDefault="007A2FDF" w:rsidP="007A2FDF">
      <w:pPr>
        <w:spacing w:line="240" w:lineRule="auto"/>
        <w:jc w:val="both"/>
        <w:rPr>
          <w:rFonts w:ascii="Times New Roman" w:hAnsi="Times New Roman" w:cs="Times New Roman"/>
          <w:sz w:val="24"/>
          <w:szCs w:val="24"/>
        </w:rPr>
      </w:pPr>
    </w:p>
    <w:p w:rsidR="00A01AE1" w:rsidRDefault="007A2FDF" w:rsidP="007A2FDF">
      <w:pPr>
        <w:spacing w:line="240" w:lineRule="auto"/>
        <w:jc w:val="both"/>
        <w:rPr>
          <w:rFonts w:ascii="Times New Roman" w:hAnsi="Times New Roman" w:cs="Times New Roman"/>
          <w:b/>
          <w:sz w:val="24"/>
          <w:szCs w:val="24"/>
        </w:rPr>
      </w:pPr>
      <w:r w:rsidRPr="007A2FDF">
        <w:rPr>
          <w:rFonts w:ascii="Times New Roman" w:hAnsi="Times New Roman" w:cs="Times New Roman"/>
          <w:sz w:val="24"/>
          <w:szCs w:val="24"/>
        </w:rPr>
        <w:t xml:space="preserve">dále jen „příkazník" </w:t>
      </w:r>
      <w:r w:rsidRPr="00A01AE1">
        <w:rPr>
          <w:rFonts w:ascii="Times New Roman" w:hAnsi="Times New Roman" w:cs="Times New Roman"/>
          <w:b/>
          <w:sz w:val="24"/>
          <w:szCs w:val="24"/>
        </w:rPr>
        <w:t>na straně druhé</w:t>
      </w:r>
    </w:p>
    <w:p w:rsidR="00A01AE1" w:rsidRDefault="00A01AE1">
      <w:pPr>
        <w:rPr>
          <w:rFonts w:ascii="Times New Roman" w:hAnsi="Times New Roman" w:cs="Times New Roman"/>
          <w:b/>
          <w:sz w:val="24"/>
          <w:szCs w:val="24"/>
        </w:rPr>
      </w:pPr>
      <w:r>
        <w:rPr>
          <w:rFonts w:ascii="Times New Roman" w:hAnsi="Times New Roman" w:cs="Times New Roman"/>
          <w:b/>
          <w:sz w:val="24"/>
          <w:szCs w:val="24"/>
        </w:rPr>
        <w:br w:type="page"/>
      </w: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lastRenderedPageBreak/>
        <w:t xml:space="preserve">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Úvodní ustanovení</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 xml:space="preserve">Příkazce je ve smyslu § 4 odst. 1 písm. d) zákona č. 134/2016 Sb. o zadávání veřejných zakázek (dále jen „ZZVZ“) veřejným zadavatelem. Příkazce má v úmyslu zadat veřejnou zakázku na výběr provozovatele Domu sociálních služeb Praha 3, který bude sdružovat zařízení pro seniory ve třech objektech na území Prahy 3 (dále jen „veřejná zakázka“). Bližší podmínky příkazcem zvažovaného způsobu zadání veřejné zakázky a </w:t>
      </w:r>
      <w:r w:rsidRPr="005B2BBF">
        <w:rPr>
          <w:rFonts w:ascii="Times New Roman" w:hAnsi="Times New Roman" w:cs="Times New Roman"/>
          <w:sz w:val="24"/>
          <w:szCs w:val="24"/>
        </w:rPr>
        <w:t>obsahu smluvního vztahu s dodavatelem jsou popsány v příloze č. 1 této smlouvy (“Podklad pro výběr administrátora zakázky“), která je její nedílnou součástí.</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Účelem této smlouvy je zajištění přípravy a realizace zadávacího řízení na veřejnou zakázku příkazníkem.</w:t>
      </w:r>
    </w:p>
    <w:p w:rsidR="007A2FDF" w:rsidRPr="007A2FDF" w:rsidRDefault="007A2FDF"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II.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Předmět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Předmětem této smlouvy jsou práva a povinnosti smluvních stran v rámci přípravy a organizačního zajištění zadávacího řízení pro zadání veřejné zakázky. S ohledem na předmět veřejné zakázky bude zakázka v souladu s § 15 ZZVZ zadána jako koncese na služby ve zjednodušeném režimu ve smyslu § 129 ZZVZ. Touto smlouvou se příkazník zavazuje, že pro příkazce komplexně připraví a organizačně zajistí celé zadávací řízení na zadání veřejné zakázky a příkazce se zavazuje mu za to zaplatit odměnu sjednanou dle článku IV. této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 xml:space="preserve">Příkazník je pro příkazce povinen zajistit komplexní administraci zadávání výše uvedené veřejné zakázky, včetně odborného poradenství. V rámci přípravy a organizačního zajištění zadávacího řízení příkazník zajistí zejména následující činnosti: </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b/>
          <w:sz w:val="24"/>
          <w:szCs w:val="24"/>
        </w:rPr>
      </w:pPr>
      <w:r w:rsidRPr="007A2FDF">
        <w:rPr>
          <w:rFonts w:ascii="Times New Roman" w:hAnsi="Times New Roman" w:cs="Times New Roman"/>
          <w:b/>
          <w:sz w:val="24"/>
          <w:szCs w:val="24"/>
        </w:rPr>
        <w:t>I.</w:t>
      </w:r>
      <w:r w:rsidRPr="007A2FDF">
        <w:rPr>
          <w:rFonts w:ascii="Times New Roman" w:hAnsi="Times New Roman" w:cs="Times New Roman"/>
          <w:b/>
          <w:sz w:val="24"/>
          <w:szCs w:val="24"/>
        </w:rPr>
        <w:tab/>
        <w:t>Strategie transakce</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vstupní jednání, studium a revize předaných podkladů, zařazení předmětu zakázky podle typu, konzultace ke způsobu zadání zakázky v zadávacím řízení,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prověření hlavních parametrů smluvního vztahu (transakce) mezi zadavatelem a provozovatelem a jejich charakteru z hlediska ZZVZ a prověření zadavatelem předpokládaného druhu zadávacího řízení,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prověření závazků a překážek realizace transakce a omezení ve vztahu k budoucímu využití objektu,</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stanovení strategie transakce, doporučení konkrétního způsobu realizace, formy dialogu s uchazeči a vytvoření harmonogramu zadání veřejné zakázky.</w:t>
      </w:r>
    </w:p>
    <w:p w:rsidR="00A01AE1" w:rsidRDefault="00A01AE1">
      <w:pPr>
        <w:rPr>
          <w:rFonts w:ascii="Times New Roman" w:hAnsi="Times New Roman" w:cs="Times New Roman"/>
          <w:b/>
          <w:sz w:val="24"/>
          <w:szCs w:val="24"/>
        </w:rPr>
      </w:pPr>
      <w:r>
        <w:rPr>
          <w:rFonts w:ascii="Times New Roman" w:hAnsi="Times New Roman" w:cs="Times New Roman"/>
          <w:b/>
          <w:sz w:val="24"/>
          <w:szCs w:val="24"/>
        </w:rPr>
        <w:br w:type="page"/>
      </w:r>
    </w:p>
    <w:p w:rsidR="007A2FDF" w:rsidRPr="007A2FDF" w:rsidRDefault="007A2FDF" w:rsidP="007A2FDF">
      <w:p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Přípravná fáze</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stanovení předpokládané hodnoty veřejné zakázky,</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návrh zadávací dokumentace, která bude zahrnovat mimo jiné i návrh smlo</w:t>
      </w:r>
      <w:r>
        <w:rPr>
          <w:rFonts w:ascii="Times New Roman" w:hAnsi="Times New Roman" w:cs="Times New Roman"/>
          <w:sz w:val="24"/>
          <w:szCs w:val="24"/>
        </w:rPr>
        <w:t xml:space="preserve">uvy na plnění veřejné zakázky,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po schválení příkazcem kompletace a vyhotovení finá</w:t>
      </w:r>
      <w:r>
        <w:rPr>
          <w:rFonts w:ascii="Times New Roman" w:hAnsi="Times New Roman" w:cs="Times New Roman"/>
          <w:sz w:val="24"/>
          <w:szCs w:val="24"/>
        </w:rPr>
        <w:t xml:space="preserve">lní verze zadávací dokumentace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zpracování předběžného oznámení zadávacího řízení a zajištění jeho zveřejnění ve Věstníku veřejných zakázek a Úředním věstníku Evropské unie (bude-li to s ohledem na předpokládanou hodnotu veřejné zakázky nezbytné) na účet příkazce.</w:t>
      </w:r>
    </w:p>
    <w:p w:rsidR="007A2FDF" w:rsidRPr="007A2FDF" w:rsidRDefault="007A2FDF" w:rsidP="007A2FDF">
      <w:pPr>
        <w:spacing w:line="240" w:lineRule="auto"/>
        <w:ind w:left="709" w:hanging="709"/>
        <w:jc w:val="both"/>
        <w:rPr>
          <w:rFonts w:ascii="Times New Roman" w:hAnsi="Times New Roman" w:cs="Times New Roman"/>
          <w:sz w:val="24"/>
          <w:szCs w:val="24"/>
        </w:rPr>
      </w:pPr>
    </w:p>
    <w:p w:rsidR="007A2FDF" w:rsidRPr="007A2FDF" w:rsidRDefault="007A2FDF" w:rsidP="007A2FDF">
      <w:p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Zadávací řízení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kvalifikace oslovených uchazečů,</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diskuze nad smluvními parametry (návrhem smluvní dokumentace) formou dialogu s uchazeči (očekávaný rozsah 2 – 3 kol jednání s každým z uchazečů),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výzva k podání nabídek, hodnocení nabídek,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konzultační a poradenská činnost v průběhu lhůty pro podání nabídek - příjem a zajištění odpovědí na dotazy zájemců,</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příprava podkladů pro jmenování členů komisí,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příprava podkladů pro příjem nabídek a otevírání obálek a koordinace,</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účast v komisi pro otevírání obálek, zpracování protokolu o otevírání obálek,</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příprava podkladů pro jednání komisí v rámci posuzování a hodnocení nabídek,</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k požadavku příkazce účast a poradenská činnost při jednáních jednotlivých komisí,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zpracování protokolů z jednání jednotlivých komisí,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zpracování textu rozhodnutí zadavatele o případném vyloučení uchazečů a oznámení těchto rozhodnutí příslušným uchazečům,</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zpracování rozhodnutí zadavatele o výběru nejvhodnější nabídky a oznámení těchto rozhodnutí příslušným uchazečům,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zpracování rozhodnutí zadavatele o vyřízení námitek, budou-li podány,</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příprava podkladů a zajištění kvalifikovaného právního zastoupení příkazce v případě řízení vedeného před ÚOHS,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příprava podkladů a žádosti o stanovisko Ministerstva financí k uzavření smlouvy,</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asistence s podpisem smluvní dokumentace. </w:t>
      </w:r>
    </w:p>
    <w:p w:rsidR="002D45B9" w:rsidRDefault="002D45B9">
      <w:pPr>
        <w:rPr>
          <w:rFonts w:ascii="Times New Roman" w:hAnsi="Times New Roman" w:cs="Times New Roman"/>
          <w:sz w:val="24"/>
          <w:szCs w:val="24"/>
        </w:rPr>
      </w:pPr>
      <w:r>
        <w:rPr>
          <w:rFonts w:ascii="Times New Roman" w:hAnsi="Times New Roman" w:cs="Times New Roman"/>
          <w:sz w:val="24"/>
          <w:szCs w:val="24"/>
        </w:rPr>
        <w:br w:type="page"/>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lastRenderedPageBreak/>
        <w:t>3.</w:t>
      </w:r>
      <w:r w:rsidRPr="007A2FDF">
        <w:rPr>
          <w:rFonts w:ascii="Times New Roman" w:hAnsi="Times New Roman" w:cs="Times New Roman"/>
          <w:sz w:val="24"/>
          <w:szCs w:val="24"/>
        </w:rPr>
        <w:tab/>
        <w:t>Do rozsahu činností zajišťovaných příkazníkem dle článku II. odst. 2 smlouvy nenáleží:</w:t>
      </w:r>
    </w:p>
    <w:p w:rsidR="007A2FDF" w:rsidRPr="007A2FDF" w:rsidRDefault="00B83692" w:rsidP="007A2FDF">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A2FDF" w:rsidRPr="007A2FDF">
        <w:rPr>
          <w:rFonts w:ascii="Times New Roman" w:hAnsi="Times New Roman" w:cs="Times New Roman"/>
          <w:sz w:val="24"/>
          <w:szCs w:val="24"/>
        </w:rPr>
        <w:t>.</w:t>
      </w:r>
      <w:r w:rsidR="007A2FDF" w:rsidRPr="007A2FDF">
        <w:rPr>
          <w:rFonts w:ascii="Times New Roman" w:hAnsi="Times New Roman" w:cs="Times New Roman"/>
          <w:sz w:val="24"/>
          <w:szCs w:val="24"/>
        </w:rPr>
        <w:tab/>
        <w:t>zpracování odpovědí na žádosti o dodatečné informace k zadávacím podmínkám vztahujících se k stavebně technickým podmínkám zakázky,</w:t>
      </w:r>
    </w:p>
    <w:p w:rsidR="007A2FDF" w:rsidRPr="007A2FDF" w:rsidRDefault="00B83692" w:rsidP="007A2FDF">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w:t>
      </w:r>
      <w:r w:rsidR="007A2FDF" w:rsidRPr="007A2FDF">
        <w:rPr>
          <w:rFonts w:ascii="Times New Roman" w:hAnsi="Times New Roman" w:cs="Times New Roman"/>
          <w:sz w:val="24"/>
          <w:szCs w:val="24"/>
        </w:rPr>
        <w:t>.</w:t>
      </w:r>
      <w:r w:rsidR="007A2FDF" w:rsidRPr="007A2FDF">
        <w:rPr>
          <w:rFonts w:ascii="Times New Roman" w:hAnsi="Times New Roman" w:cs="Times New Roman"/>
          <w:sz w:val="24"/>
          <w:szCs w:val="24"/>
        </w:rPr>
        <w:tab/>
        <w:t>personální zajištění členů komise pro otevírání obálek, hodnotící komise, příp. dalších komisí, a jejich náhradníků,</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 xml:space="preserve">Pro vyloučení pochybností smluvní strany sjednávají, že do rozsahu činnosti příkazníka podle čl. II. odst. 2 této smlouvy spadají i další činnosti či úkony v této smlouvě výslovně nevyjmenované, je-li jejich zajištění nezbytné k řádné přípravě a průběhu zadávacího řízení a není-li jejich provedení výslovně vyloučeno v čl. II. odst. 3 </w:t>
      </w:r>
      <w:proofErr w:type="gramStart"/>
      <w:r w:rsidRPr="007A2FDF">
        <w:rPr>
          <w:rFonts w:ascii="Times New Roman" w:hAnsi="Times New Roman" w:cs="Times New Roman"/>
          <w:sz w:val="24"/>
          <w:szCs w:val="24"/>
        </w:rPr>
        <w:t>této</w:t>
      </w:r>
      <w:proofErr w:type="gramEnd"/>
      <w:r w:rsidRPr="007A2FDF">
        <w:rPr>
          <w:rFonts w:ascii="Times New Roman" w:hAnsi="Times New Roman" w:cs="Times New Roman"/>
          <w:sz w:val="24"/>
          <w:szCs w:val="24"/>
        </w:rPr>
        <w:t xml:space="preserve"> smlouvy. V uvedeném případě platí, že příkazník je povinen připravit pro příkazce veškeré podklady, zorganizovat veškeré činnosti a odeslat veškeré doklady vyplývající ze znění ZZVZ, a to ve lhůtách stanovených ZZVZ, popř. v předstihu tak, aby byly dodrženy zákonné lhůty pro činnosti, které má dle ZZVZ vykon</w:t>
      </w:r>
      <w:r>
        <w:rPr>
          <w:rFonts w:ascii="Times New Roman" w:hAnsi="Times New Roman" w:cs="Times New Roman"/>
          <w:sz w:val="24"/>
          <w:szCs w:val="24"/>
        </w:rPr>
        <w:t xml:space="preserve">at přímo zadavatel (příkazce). </w:t>
      </w:r>
    </w:p>
    <w:p w:rsid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w:t>
      </w:r>
      <w:r w:rsidRPr="007A2FDF">
        <w:rPr>
          <w:rFonts w:ascii="Times New Roman" w:hAnsi="Times New Roman" w:cs="Times New Roman"/>
          <w:sz w:val="24"/>
          <w:szCs w:val="24"/>
        </w:rPr>
        <w:tab/>
        <w:t>V rámci plnění povinností specifikovaných v čl. II. odst. 2 bod I. této smlouvy (strategie transakce) je příkazník povinen zpracovat písemný výstup (zprávu, stanovisko, apod.) s obsahem odpovídajícím povinnostem příkazníka podle uvedeného bodu smlouvy, a to v rozsahu minimálně 10 normostran v</w:t>
      </w:r>
      <w:r w:rsidR="00B83692">
        <w:rPr>
          <w:rFonts w:ascii="Times New Roman" w:hAnsi="Times New Roman" w:cs="Times New Roman"/>
          <w:sz w:val="24"/>
          <w:szCs w:val="24"/>
        </w:rPr>
        <w:t>e</w:t>
      </w:r>
      <w:r w:rsidRPr="007A2FDF">
        <w:rPr>
          <w:rFonts w:ascii="Times New Roman" w:hAnsi="Times New Roman" w:cs="Times New Roman"/>
          <w:sz w:val="24"/>
          <w:szCs w:val="24"/>
        </w:rPr>
        <w:t xml:space="preserve"> smyslu § 24 </w:t>
      </w:r>
      <w:r w:rsidR="00B83692">
        <w:rPr>
          <w:rFonts w:ascii="Times New Roman" w:hAnsi="Times New Roman" w:cs="Times New Roman"/>
          <w:sz w:val="24"/>
          <w:szCs w:val="24"/>
        </w:rPr>
        <w:t>odst. 2 vyhlášky</w:t>
      </w:r>
      <w:r>
        <w:rPr>
          <w:rFonts w:ascii="Times New Roman" w:hAnsi="Times New Roman" w:cs="Times New Roman"/>
          <w:sz w:val="24"/>
          <w:szCs w:val="24"/>
        </w:rPr>
        <w:t xml:space="preserve"> č. 37/1967 Sb.</w:t>
      </w:r>
    </w:p>
    <w:p w:rsidR="007A2FDF" w:rsidRPr="007A2FDF" w:rsidRDefault="007A2FDF" w:rsidP="007A2F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7A2FDF">
        <w:rPr>
          <w:rFonts w:ascii="Times New Roman" w:hAnsi="Times New Roman" w:cs="Times New Roman"/>
          <w:sz w:val="24"/>
          <w:szCs w:val="24"/>
        </w:rPr>
        <w:t>Smluvní strany se mohou dohodnout, že příkazník obstará pro příkazce další záležitosti nad rámec předmětu této smlouvy, a to na základě vzájemné předchozí písemné dohody smluvních stran ve formě dodatku k této smlouvě, případně nové smlouvy, o obsahu a rozsahu takových záležitostí a o odměně příkazníka za jejich obstarání.</w:t>
      </w:r>
    </w:p>
    <w:p w:rsidR="007A2FDF" w:rsidRPr="007A2FDF" w:rsidRDefault="007A2FDF"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III.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Práva a povinnosti smluvních stran</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 xml:space="preserve">Příkazník je povinen při provádění činností dle této smlouvy postupovat v souladu s právními předpisy, zejména ZZVZ, podle pokynů příkazce, které si je v případě potřeby povinen vyžádat předem a v souladu s jeho zájmy a vynakládat přitom veškeré úsilí, které lze požadovat.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Příkazník je povinen bez zbytečného odkladu oznámit příkazci všechny okolnosti, které zjistil při plnění příkazu, a které mohou mít vliv na změnu pokynů nebo zájmů příkazce.</w:t>
      </w:r>
    </w:p>
    <w:p w:rsidR="002D45B9" w:rsidRPr="002D45B9" w:rsidRDefault="007A2FDF" w:rsidP="007A2FDF">
      <w:pPr>
        <w:spacing w:line="240" w:lineRule="auto"/>
        <w:jc w:val="both"/>
        <w:rPr>
          <w:rFonts w:ascii="Times New Roman" w:hAnsi="Times New Roman" w:cs="Times New Roman"/>
          <w:color w:val="FFFFFF" w:themeColor="background1"/>
          <w:sz w:val="24"/>
          <w:szCs w:val="24"/>
        </w:rPr>
      </w:pPr>
      <w:r w:rsidRPr="007A2FDF">
        <w:rPr>
          <w:rFonts w:ascii="Times New Roman" w:hAnsi="Times New Roman" w:cs="Times New Roman"/>
          <w:sz w:val="24"/>
          <w:szCs w:val="24"/>
        </w:rPr>
        <w:t>3.</w:t>
      </w:r>
      <w:r w:rsidRPr="007A2FDF">
        <w:rPr>
          <w:rFonts w:ascii="Times New Roman" w:hAnsi="Times New Roman" w:cs="Times New Roman"/>
          <w:sz w:val="24"/>
          <w:szCs w:val="24"/>
        </w:rPr>
        <w:tab/>
        <w:t>Příkazník se nesmí odchýlit od pokynů příkazce. To neplatí v případě, pokud by pokyny příkazce byly v rozporu se zákonem a dalšími obecně závaznými právními předpisy či příslušnými pravidly pro zadávání veřejných zakázek. Na takovou skutečnost či zřejmou nesprávnost pokynu je příkazník povinen příkazce bez zbytečného odkladu předem upozornit. V případě, že příkazce bude i po předchozím písemném u</w:t>
      </w:r>
      <w:r w:rsidR="002D45B9">
        <w:rPr>
          <w:rFonts w:ascii="Times New Roman" w:hAnsi="Times New Roman" w:cs="Times New Roman"/>
          <w:sz w:val="24"/>
          <w:szCs w:val="24"/>
        </w:rPr>
        <w:t xml:space="preserve">pozornění příkazníka na takovém </w:t>
      </w:r>
      <w:r w:rsidR="002D45B9">
        <w:rPr>
          <w:rFonts w:ascii="Times New Roman" w:hAnsi="Times New Roman" w:cs="Times New Roman"/>
          <w:color w:val="FFFFFF" w:themeColor="background1"/>
          <w:sz w:val="24"/>
          <w:szCs w:val="24"/>
        </w:rPr>
        <w:t>pokynu</w:t>
      </w:r>
    </w:p>
    <w:p w:rsidR="002D45B9" w:rsidRDefault="002D45B9">
      <w:pPr>
        <w:rPr>
          <w:rFonts w:ascii="Times New Roman" w:hAnsi="Times New Roman" w:cs="Times New Roman"/>
          <w:sz w:val="24"/>
          <w:szCs w:val="24"/>
        </w:rPr>
      </w:pPr>
      <w:r>
        <w:rPr>
          <w:rFonts w:ascii="Times New Roman" w:hAnsi="Times New Roman" w:cs="Times New Roman"/>
          <w:sz w:val="24"/>
          <w:szCs w:val="24"/>
        </w:rPr>
        <w:br w:type="page"/>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lastRenderedPageBreak/>
        <w:t>pokynu trvat, je příkazník povinen jej splnit, avšak neodpovídá za škodu vzniklou v příčinné souvislosti s dodržením takového pokynu.</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Příkazce je povinen předat včas příkazníkovi úplné a pravdivé informace a podklady, jež jsou nezbytně nutné k řádnému splnění povinností příkazníka dle této smlouvy, pokud z jejich povahy nevyplývá, že je má zajistit příkazník v rámci plnění sám.</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w:t>
      </w:r>
      <w:r w:rsidRPr="007A2FDF">
        <w:rPr>
          <w:rFonts w:ascii="Times New Roman" w:hAnsi="Times New Roman" w:cs="Times New Roman"/>
          <w:sz w:val="24"/>
          <w:szCs w:val="24"/>
        </w:rPr>
        <w:tab/>
        <w:t>Příkazce je povinen vytvořit řádné podmínky pro činnost příkazníka a poskytovat mu během plnění předmětu smlouvy součinnost nezbytnou pro dosažení účelu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6.</w:t>
      </w:r>
      <w:r w:rsidRPr="007A2FDF">
        <w:rPr>
          <w:rFonts w:ascii="Times New Roman" w:hAnsi="Times New Roman" w:cs="Times New Roman"/>
          <w:sz w:val="24"/>
          <w:szCs w:val="24"/>
        </w:rPr>
        <w:tab/>
        <w:t>Zjistí-li některá ze smluvních stran překážky při plnění dle této smlouvy, které znemožňují dosažení účelu této smlouvy, oznámí to v písemné formě neprodleně druhé straně. V takovém případě smluvní strany vyvinou nezbytné úsilí, které na nich lze spravedlivě požadovat tak, aby bez zbytečného odkladu po doručení písemného oznámení mohlo dojít k odstranění daných překážek.</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7.</w:t>
      </w:r>
      <w:r w:rsidRPr="007A2FDF">
        <w:rPr>
          <w:rFonts w:ascii="Times New Roman" w:hAnsi="Times New Roman" w:cs="Times New Roman"/>
          <w:sz w:val="24"/>
          <w:szCs w:val="24"/>
        </w:rPr>
        <w:tab/>
        <w:t>Po splnění příkazu je příkazník povinen příkazci bezodkladně předat dokumentaci k provedenému zadávacímu řízení. Předání této dokumentace potvrdí smluvní strany podpisem předávacího protokolu.</w:t>
      </w:r>
    </w:p>
    <w:p w:rsid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8.</w:t>
      </w:r>
      <w:r w:rsidRPr="007A2FDF">
        <w:rPr>
          <w:rFonts w:ascii="Times New Roman" w:hAnsi="Times New Roman" w:cs="Times New Roman"/>
          <w:sz w:val="24"/>
          <w:szCs w:val="24"/>
        </w:rPr>
        <w:tab/>
        <w:t>Bude-li to k plnění příkazu nezbytné, vystaví příkazce příkazníkov</w:t>
      </w:r>
      <w:r>
        <w:rPr>
          <w:rFonts w:ascii="Times New Roman" w:hAnsi="Times New Roman" w:cs="Times New Roman"/>
          <w:sz w:val="24"/>
          <w:szCs w:val="24"/>
        </w:rPr>
        <w:t>i plnou moc k jeho zastupování.</w:t>
      </w:r>
    </w:p>
    <w:p w:rsidR="007A2FDF" w:rsidRPr="007A2FDF" w:rsidRDefault="007A2FDF"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IV.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Odměna a platební podmínky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 xml:space="preserve">Fixní odměna za splnění příkazu dle této smlouvy je stanovena dohodou smluvních stran paušálně v celkové výši skládající se z částky ve výši </w:t>
      </w:r>
      <w:r w:rsidR="00A01AE1">
        <w:rPr>
          <w:rFonts w:ascii="Times New Roman" w:hAnsi="Times New Roman" w:cs="Times New Roman"/>
          <w:sz w:val="24"/>
          <w:szCs w:val="24"/>
        </w:rPr>
        <w:t>840 000</w:t>
      </w:r>
      <w:r w:rsidRPr="007A2FDF">
        <w:rPr>
          <w:rFonts w:ascii="Times New Roman" w:hAnsi="Times New Roman" w:cs="Times New Roman"/>
          <w:sz w:val="24"/>
          <w:szCs w:val="24"/>
        </w:rPr>
        <w:t xml:space="preserve">,- Kč bez DPH a z částky odpovídající DPH ve výši platné v době uskutečnění zdanitelného plnění, je-li příkazník jejím plátcem.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Odměna dle odst. 1 tohoto článku smlouvy zahrnuje veškeré náklady příkazníka vynaložené na plnění příkazu dle této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3.</w:t>
      </w:r>
      <w:r w:rsidRPr="007A2FDF">
        <w:rPr>
          <w:rFonts w:ascii="Times New Roman" w:hAnsi="Times New Roman" w:cs="Times New Roman"/>
          <w:sz w:val="24"/>
          <w:szCs w:val="24"/>
        </w:rPr>
        <w:tab/>
        <w:t>Odměna za činnost příkazníka bude uhrazena na základě daňových dokladů (faktur), a to vždy v samostatných splátkách dle čl. IV odst. 4. této smlouvy. Zálohy nebudou poskytovány.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Smluvní strany sjednávají výši jednotlivých splátek odměny a termíny vystavení faktur k jejich úhradě následovně:</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a)</w:t>
      </w:r>
      <w:r w:rsidRPr="007A2FDF">
        <w:rPr>
          <w:rFonts w:ascii="Times New Roman" w:hAnsi="Times New Roman" w:cs="Times New Roman"/>
          <w:sz w:val="24"/>
          <w:szCs w:val="24"/>
        </w:rPr>
        <w:tab/>
        <w:t xml:space="preserve">část odměny ve výši 5 % z odměny dle čl. IV. odst. 1 je splatná na základě faktury vystavené po předání písemného materiálu specifikovaného v čl. II. odst. 5 této smlouvy, </w:t>
      </w:r>
    </w:p>
    <w:p w:rsidR="002D45B9"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b)</w:t>
      </w:r>
      <w:r w:rsidRPr="007A2FDF">
        <w:rPr>
          <w:rFonts w:ascii="Times New Roman" w:hAnsi="Times New Roman" w:cs="Times New Roman"/>
          <w:sz w:val="24"/>
          <w:szCs w:val="24"/>
        </w:rPr>
        <w:tab/>
        <w:t xml:space="preserve">část odměny ve výši 25 % z odměny dle čl. IV. odst. 1 je splatná na základě faktury vystavené po odsouhlasení znění zadávací dokumentace, </w:t>
      </w:r>
    </w:p>
    <w:p w:rsidR="002D45B9" w:rsidRDefault="002D45B9">
      <w:pPr>
        <w:rPr>
          <w:rFonts w:ascii="Times New Roman" w:hAnsi="Times New Roman" w:cs="Times New Roman"/>
          <w:sz w:val="24"/>
          <w:szCs w:val="24"/>
        </w:rPr>
      </w:pPr>
      <w:r>
        <w:rPr>
          <w:rFonts w:ascii="Times New Roman" w:hAnsi="Times New Roman" w:cs="Times New Roman"/>
          <w:sz w:val="24"/>
          <w:szCs w:val="24"/>
        </w:rPr>
        <w:br w:type="page"/>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lastRenderedPageBreak/>
        <w:t>c)</w:t>
      </w:r>
      <w:r w:rsidRPr="007A2FDF">
        <w:rPr>
          <w:rFonts w:ascii="Times New Roman" w:hAnsi="Times New Roman" w:cs="Times New Roman"/>
          <w:sz w:val="24"/>
          <w:szCs w:val="24"/>
        </w:rPr>
        <w:tab/>
        <w:t xml:space="preserve">část odměny ve výši 30 % z odměny dle čl. IV. odst. 1 je splatná na základě faktury vystavené po rozhodnutí zadavatele o výběru nejvhodnější nabídky,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d)</w:t>
      </w:r>
      <w:r w:rsidRPr="007A2FDF">
        <w:rPr>
          <w:rFonts w:ascii="Times New Roman" w:hAnsi="Times New Roman" w:cs="Times New Roman"/>
          <w:sz w:val="24"/>
          <w:szCs w:val="24"/>
        </w:rPr>
        <w:tab/>
        <w:t>část odměny ve výši 40 % z odměny dle čl. IV. odst. 1 je splatná na základě faktury vystavené po ukončení zadávacího řízení a předání návrhu žádosti o stanovisko pro Ministerstvo financí dle této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w:t>
      </w:r>
      <w:r w:rsidRPr="007A2FDF">
        <w:rPr>
          <w:rFonts w:ascii="Times New Roman" w:hAnsi="Times New Roman" w:cs="Times New Roman"/>
          <w:sz w:val="24"/>
          <w:szCs w:val="24"/>
        </w:rPr>
        <w:tab/>
        <w:t>Faktura musí vždy obsahovat předepsané účetní a daňové náležitosti dle zákona č. 235/2004 Sb., o dani z přidané hodnoty, ve znění pozdějších předpisů (dále „zákon o DPH") a její datum splatnosti musí stanoveno tak, aby lhůta k jejímu zaplacení nebyla kratší než 30 d</w:t>
      </w:r>
      <w:r>
        <w:rPr>
          <w:rFonts w:ascii="Times New Roman" w:hAnsi="Times New Roman" w:cs="Times New Roman"/>
          <w:sz w:val="24"/>
          <w:szCs w:val="24"/>
        </w:rPr>
        <w:t>ní od jejího doručení příkazci.</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6.</w:t>
      </w:r>
      <w:r w:rsidRPr="007A2FDF">
        <w:rPr>
          <w:rFonts w:ascii="Times New Roman" w:hAnsi="Times New Roman" w:cs="Times New Roman"/>
          <w:sz w:val="24"/>
          <w:szCs w:val="24"/>
        </w:rPr>
        <w:tab/>
        <w:t xml:space="preserve">Je-li příkazník plátcem DPH, platí </w:t>
      </w:r>
      <w:r>
        <w:rPr>
          <w:rFonts w:ascii="Times New Roman" w:hAnsi="Times New Roman" w:cs="Times New Roman"/>
          <w:sz w:val="24"/>
          <w:szCs w:val="24"/>
        </w:rPr>
        <w:t>pro něj následující ustanovení: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a.</w:t>
      </w:r>
      <w:r w:rsidRPr="007A2FDF">
        <w:rPr>
          <w:rFonts w:ascii="Times New Roman" w:hAnsi="Times New Roman" w:cs="Times New Roman"/>
          <w:sz w:val="24"/>
          <w:szCs w:val="24"/>
        </w:rPr>
        <w:tab/>
        <w:t>Příkazník je povinen ve fakturách uvést číslo svého bankovního účtu, které sdělil registru plátců a identifikovaných osob zveřejněnému správcem daně (dále jen registr), a označil jej jako účet pro ekonomicko</w:t>
      </w:r>
      <w:r>
        <w:rPr>
          <w:rFonts w:ascii="Times New Roman" w:hAnsi="Times New Roman" w:cs="Times New Roman"/>
          <w:sz w:val="24"/>
          <w:szCs w:val="24"/>
        </w:rPr>
        <w:t>u činnost určený ke zveřejnění.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b.</w:t>
      </w:r>
      <w:r w:rsidRPr="007A2FDF">
        <w:rPr>
          <w:rFonts w:ascii="Times New Roman" w:hAnsi="Times New Roman" w:cs="Times New Roman"/>
          <w:sz w:val="24"/>
          <w:szCs w:val="24"/>
        </w:rPr>
        <w:tab/>
        <w:t xml:space="preserve">Dále se příkazník zavazuje toto číslo bankovního účtu udržovat po celou dobu smluvního vztahu v registru jako aktuální, resp. nebude k datu úhrady faktury vyžadovat po příkazci úhradu na jiné číslo bankovního účtu. </w:t>
      </w:r>
      <w:proofErr w:type="gramStart"/>
      <w:r w:rsidRPr="007A2FDF">
        <w:rPr>
          <w:rFonts w:ascii="Times New Roman" w:hAnsi="Times New Roman" w:cs="Times New Roman"/>
          <w:sz w:val="24"/>
          <w:szCs w:val="24"/>
        </w:rPr>
        <w:t>Nahradí</w:t>
      </w:r>
      <w:proofErr w:type="gramEnd"/>
      <w:r w:rsidRPr="007A2FDF">
        <w:rPr>
          <w:rFonts w:ascii="Times New Roman" w:hAnsi="Times New Roman" w:cs="Times New Roman"/>
          <w:sz w:val="24"/>
          <w:szCs w:val="24"/>
        </w:rPr>
        <w:t>–</w:t>
      </w:r>
      <w:proofErr w:type="spellStart"/>
      <w:proofErr w:type="gramStart"/>
      <w:r w:rsidRPr="007A2FDF">
        <w:rPr>
          <w:rFonts w:ascii="Times New Roman" w:hAnsi="Times New Roman" w:cs="Times New Roman"/>
          <w:sz w:val="24"/>
          <w:szCs w:val="24"/>
        </w:rPr>
        <w:t>li</w:t>
      </w:r>
      <w:proofErr w:type="spellEnd"/>
      <w:proofErr w:type="gramEnd"/>
      <w:r w:rsidRPr="007A2FDF">
        <w:rPr>
          <w:rFonts w:ascii="Times New Roman" w:hAnsi="Times New Roman" w:cs="Times New Roman"/>
          <w:sz w:val="24"/>
          <w:szCs w:val="24"/>
        </w:rPr>
        <w:t xml:space="preserve"> příkazník číslo bankovního účtu uvedené v registru jiným číslem bankovního účtu, uvědomí o tom současně příkazce, a to průkazným způsobem (kopií dokladu o o</w:t>
      </w:r>
      <w:r>
        <w:rPr>
          <w:rFonts w:ascii="Times New Roman" w:hAnsi="Times New Roman" w:cs="Times New Roman"/>
          <w:sz w:val="24"/>
          <w:szCs w:val="24"/>
        </w:rPr>
        <w:t>známení změny účtu v registru).</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c.</w:t>
      </w:r>
      <w:r w:rsidRPr="007A2FDF">
        <w:rPr>
          <w:rFonts w:ascii="Times New Roman" w:hAnsi="Times New Roman" w:cs="Times New Roman"/>
          <w:sz w:val="24"/>
          <w:szCs w:val="24"/>
        </w:rPr>
        <w:tab/>
        <w:t>V případě, že se číslo bankovního účtu uvedené příkazníkem na faktuře nebude k datu úhrady shodovat s číslem bankovního účtu uvedeným v registru, je příkazce oprávněn odvést DPH z uskutečněného zdanitelného plnění přímo příslušnému finančnímu úřadu (správci daně) a příkazní</w:t>
      </w:r>
      <w:r>
        <w:rPr>
          <w:rFonts w:ascii="Times New Roman" w:hAnsi="Times New Roman" w:cs="Times New Roman"/>
          <w:sz w:val="24"/>
          <w:szCs w:val="24"/>
        </w:rPr>
        <w:t>kovi uhradit pouze základ daně.</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d.</w:t>
      </w:r>
      <w:r w:rsidRPr="007A2FDF">
        <w:rPr>
          <w:rFonts w:ascii="Times New Roman" w:hAnsi="Times New Roman" w:cs="Times New Roman"/>
          <w:sz w:val="24"/>
          <w:szCs w:val="24"/>
        </w:rPr>
        <w:tab/>
        <w:t>Příkazce odvede částku DPH z uskutečněného zdanitelného plnění přímo příslušnému finančnímu úřadu (správci daně) vždy, když bude tuzemský příkazník požadovat úhradu na číslo bankovního účtu v zahraničí, nebo bude k datu zdanitelného plnění uveden v regi</w:t>
      </w:r>
      <w:r>
        <w:rPr>
          <w:rFonts w:ascii="Times New Roman" w:hAnsi="Times New Roman" w:cs="Times New Roman"/>
          <w:sz w:val="24"/>
          <w:szCs w:val="24"/>
        </w:rPr>
        <w:t xml:space="preserve">stru jako nespolehlivý plátce. </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e.</w:t>
      </w:r>
      <w:r w:rsidRPr="007A2FDF">
        <w:rPr>
          <w:rFonts w:ascii="Times New Roman" w:hAnsi="Times New Roman" w:cs="Times New Roman"/>
          <w:sz w:val="24"/>
          <w:szCs w:val="24"/>
        </w:rPr>
        <w:tab/>
        <w:t>Úhradou DPH na účet finančního úřadu se pohledávka příkazníka vůči příkazci v částce uhrazené DPH považuje bez ohledu na další ustanovení smlouvy za uhrazenou. Příkazník neprodleně písemně oznámí, zda takto provedená platba j</w:t>
      </w:r>
      <w:r>
        <w:rPr>
          <w:rFonts w:ascii="Times New Roman" w:hAnsi="Times New Roman" w:cs="Times New Roman"/>
          <w:sz w:val="24"/>
          <w:szCs w:val="24"/>
        </w:rPr>
        <w:t>e evidována jeho správcem daně.</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7.</w:t>
      </w:r>
      <w:r w:rsidRPr="007A2FDF">
        <w:rPr>
          <w:rFonts w:ascii="Times New Roman" w:hAnsi="Times New Roman" w:cs="Times New Roman"/>
          <w:sz w:val="24"/>
          <w:szCs w:val="24"/>
        </w:rPr>
        <w:tab/>
        <w:t xml:space="preserve">Příkazník není oprávněn postoupit, dát do zástavy nebo započíst jakékoliv pohledávky plynoucí mu z této smlouvy bez předchozího písemného souhlasu příkazce. </w:t>
      </w:r>
    </w:p>
    <w:p w:rsidR="007A2FDF" w:rsidRPr="007A2FDF" w:rsidRDefault="007A2FDF"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V.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Doba plnění</w:t>
      </w:r>
    </w:p>
    <w:p w:rsidR="002D45B9"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 Písemný materiál dle čl. II. odst. 5 této smlouvy je příkazník povinen zpracovat a příkazci předat nejpozději do 3</w:t>
      </w:r>
      <w:r>
        <w:rPr>
          <w:rFonts w:ascii="Times New Roman" w:hAnsi="Times New Roman" w:cs="Times New Roman"/>
          <w:sz w:val="24"/>
          <w:szCs w:val="24"/>
        </w:rPr>
        <w:t>0 dnů od uzavření této smlouvy.</w:t>
      </w:r>
    </w:p>
    <w:p w:rsidR="002D45B9" w:rsidRDefault="002D45B9">
      <w:pPr>
        <w:rPr>
          <w:rFonts w:ascii="Times New Roman" w:hAnsi="Times New Roman" w:cs="Times New Roman"/>
          <w:sz w:val="24"/>
          <w:szCs w:val="24"/>
        </w:rPr>
      </w:pPr>
      <w:r>
        <w:rPr>
          <w:rFonts w:ascii="Times New Roman" w:hAnsi="Times New Roman" w:cs="Times New Roman"/>
          <w:sz w:val="24"/>
          <w:szCs w:val="24"/>
        </w:rPr>
        <w:br w:type="page"/>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lastRenderedPageBreak/>
        <w:t xml:space="preserve">2. Návrh zadávací dokumentace dle čl. II. odst. 2 bod II. je příkazník povinen zpracovat a příkazci předat k vyjádření a odsouhlasení </w:t>
      </w:r>
      <w:r>
        <w:rPr>
          <w:rFonts w:ascii="Times New Roman" w:hAnsi="Times New Roman" w:cs="Times New Roman"/>
          <w:sz w:val="24"/>
          <w:szCs w:val="24"/>
        </w:rPr>
        <w:t xml:space="preserve">do 90 dnů od uzavření smlouvy.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 xml:space="preserve">3. Příkazník je povinen zajistit úkony nezbytné k zahájení zadávacího řízení bezodkladně po schválení zadávací a </w:t>
      </w:r>
      <w:r>
        <w:rPr>
          <w:rFonts w:ascii="Times New Roman" w:hAnsi="Times New Roman" w:cs="Times New Roman"/>
          <w:sz w:val="24"/>
          <w:szCs w:val="24"/>
        </w:rPr>
        <w:t xml:space="preserve">smluvní dokumentace příkazcem.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 Další činnosti podle této smlouvy je příkazník povinen činit tak, aby byly dodrženy lhůty stanovené pro příslušné zadávací řízení a jeho ukončení právními předpisy, p</w:t>
      </w:r>
      <w:r>
        <w:rPr>
          <w:rFonts w:ascii="Times New Roman" w:hAnsi="Times New Roman" w:cs="Times New Roman"/>
          <w:sz w:val="24"/>
          <w:szCs w:val="24"/>
        </w:rPr>
        <w:t>řípad</w:t>
      </w:r>
      <w:r w:rsidR="002A7532">
        <w:rPr>
          <w:rFonts w:ascii="Times New Roman" w:hAnsi="Times New Roman" w:cs="Times New Roman"/>
          <w:sz w:val="24"/>
          <w:szCs w:val="24"/>
        </w:rPr>
        <w:t>n</w:t>
      </w:r>
      <w:r>
        <w:rPr>
          <w:rFonts w:ascii="Times New Roman" w:hAnsi="Times New Roman" w:cs="Times New Roman"/>
          <w:sz w:val="24"/>
          <w:szCs w:val="24"/>
        </w:rPr>
        <w:t xml:space="preserve">ě v zadávací dokumentaci.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 Příkaz příkazníka je splněn v okamžiku splnění všech podmínek a předpokladů pro uzavření smlouvy na plnění veřejné zakázky mezi příkazcem a dodavatelem.</w:t>
      </w: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VI.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Výpověď, odstoupení od smlouvy a sankce</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Smluvní strany s ohledem na předmět plnění této smlouvy vylučují možnost výpovědi příkazu příkazníkem dle § 2440 občanského zákoníku.</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Smluvní strany jsou oprávněny od této smlouvy písemně odstoupit za podmínek dle § 2002 a násl. občanského zákoníku.</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3.</w:t>
      </w:r>
      <w:r w:rsidRPr="007A2FDF">
        <w:rPr>
          <w:rFonts w:ascii="Times New Roman" w:hAnsi="Times New Roman" w:cs="Times New Roman"/>
          <w:sz w:val="24"/>
          <w:szCs w:val="24"/>
        </w:rPr>
        <w:tab/>
        <w:t xml:space="preserve">Příkazce je oprávněn příkaz kdykoliv odvolat. V takovém případě bude mít příkazník nárok na poměrnou část odměny, jejíž výše bude určena v návaznosti na rozsah dosud vykonaného části příkazu s přiměřeným použitím pravidel podle čl. IV. odst. 4 </w:t>
      </w:r>
      <w:proofErr w:type="gramStart"/>
      <w:r w:rsidRPr="007A2FDF">
        <w:rPr>
          <w:rFonts w:ascii="Times New Roman" w:hAnsi="Times New Roman" w:cs="Times New Roman"/>
          <w:sz w:val="24"/>
          <w:szCs w:val="24"/>
        </w:rPr>
        <w:t>této</w:t>
      </w:r>
      <w:proofErr w:type="gramEnd"/>
      <w:r w:rsidRPr="007A2FDF">
        <w:rPr>
          <w:rFonts w:ascii="Times New Roman" w:hAnsi="Times New Roman" w:cs="Times New Roman"/>
          <w:sz w:val="24"/>
          <w:szCs w:val="24"/>
        </w:rPr>
        <w:t xml:space="preserve"> smlouvy. </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V případě prodlení příkazce s úhradou odměny či jakékoli její části má příkazník právo požadovat uhrazení zákonného úroku z prodlení ve výši stanovené příslušnými právní předpisy.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w:t>
      </w:r>
      <w:r w:rsidRPr="007A2FDF">
        <w:rPr>
          <w:rFonts w:ascii="Times New Roman" w:hAnsi="Times New Roman" w:cs="Times New Roman"/>
          <w:sz w:val="24"/>
          <w:szCs w:val="24"/>
        </w:rPr>
        <w:tab/>
        <w:t>Příkazník je povinen zaplatit příkazci následující smluvní pokuty:</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a)</w:t>
      </w:r>
      <w:r w:rsidRPr="007A2FDF">
        <w:rPr>
          <w:rFonts w:ascii="Times New Roman" w:hAnsi="Times New Roman" w:cs="Times New Roman"/>
          <w:sz w:val="24"/>
          <w:szCs w:val="24"/>
        </w:rPr>
        <w:tab/>
        <w:t>za nedodržení jakéhokoliv termínu plnění dle čl. V. této smlouvy smluvní pokutu ve výši 0,1 % z odměny dle čl. IV. odst. 1 této smlouvy za každý den prodlení,</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b)</w:t>
      </w:r>
      <w:r w:rsidRPr="007A2FDF">
        <w:rPr>
          <w:rFonts w:ascii="Times New Roman" w:hAnsi="Times New Roman" w:cs="Times New Roman"/>
          <w:sz w:val="24"/>
          <w:szCs w:val="24"/>
        </w:rPr>
        <w:tab/>
        <w:t xml:space="preserve">v případě nepravdivosti prohlášení uvedeného v čl. VIII. odst. 1 této smlouvy nebo porušení povinnosti dle čl. VII. odst. 1 a odst. 2 </w:t>
      </w:r>
      <w:proofErr w:type="gramStart"/>
      <w:r w:rsidRPr="007A2FDF">
        <w:rPr>
          <w:rFonts w:ascii="Times New Roman" w:hAnsi="Times New Roman" w:cs="Times New Roman"/>
          <w:sz w:val="24"/>
          <w:szCs w:val="24"/>
        </w:rPr>
        <w:t>této</w:t>
      </w:r>
      <w:proofErr w:type="gramEnd"/>
      <w:r w:rsidRPr="007A2FDF">
        <w:rPr>
          <w:rFonts w:ascii="Times New Roman" w:hAnsi="Times New Roman" w:cs="Times New Roman"/>
          <w:sz w:val="24"/>
          <w:szCs w:val="24"/>
        </w:rPr>
        <w:t xml:space="preserve"> smlouvy smluvní pokutu ve výši 20.000,00 Kč za každý jednotlivý případ,</w:t>
      </w:r>
    </w:p>
    <w:p w:rsidR="007A2FDF" w:rsidRPr="007A2FDF" w:rsidRDefault="007A2FDF" w:rsidP="007A2FDF">
      <w:pPr>
        <w:spacing w:line="240" w:lineRule="auto"/>
        <w:ind w:left="709" w:hanging="709"/>
        <w:jc w:val="both"/>
        <w:rPr>
          <w:rFonts w:ascii="Times New Roman" w:hAnsi="Times New Roman" w:cs="Times New Roman"/>
          <w:sz w:val="24"/>
          <w:szCs w:val="24"/>
        </w:rPr>
      </w:pPr>
      <w:r w:rsidRPr="007A2FDF">
        <w:rPr>
          <w:rFonts w:ascii="Times New Roman" w:hAnsi="Times New Roman" w:cs="Times New Roman"/>
          <w:sz w:val="24"/>
          <w:szCs w:val="24"/>
        </w:rPr>
        <w:t>c)</w:t>
      </w:r>
      <w:r w:rsidRPr="007A2FDF">
        <w:rPr>
          <w:rFonts w:ascii="Times New Roman" w:hAnsi="Times New Roman" w:cs="Times New Roman"/>
          <w:sz w:val="24"/>
          <w:szCs w:val="24"/>
        </w:rPr>
        <w:tab/>
        <w:t>za porušení povinnosti dle čl. VI. odst. 7 této smlouvy smluvní pokutu ve výši 0,1 % z odměny dle čl. IV. odst. 1 této smlouvy za každý den prodlení s jejím splněním.</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6.</w:t>
      </w:r>
      <w:r w:rsidRPr="007A2FDF">
        <w:rPr>
          <w:rFonts w:ascii="Times New Roman" w:hAnsi="Times New Roman" w:cs="Times New Roman"/>
          <w:sz w:val="24"/>
          <w:szCs w:val="24"/>
        </w:rPr>
        <w:tab/>
        <w:t xml:space="preserve">Uhrazením smluvní pokuty není dotčeno právo příkazníka na náhradu škody v plném rozsahu. Smluvní pokuta se na náhradu škody nezapočítává. </w:t>
      </w:r>
    </w:p>
    <w:p w:rsidR="002D45B9"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7.</w:t>
      </w:r>
      <w:r w:rsidRPr="007A2FDF">
        <w:rPr>
          <w:rFonts w:ascii="Times New Roman" w:hAnsi="Times New Roman" w:cs="Times New Roman"/>
          <w:sz w:val="24"/>
          <w:szCs w:val="24"/>
        </w:rPr>
        <w:tab/>
        <w:t xml:space="preserve">Příkazník je povinen být pojištěn bez výluk pro případ odpovědnosti za škodu způsobenou příkazci při výkonu činností příkazníka nebo v souvislosti s ní na pojistnou částku </w:t>
      </w:r>
    </w:p>
    <w:p w:rsidR="002D45B9" w:rsidRDefault="002D45B9">
      <w:pPr>
        <w:rPr>
          <w:rFonts w:ascii="Times New Roman" w:hAnsi="Times New Roman" w:cs="Times New Roman"/>
          <w:sz w:val="24"/>
          <w:szCs w:val="24"/>
        </w:rPr>
      </w:pPr>
      <w:r>
        <w:rPr>
          <w:rFonts w:ascii="Times New Roman" w:hAnsi="Times New Roman" w:cs="Times New Roman"/>
          <w:sz w:val="24"/>
          <w:szCs w:val="24"/>
        </w:rPr>
        <w:br w:type="page"/>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lastRenderedPageBreak/>
        <w:t xml:space="preserve">30,000.000,00 Kč. Příkazník je povinen být pojištěn po celou dobu, v rámci níž může být odpovědnost ve smyslu tohoto odstavce smlouvy uplatňována. Na žádost příkazce je příkazník povinen prokázat příkazci plnění této povinnosti. </w:t>
      </w:r>
    </w:p>
    <w:p w:rsidR="007A2FDF" w:rsidRPr="007A2FDF" w:rsidRDefault="007A2FDF" w:rsidP="007A2FDF">
      <w:pPr>
        <w:spacing w:line="240" w:lineRule="auto"/>
        <w:jc w:val="center"/>
        <w:rPr>
          <w:rFonts w:ascii="Times New Roman" w:hAnsi="Times New Roman" w:cs="Times New Roman"/>
          <w:b/>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VII.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Ochrana důvěrných informací</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Veškeré podklady a informace, které příkazník obdrží od příkazce v souvislosti s jednáním o uzavření této smlouvy a plněním předmětu smlouvy, může příkazník použít výhradně za účelem splnění předmětu smlouvy. Po skončení plnění předmětu smlouvy předá příkazník příkazci všechny materiály a podklady, které od příkazce v souvislosti s plněním převzal. Příkazník je oprávněn ponechat si kopie těchto materiálů za podmínky dodržení ustanovení tohoto odstavce smlouvy.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Příkazník je povinen zachovávat mlčenlivost o všech záležitostech, o nichž se dozvěděl v souvislosti s prováděním předmětných činností.</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3.</w:t>
      </w:r>
      <w:r w:rsidRPr="007A2FDF">
        <w:rPr>
          <w:rFonts w:ascii="Times New Roman" w:hAnsi="Times New Roman" w:cs="Times New Roman"/>
          <w:sz w:val="24"/>
          <w:szCs w:val="24"/>
        </w:rPr>
        <w:tab/>
        <w:t>Příkazce tímto uděluje příkazníkovi souhlas se zveřejněním názvu příkazce, jeho sídla a případně názvu ukončeného zadávacího řízení jako své referenční zakázky.</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V případě, že příkazník bude v rámci své činnosti podle této smlouvy zpracovávat osobní nebo citlivé údaje ve smyslu zák. č. 101/2000 Sb., o ochraně osobních údaj</w:t>
      </w:r>
      <w:r w:rsidR="002A7532">
        <w:rPr>
          <w:rFonts w:ascii="Times New Roman" w:hAnsi="Times New Roman" w:cs="Times New Roman"/>
          <w:sz w:val="24"/>
          <w:szCs w:val="24"/>
        </w:rPr>
        <w:t>ů</w:t>
      </w:r>
      <w:r w:rsidRPr="007A2FDF">
        <w:rPr>
          <w:rFonts w:ascii="Times New Roman" w:hAnsi="Times New Roman" w:cs="Times New Roman"/>
          <w:sz w:val="24"/>
          <w:szCs w:val="24"/>
        </w:rPr>
        <w:t xml:space="preserve">, bude mezi smluvními stranami uzavřena smlouva o zpracování osobních údajů. </w:t>
      </w:r>
    </w:p>
    <w:p w:rsidR="002A7532" w:rsidRPr="007A2FDF" w:rsidRDefault="002A7532"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VIII. </w:t>
      </w:r>
    </w:p>
    <w:p w:rsidR="007A2FDF" w:rsidRP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Zvláštní ujednání</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1.</w:t>
      </w:r>
      <w:r w:rsidRPr="007A2FDF">
        <w:rPr>
          <w:rFonts w:ascii="Times New Roman" w:hAnsi="Times New Roman" w:cs="Times New Roman"/>
          <w:sz w:val="24"/>
          <w:szCs w:val="24"/>
        </w:rPr>
        <w:tab/>
        <w:t xml:space="preserve">Příkazník výslovně a čestně prohlašuje, že není ve střetu zájmů ve vztahu k předmětné veřejné zakázce a zadávacímu řízení ve smyslu § 44 ZZVZ. </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Příkazník je povinen i po splnění jeho povinností dle této smlouvy poskytnout příkazci jeho žádost právní služby v navazujícím procesu přípravy a realizace projektu Domu sociálních služeb Praha 3, přičemž výše hodinové sazby odměny příkazníka za takto poskytnuté právní služby</w:t>
      </w:r>
      <w:r w:rsidR="002A7532">
        <w:rPr>
          <w:rFonts w:ascii="Times New Roman" w:hAnsi="Times New Roman" w:cs="Times New Roman"/>
          <w:sz w:val="24"/>
          <w:szCs w:val="24"/>
        </w:rPr>
        <w:t xml:space="preserve"> nepřekročí</w:t>
      </w:r>
      <w:r w:rsidRPr="007A2FDF">
        <w:rPr>
          <w:rFonts w:ascii="Times New Roman" w:hAnsi="Times New Roman" w:cs="Times New Roman"/>
          <w:sz w:val="24"/>
          <w:szCs w:val="24"/>
        </w:rPr>
        <w:t xml:space="preserve"> částku v místě i čase obvyklou. V takovém případě bude mezi stranami k tomuto účelu uzavřena zvláštní smlouva. Smluvní strany berou na vědomí, že celková výše odměny příkazníka za navazující právní služby podle tohoto odstavce smlouvy nesmí v souhrnu s odměnou dle čl. IV. odst. 1 této smlouvy překročit limit pro zakázku malého rozsahu dle ZZVZ. </w:t>
      </w:r>
    </w:p>
    <w:p w:rsidR="007A2FDF" w:rsidRPr="007A2FDF" w:rsidRDefault="007A2FDF" w:rsidP="007A2FDF">
      <w:pPr>
        <w:spacing w:line="240" w:lineRule="auto"/>
        <w:jc w:val="both"/>
        <w:rPr>
          <w:rFonts w:ascii="Times New Roman" w:hAnsi="Times New Roman" w:cs="Times New Roman"/>
          <w:sz w:val="24"/>
          <w:szCs w:val="24"/>
        </w:rPr>
      </w:pPr>
    </w:p>
    <w:p w:rsidR="007A2FDF"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 xml:space="preserve">IX. </w:t>
      </w:r>
    </w:p>
    <w:p w:rsidR="002D45B9" w:rsidRDefault="007A2FDF" w:rsidP="007A2FDF">
      <w:pPr>
        <w:spacing w:line="240" w:lineRule="auto"/>
        <w:jc w:val="center"/>
        <w:rPr>
          <w:rFonts w:ascii="Times New Roman" w:hAnsi="Times New Roman" w:cs="Times New Roman"/>
          <w:b/>
          <w:sz w:val="24"/>
          <w:szCs w:val="24"/>
        </w:rPr>
      </w:pPr>
      <w:r w:rsidRPr="007A2FDF">
        <w:rPr>
          <w:rFonts w:ascii="Times New Roman" w:hAnsi="Times New Roman" w:cs="Times New Roman"/>
          <w:b/>
          <w:sz w:val="24"/>
          <w:szCs w:val="24"/>
        </w:rPr>
        <w:t>Závěrečná ustanovení</w:t>
      </w:r>
    </w:p>
    <w:p w:rsidR="002D45B9" w:rsidRDefault="002D45B9">
      <w:pPr>
        <w:rPr>
          <w:rFonts w:ascii="Times New Roman" w:hAnsi="Times New Roman" w:cs="Times New Roman"/>
          <w:b/>
          <w:sz w:val="24"/>
          <w:szCs w:val="24"/>
        </w:rPr>
      </w:pPr>
      <w:r>
        <w:rPr>
          <w:rFonts w:ascii="Times New Roman" w:hAnsi="Times New Roman" w:cs="Times New Roman"/>
          <w:b/>
          <w:sz w:val="24"/>
          <w:szCs w:val="24"/>
        </w:rPr>
        <w:br w:type="page"/>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lastRenderedPageBreak/>
        <w:t>1.</w:t>
      </w:r>
      <w:r w:rsidRPr="007A2FDF">
        <w:rPr>
          <w:rFonts w:ascii="Times New Roman" w:hAnsi="Times New Roman" w:cs="Times New Roman"/>
          <w:sz w:val="24"/>
          <w:szCs w:val="24"/>
        </w:rPr>
        <w:tab/>
        <w:t xml:space="preserve">Přijetí návrhu příkazce na uzavření této smlouvy ze strany příkazníka s dodatky nebo odchylkami dle </w:t>
      </w:r>
      <w:proofErr w:type="spellStart"/>
      <w:r w:rsidRPr="007A2FDF">
        <w:rPr>
          <w:rFonts w:ascii="Times New Roman" w:hAnsi="Times New Roman" w:cs="Times New Roman"/>
          <w:sz w:val="24"/>
          <w:szCs w:val="24"/>
        </w:rPr>
        <w:t>ust</w:t>
      </w:r>
      <w:proofErr w:type="spellEnd"/>
      <w:r w:rsidRPr="007A2FDF">
        <w:rPr>
          <w:rFonts w:ascii="Times New Roman" w:hAnsi="Times New Roman" w:cs="Times New Roman"/>
          <w:sz w:val="24"/>
          <w:szCs w:val="24"/>
        </w:rPr>
        <w:t xml:space="preserve">. § 1740 odst. 3 občanského zákoníku je vyloučeno. Pro účely této smlouvy se nepoužije ustanovení o platnosti potvrzení, které vykazuje odchylky od skutečně ujednaného obsahu smlouvy ve smyslu </w:t>
      </w:r>
      <w:proofErr w:type="spellStart"/>
      <w:r w:rsidRPr="007A2FDF">
        <w:rPr>
          <w:rFonts w:ascii="Times New Roman" w:hAnsi="Times New Roman" w:cs="Times New Roman"/>
          <w:sz w:val="24"/>
          <w:szCs w:val="24"/>
        </w:rPr>
        <w:t>ust</w:t>
      </w:r>
      <w:proofErr w:type="spellEnd"/>
      <w:r w:rsidRPr="007A2FDF">
        <w:rPr>
          <w:rFonts w:ascii="Times New Roman" w:hAnsi="Times New Roman" w:cs="Times New Roman"/>
          <w:sz w:val="24"/>
          <w:szCs w:val="24"/>
        </w:rPr>
        <w:t>. § 1757 o</w:t>
      </w:r>
      <w:r>
        <w:rPr>
          <w:rFonts w:ascii="Times New Roman" w:hAnsi="Times New Roman" w:cs="Times New Roman"/>
          <w:sz w:val="24"/>
          <w:szCs w:val="24"/>
        </w:rPr>
        <w:t>dst. 2 a 3 občanského zákoníku.</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2.</w:t>
      </w:r>
      <w:r w:rsidRPr="007A2FDF">
        <w:rPr>
          <w:rFonts w:ascii="Times New Roman" w:hAnsi="Times New Roman" w:cs="Times New Roman"/>
          <w:sz w:val="24"/>
          <w:szCs w:val="24"/>
        </w:rPr>
        <w:tab/>
        <w:t>Žádná část obsahu smlouvy není určena odkazem na obchodní podmínky kterékoliv ze smluvních stran.</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3.</w:t>
      </w:r>
      <w:r w:rsidRPr="007A2FDF">
        <w:rPr>
          <w:rFonts w:ascii="Times New Roman" w:hAnsi="Times New Roman" w:cs="Times New Roman"/>
          <w:sz w:val="24"/>
          <w:szCs w:val="24"/>
        </w:rPr>
        <w:tab/>
        <w:t>Smlu</w:t>
      </w:r>
      <w:r w:rsidR="002A7532">
        <w:rPr>
          <w:rFonts w:ascii="Times New Roman" w:hAnsi="Times New Roman" w:cs="Times New Roman"/>
          <w:sz w:val="24"/>
          <w:szCs w:val="24"/>
        </w:rPr>
        <w:t>vní strany konstatují, že tato s</w:t>
      </w:r>
      <w:r w:rsidRPr="007A2FDF">
        <w:rPr>
          <w:rFonts w:ascii="Times New Roman" w:hAnsi="Times New Roman" w:cs="Times New Roman"/>
          <w:sz w:val="24"/>
          <w:szCs w:val="24"/>
        </w:rPr>
        <w:t xml:space="preserve">mlouva není uzavírána adhezním způsobem a </w:t>
      </w:r>
      <w:proofErr w:type="spellStart"/>
      <w:r w:rsidRPr="007A2FDF">
        <w:rPr>
          <w:rFonts w:ascii="Times New Roman" w:hAnsi="Times New Roman" w:cs="Times New Roman"/>
          <w:sz w:val="24"/>
          <w:szCs w:val="24"/>
        </w:rPr>
        <w:t>ust</w:t>
      </w:r>
      <w:proofErr w:type="spellEnd"/>
      <w:r w:rsidRPr="007A2FDF">
        <w:rPr>
          <w:rFonts w:ascii="Times New Roman" w:hAnsi="Times New Roman" w:cs="Times New Roman"/>
          <w:sz w:val="24"/>
          <w:szCs w:val="24"/>
        </w:rPr>
        <w:t xml:space="preserve">. § 1799 a § 1800 </w:t>
      </w:r>
      <w:r w:rsidR="002A7532">
        <w:rPr>
          <w:rFonts w:ascii="Times New Roman" w:hAnsi="Times New Roman" w:cs="Times New Roman"/>
          <w:sz w:val="24"/>
          <w:szCs w:val="24"/>
        </w:rPr>
        <w:t>občanského zákoníku se na tuto s</w:t>
      </w:r>
      <w:r w:rsidRPr="007A2FDF">
        <w:rPr>
          <w:rFonts w:ascii="Times New Roman" w:hAnsi="Times New Roman" w:cs="Times New Roman"/>
          <w:sz w:val="24"/>
          <w:szCs w:val="24"/>
        </w:rPr>
        <w:t>mlouvu proto nepoužije.</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4.</w:t>
      </w:r>
      <w:r w:rsidRPr="007A2FDF">
        <w:rPr>
          <w:rFonts w:ascii="Times New Roman" w:hAnsi="Times New Roman" w:cs="Times New Roman"/>
          <w:sz w:val="24"/>
          <w:szCs w:val="24"/>
        </w:rPr>
        <w:tab/>
        <w:t>Smluvní strany prohlašují, že jsou dostatečně srozuměny s obsahem, významem a důsledky ujednání této smlouvy, a že mají dostatečné znalosti a zkušenosti taková ujednání, jejich význam a důsledky posoudit.</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5.</w:t>
      </w:r>
      <w:r w:rsidRPr="007A2FDF">
        <w:rPr>
          <w:rFonts w:ascii="Times New Roman" w:hAnsi="Times New Roman" w:cs="Times New Roman"/>
          <w:sz w:val="24"/>
          <w:szCs w:val="24"/>
        </w:rPr>
        <w:tab/>
        <w:t>Tato smlouva může být měněna pouze dohodou stran v písemné formě.</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6.</w:t>
      </w:r>
      <w:r w:rsidRPr="007A2FDF">
        <w:rPr>
          <w:rFonts w:ascii="Times New Roman" w:hAnsi="Times New Roman" w:cs="Times New Roman"/>
          <w:sz w:val="24"/>
          <w:szCs w:val="24"/>
        </w:rPr>
        <w:tab/>
        <w:t>Na otázky výslovně neupravené v této smlouvě se přiměřeně použijí ustanovení občanského zákoníku. Pro úpravu otázek neřešených v této smlouvě se vylučuje použití zvyklostí nebo praxe zavedené mezi smluvními stranami.</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7.</w:t>
      </w:r>
      <w:r w:rsidRPr="007A2FDF">
        <w:rPr>
          <w:rFonts w:ascii="Times New Roman" w:hAnsi="Times New Roman" w:cs="Times New Roman"/>
          <w:sz w:val="24"/>
          <w:szCs w:val="24"/>
        </w:rPr>
        <w:tab/>
        <w:t>Smlouva je vyhotovena ve 3 stejnopisech s platností originálu, z nichž dva obdrží příkazce a jeden příkazník.</w:t>
      </w: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8.</w:t>
      </w:r>
      <w:r w:rsidRPr="007A2FDF">
        <w:rPr>
          <w:rFonts w:ascii="Times New Roman" w:hAnsi="Times New Roman" w:cs="Times New Roman"/>
          <w:sz w:val="24"/>
          <w:szCs w:val="24"/>
        </w:rPr>
        <w:tab/>
        <w:t xml:space="preserve">Adresami pro doručování jsou sídla (místo podnikání) smluvních stran </w:t>
      </w:r>
      <w:r>
        <w:rPr>
          <w:rFonts w:ascii="Times New Roman" w:hAnsi="Times New Roman" w:cs="Times New Roman"/>
          <w:sz w:val="24"/>
          <w:szCs w:val="24"/>
        </w:rPr>
        <w:t>uvedená v záhlaví této smlouvy.</w:t>
      </w:r>
    </w:p>
    <w:p w:rsidR="007A2FDF" w:rsidRPr="007A2FDF" w:rsidRDefault="007A2FDF" w:rsidP="007A2FDF">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7A2FDF">
        <w:rPr>
          <w:rFonts w:ascii="Times New Roman" w:hAnsi="Times New Roman" w:cs="Times New Roman"/>
          <w:sz w:val="24"/>
          <w:szCs w:val="24"/>
        </w:rPr>
        <w:t>.  Smluvní strany výslovně souhlasí s tím, aby tato smlouva byla uvedena v evidenci smluv vedené Městskou částí Praha 3, která je veřejně přístupná a obsahuje údaje o smluvních stranách, předmětu smlouvy, číselné označení této smlouvy a datum jejího podpisu či aby byl celý její obsah příkazcem zveřejněn, zejména v Registru smluv na portálu veřejné správy. Smluvní strany prohlašují, že veškeré informace uvedené v této smlouvě nepovažují za obchodní tajemství ve smyslu § 504, občanského zákoníku a udělují svolení k jejich užití a zveřejnění bez stanovení jakýchkoliv dalších podmínek.</w:t>
      </w:r>
    </w:p>
    <w:p w:rsidR="007A2FDF" w:rsidRDefault="007A2FDF" w:rsidP="007A2FDF">
      <w:pPr>
        <w:spacing w:line="240" w:lineRule="auto"/>
        <w:jc w:val="both"/>
        <w:rPr>
          <w:rFonts w:ascii="Times New Roman" w:hAnsi="Times New Roman" w:cs="Times New Roman"/>
          <w:sz w:val="24"/>
          <w:szCs w:val="24"/>
        </w:rPr>
      </w:pPr>
    </w:p>
    <w:p w:rsidR="002D45B9" w:rsidRDefault="002D45B9"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V Praze dne …………2017</w:t>
      </w:r>
      <w:r w:rsidRPr="007A2FDF">
        <w:rPr>
          <w:rFonts w:ascii="Times New Roman" w:hAnsi="Times New Roman" w:cs="Times New Roman"/>
          <w:sz w:val="24"/>
          <w:szCs w:val="24"/>
        </w:rPr>
        <w:tab/>
      </w:r>
      <w:r w:rsidRPr="007A2FDF">
        <w:rPr>
          <w:rFonts w:ascii="Times New Roman" w:hAnsi="Times New Roman" w:cs="Times New Roman"/>
          <w:sz w:val="24"/>
          <w:szCs w:val="24"/>
        </w:rPr>
        <w:tab/>
        <w:t xml:space="preserve">          V Praze dne </w:t>
      </w:r>
      <w:r w:rsidR="002D45B9">
        <w:rPr>
          <w:rFonts w:ascii="Times New Roman" w:hAnsi="Times New Roman" w:cs="Times New Roman"/>
          <w:sz w:val="24"/>
          <w:szCs w:val="24"/>
        </w:rPr>
        <w:t>………….</w:t>
      </w:r>
      <w:bookmarkStart w:id="0" w:name="_GoBack"/>
      <w:bookmarkEnd w:id="0"/>
      <w:r w:rsidRPr="007A2FDF">
        <w:rPr>
          <w:rFonts w:ascii="Times New Roman" w:hAnsi="Times New Roman" w:cs="Times New Roman"/>
          <w:sz w:val="24"/>
          <w:szCs w:val="24"/>
        </w:rPr>
        <w:t>2017</w:t>
      </w:r>
    </w:p>
    <w:p w:rsidR="007A2FDF" w:rsidRPr="007A2FDF" w:rsidRDefault="007A2FDF" w:rsidP="007A2FDF">
      <w:pPr>
        <w:spacing w:line="240" w:lineRule="auto"/>
        <w:jc w:val="both"/>
        <w:rPr>
          <w:rFonts w:ascii="Times New Roman" w:hAnsi="Times New Roman" w:cs="Times New Roman"/>
          <w:sz w:val="24"/>
          <w:szCs w:val="24"/>
        </w:rPr>
      </w:pPr>
    </w:p>
    <w:p w:rsidR="007A2FDF" w:rsidRPr="007A2FDF" w:rsidRDefault="007A2FDF" w:rsidP="007A2FDF">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w:t>
      </w:r>
      <w:r w:rsidRPr="007A2FDF">
        <w:rPr>
          <w:rFonts w:ascii="Times New Roman" w:hAnsi="Times New Roman" w:cs="Times New Roman"/>
          <w:sz w:val="24"/>
          <w:szCs w:val="24"/>
        </w:rPr>
        <w:tab/>
        <w:t xml:space="preserve">          ……………………………………..</w:t>
      </w:r>
    </w:p>
    <w:p w:rsidR="007A2FDF" w:rsidRPr="007A2FDF" w:rsidRDefault="007A2FDF" w:rsidP="000F5DB2">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Městská část Praha 3</w:t>
      </w:r>
      <w:r w:rsidRPr="007A2FDF">
        <w:rPr>
          <w:rFonts w:ascii="Times New Roman" w:hAnsi="Times New Roman" w:cs="Times New Roman"/>
          <w:sz w:val="24"/>
          <w:szCs w:val="24"/>
        </w:rPr>
        <w:tab/>
      </w:r>
      <w:r w:rsidRPr="007A2FDF">
        <w:rPr>
          <w:rFonts w:ascii="Times New Roman" w:hAnsi="Times New Roman" w:cs="Times New Roman"/>
          <w:sz w:val="24"/>
          <w:szCs w:val="24"/>
        </w:rPr>
        <w:tab/>
      </w:r>
      <w:r w:rsidRPr="007A2FDF">
        <w:rPr>
          <w:rFonts w:ascii="Times New Roman" w:hAnsi="Times New Roman" w:cs="Times New Roman"/>
          <w:sz w:val="24"/>
          <w:szCs w:val="24"/>
        </w:rPr>
        <w:tab/>
      </w:r>
      <w:r w:rsidRPr="007A2FDF">
        <w:rPr>
          <w:rFonts w:ascii="Times New Roman" w:hAnsi="Times New Roman" w:cs="Times New Roman"/>
          <w:sz w:val="24"/>
          <w:szCs w:val="24"/>
        </w:rPr>
        <w:tab/>
      </w:r>
      <w:r w:rsidR="000F5DB2">
        <w:rPr>
          <w:rFonts w:ascii="Times New Roman" w:hAnsi="Times New Roman" w:cs="Times New Roman"/>
          <w:sz w:val="24"/>
          <w:szCs w:val="24"/>
        </w:rPr>
        <w:t>Mgr. Michal Mazel, advokát</w:t>
      </w:r>
    </w:p>
    <w:p w:rsidR="007A2FDF" w:rsidRPr="007A2FDF" w:rsidRDefault="007A2FDF" w:rsidP="000F5DB2">
      <w:pPr>
        <w:spacing w:line="240" w:lineRule="auto"/>
        <w:jc w:val="both"/>
        <w:rPr>
          <w:rFonts w:ascii="Times New Roman" w:hAnsi="Times New Roman" w:cs="Times New Roman"/>
          <w:sz w:val="24"/>
          <w:szCs w:val="24"/>
        </w:rPr>
      </w:pPr>
      <w:r w:rsidRPr="007A2FDF">
        <w:rPr>
          <w:rFonts w:ascii="Times New Roman" w:hAnsi="Times New Roman" w:cs="Times New Roman"/>
          <w:sz w:val="24"/>
          <w:szCs w:val="24"/>
        </w:rPr>
        <w:t xml:space="preserve">Vladislava </w:t>
      </w:r>
      <w:proofErr w:type="spellStart"/>
      <w:r w:rsidRPr="007A2FDF">
        <w:rPr>
          <w:rFonts w:ascii="Times New Roman" w:hAnsi="Times New Roman" w:cs="Times New Roman"/>
          <w:sz w:val="24"/>
          <w:szCs w:val="24"/>
        </w:rPr>
        <w:t>Hujová</w:t>
      </w:r>
      <w:proofErr w:type="spellEnd"/>
      <w:r w:rsidRPr="007A2FDF">
        <w:rPr>
          <w:rFonts w:ascii="Times New Roman" w:hAnsi="Times New Roman" w:cs="Times New Roman"/>
          <w:sz w:val="24"/>
          <w:szCs w:val="24"/>
        </w:rPr>
        <w:t>, starostka</w:t>
      </w:r>
      <w:r w:rsidRPr="007A2FDF">
        <w:rPr>
          <w:rFonts w:ascii="Times New Roman" w:hAnsi="Times New Roman" w:cs="Times New Roman"/>
          <w:sz w:val="24"/>
          <w:szCs w:val="24"/>
        </w:rPr>
        <w:tab/>
      </w:r>
      <w:r w:rsidRPr="007A2FDF">
        <w:rPr>
          <w:rFonts w:ascii="Times New Roman" w:hAnsi="Times New Roman" w:cs="Times New Roman"/>
          <w:sz w:val="24"/>
          <w:szCs w:val="24"/>
        </w:rPr>
        <w:tab/>
      </w:r>
      <w:r w:rsidRPr="007A2FDF">
        <w:rPr>
          <w:rFonts w:ascii="Times New Roman" w:hAnsi="Times New Roman" w:cs="Times New Roman"/>
          <w:sz w:val="24"/>
          <w:szCs w:val="24"/>
        </w:rPr>
        <w:tab/>
      </w:r>
      <w:r w:rsidR="000F5DB2">
        <w:rPr>
          <w:rFonts w:ascii="Times New Roman" w:hAnsi="Times New Roman" w:cs="Times New Roman"/>
          <w:sz w:val="24"/>
          <w:szCs w:val="24"/>
        </w:rPr>
        <w:t>Mgr. Marie Plíšková, advokát</w:t>
      </w:r>
    </w:p>
    <w:p w:rsidR="00C77C7C" w:rsidRDefault="000F5DB2" w:rsidP="000F5DB2">
      <w:pPr>
        <w:spacing w:line="240" w:lineRule="auto"/>
        <w:ind w:left="4245"/>
        <w:rPr>
          <w:rFonts w:ascii="Times New Roman" w:hAnsi="Times New Roman" w:cs="Times New Roman"/>
          <w:sz w:val="24"/>
          <w:szCs w:val="24"/>
        </w:rPr>
      </w:pPr>
      <w:r>
        <w:rPr>
          <w:rFonts w:ascii="Times New Roman" w:hAnsi="Times New Roman" w:cs="Times New Roman"/>
          <w:sz w:val="24"/>
          <w:szCs w:val="24"/>
        </w:rPr>
        <w:t xml:space="preserve">JUDr. Vilém Podešva, LLM, za </w:t>
      </w:r>
      <w:proofErr w:type="gramStart"/>
      <w:r>
        <w:rPr>
          <w:rFonts w:ascii="Times New Roman" w:hAnsi="Times New Roman" w:cs="Times New Roman"/>
          <w:sz w:val="24"/>
          <w:szCs w:val="24"/>
        </w:rPr>
        <w:t>ROWAN</w:t>
      </w:r>
      <w:proofErr w:type="gramEnd"/>
      <w:r>
        <w:rPr>
          <w:rFonts w:ascii="Times New Roman" w:hAnsi="Times New Roman" w:cs="Times New Roman"/>
          <w:sz w:val="24"/>
          <w:szCs w:val="24"/>
        </w:rPr>
        <w:t xml:space="preserve"> LEGAL, advokátní kancelář</w:t>
      </w:r>
    </w:p>
    <w:p w:rsidR="00C77C7C" w:rsidRDefault="00C77C7C">
      <w:pPr>
        <w:rPr>
          <w:rFonts w:ascii="Times New Roman" w:hAnsi="Times New Roman" w:cs="Times New Roman"/>
          <w:sz w:val="24"/>
          <w:szCs w:val="24"/>
        </w:rPr>
      </w:pPr>
      <w:r>
        <w:rPr>
          <w:rFonts w:ascii="Times New Roman" w:hAnsi="Times New Roman" w:cs="Times New Roman"/>
          <w:sz w:val="24"/>
          <w:szCs w:val="24"/>
        </w:rPr>
        <w:br w:type="page"/>
      </w:r>
    </w:p>
    <w:p w:rsidR="00C77C7C" w:rsidRPr="00C77C7C" w:rsidRDefault="00C77C7C" w:rsidP="00C77C7C">
      <w:pPr>
        <w:keepNext/>
        <w:keepLines/>
        <w:spacing w:before="200" w:after="120" w:line="360" w:lineRule="auto"/>
        <w:jc w:val="both"/>
        <w:outlineLvl w:val="1"/>
        <w:rPr>
          <w:rFonts w:ascii="Arial" w:eastAsia="Times New Roman" w:hAnsi="Arial" w:cs="Times New Roman"/>
          <w:b/>
          <w:bCs/>
          <w:color w:val="244061"/>
          <w:sz w:val="24"/>
          <w:szCs w:val="26"/>
          <w:u w:val="single"/>
        </w:rPr>
      </w:pPr>
      <w:bookmarkStart w:id="1" w:name="_Toc439925465"/>
      <w:bookmarkStart w:id="2" w:name="_Toc439949675"/>
      <w:bookmarkStart w:id="3" w:name="_Toc440369717"/>
      <w:bookmarkStart w:id="4" w:name="_Toc440981939"/>
      <w:bookmarkStart w:id="5" w:name="_Toc441153158"/>
      <w:bookmarkStart w:id="6" w:name="_Toc441753571"/>
      <w:bookmarkStart w:id="7" w:name="_Toc442111462"/>
      <w:bookmarkStart w:id="8" w:name="_Toc442285574"/>
      <w:bookmarkStart w:id="9" w:name="_Toc464460303"/>
      <w:r w:rsidRPr="00C77C7C">
        <w:rPr>
          <w:rFonts w:ascii="Arial" w:eastAsia="Times New Roman" w:hAnsi="Arial" w:cs="Times New Roman"/>
          <w:b/>
          <w:bCs/>
          <w:color w:val="244061"/>
          <w:sz w:val="24"/>
          <w:szCs w:val="26"/>
          <w:u w:val="single"/>
        </w:rPr>
        <w:lastRenderedPageBreak/>
        <w:t>Příloha č. 1 Podklad pro výběr administrátora zakázky</w:t>
      </w:r>
    </w:p>
    <w:p w:rsidR="00C77C7C" w:rsidRPr="00C77C7C" w:rsidRDefault="00C77C7C" w:rsidP="00C77C7C">
      <w:pPr>
        <w:spacing w:after="0" w:line="360" w:lineRule="auto"/>
        <w:jc w:val="both"/>
        <w:rPr>
          <w:rFonts w:ascii="Arial" w:eastAsia="Calibri" w:hAnsi="Arial" w:cs="Times New Roman"/>
          <w:sz w:val="20"/>
        </w:rPr>
      </w:pPr>
    </w:p>
    <w:p w:rsidR="00C77C7C" w:rsidRPr="00C77C7C" w:rsidRDefault="00C77C7C" w:rsidP="00C77C7C">
      <w:pPr>
        <w:keepNext/>
        <w:keepLines/>
        <w:spacing w:before="200" w:after="0" w:line="360" w:lineRule="auto"/>
        <w:jc w:val="both"/>
        <w:outlineLvl w:val="1"/>
        <w:rPr>
          <w:rFonts w:ascii="Arial" w:eastAsia="Times New Roman" w:hAnsi="Arial" w:cs="Times New Roman"/>
          <w:b/>
          <w:bCs/>
          <w:color w:val="244061"/>
          <w:sz w:val="24"/>
          <w:szCs w:val="26"/>
        </w:rPr>
      </w:pPr>
      <w:r w:rsidRPr="00C77C7C">
        <w:rPr>
          <w:rFonts w:ascii="Arial" w:eastAsia="Times New Roman" w:hAnsi="Arial" w:cs="Times New Roman"/>
          <w:b/>
          <w:bCs/>
          <w:color w:val="244061"/>
          <w:sz w:val="24"/>
          <w:szCs w:val="26"/>
        </w:rPr>
        <w:t>Dům sociálních služeb Praha 3</w:t>
      </w:r>
      <w:bookmarkEnd w:id="1"/>
      <w:bookmarkEnd w:id="2"/>
      <w:bookmarkEnd w:id="3"/>
      <w:bookmarkEnd w:id="4"/>
      <w:bookmarkEnd w:id="5"/>
      <w:bookmarkEnd w:id="6"/>
      <w:bookmarkEnd w:id="7"/>
      <w:bookmarkEnd w:id="8"/>
      <w:bookmarkEnd w:id="9"/>
    </w:p>
    <w:p w:rsidR="00C77C7C" w:rsidRPr="00C77C7C" w:rsidRDefault="00C77C7C" w:rsidP="00C77C7C">
      <w:pPr>
        <w:spacing w:after="120" w:line="360" w:lineRule="auto"/>
        <w:jc w:val="both"/>
        <w:rPr>
          <w:rFonts w:ascii="Arial" w:eastAsia="Calibri" w:hAnsi="Arial" w:cs="Times New Roman"/>
          <w:sz w:val="20"/>
          <w:szCs w:val="20"/>
        </w:rPr>
      </w:pPr>
      <w:r w:rsidRPr="00C77C7C">
        <w:rPr>
          <w:rFonts w:ascii="Arial" w:eastAsia="Calibri" w:hAnsi="Arial" w:cs="Times New Roman"/>
          <w:sz w:val="20"/>
          <w:szCs w:val="20"/>
        </w:rPr>
        <w:t>Podklad pro výběr poradce zodpovědného za přípravu a realizaci výběrového řízení na provozovatele = „administrátora“ zakázky</w:t>
      </w:r>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bookmarkStart w:id="10" w:name="_Toc464460304"/>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r w:rsidRPr="00C77C7C">
        <w:rPr>
          <w:rFonts w:ascii="Arial" w:eastAsia="Times New Roman" w:hAnsi="Arial" w:cs="Times New Roman"/>
          <w:b/>
          <w:bCs/>
          <w:color w:val="244061"/>
          <w:sz w:val="24"/>
          <w:szCs w:val="26"/>
        </w:rPr>
        <w:t>Úvod</w:t>
      </w:r>
      <w:bookmarkEnd w:id="10"/>
    </w:p>
    <w:p w:rsidR="00C77C7C" w:rsidRPr="00C77C7C" w:rsidRDefault="00C77C7C" w:rsidP="00C77C7C">
      <w:pPr>
        <w:spacing w:after="0" w:line="360" w:lineRule="auto"/>
        <w:jc w:val="both"/>
        <w:rPr>
          <w:rFonts w:ascii="Arial" w:eastAsia="Calibri" w:hAnsi="Arial" w:cs="Times New Roman"/>
          <w:sz w:val="20"/>
        </w:rPr>
      </w:pPr>
      <w:r w:rsidRPr="00C77C7C">
        <w:rPr>
          <w:rFonts w:ascii="Arial" w:eastAsia="Calibri" w:hAnsi="Arial" w:cs="Times New Roman"/>
          <w:sz w:val="20"/>
        </w:rPr>
        <w:t xml:space="preserve">Dlouhodobým cílem městské části Praha 3 (dále též MČ Praha 3) je v návaznosti na Komunitní plán rozvoje sociálních a návazných služeb na území městské části Praha 3 na období 2015 – 2019 vytvořit odpovídající nabídku pobytových a ambulantních sociálních služeb pro své občany. Za tímto účelem byla v průběhu jara 2016 vypracována Českou spořitelnou, a.s. komplexní Studie proveditelnosti. Studie se zaměřuje na vyhodnocení potřebnosti a dlouhodobé finanční udržitelnosti nového Domu sociálních služeb Praha 3 a funkce stávajících dvou objektů, které budou jako celek tří objektů poskytovat pobytové a ambulantní sociální služby poskytované dle zákona č. 108/2006 Sb., o sociálních službách. Rozsah poskytovaných služeb zahrnuje domov pro seniory, domov se zvláštním režimem, denní stacionář a sociální poradenství – hlavní cílovou skupinu tvoří již nesoběstační senioři. </w:t>
      </w:r>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 xml:space="preserve">Z hlediska ekonomiky provozu je klíčové zařazení poskytovaných sociálních služeb MČ Praha 3 do krajské sítě sociálních služeb, o kterém rozhoduje Magistrát hlavního města Prahy a které je nutnou podmínkou pro získání provozních dotací. Z tohoto důvodu je důležité se zaměřit na Střednědobý plán rozvoje sociálních služeb na území hlavního města Prahy na období 2016 – 2018, který mimo jiné obsahuje stanoviska hlavního města Prahy k potřebnosti jednotlivých sociálních služeb. Do výběrového řízení na budoucího provozovatele by se měly kvalifikovat pouze renomované společnosti, které disponují týmem odborníků se zkušenostmi s přípravou a realizací rozsahem podobných projektů, ale zejména aktivním provozováním vlastní sítě pobytových zařízení pro seniory. </w:t>
      </w:r>
    </w:p>
    <w:p w:rsidR="00C77C7C" w:rsidRPr="00C77C7C" w:rsidRDefault="00C77C7C" w:rsidP="00C77C7C">
      <w:pPr>
        <w:spacing w:after="120" w:line="360" w:lineRule="auto"/>
        <w:jc w:val="both"/>
        <w:rPr>
          <w:rFonts w:ascii="Arial" w:eastAsia="Calibri" w:hAnsi="Arial" w:cs="Times New Roman"/>
          <w:sz w:val="20"/>
        </w:rPr>
      </w:pPr>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bookmarkStart w:id="11" w:name="_Toc464460305"/>
      <w:r w:rsidRPr="00C77C7C">
        <w:rPr>
          <w:rFonts w:ascii="Arial" w:eastAsia="Times New Roman" w:hAnsi="Arial" w:cs="Times New Roman"/>
          <w:b/>
          <w:bCs/>
          <w:color w:val="244061"/>
          <w:sz w:val="24"/>
          <w:szCs w:val="26"/>
        </w:rPr>
        <w:t>Harmonogram</w:t>
      </w:r>
      <w:bookmarkEnd w:id="11"/>
    </w:p>
    <w:p w:rsidR="00C77C7C" w:rsidRPr="00C77C7C" w:rsidRDefault="00C77C7C" w:rsidP="00C77C7C">
      <w:pPr>
        <w:spacing w:after="60" w:line="360" w:lineRule="auto"/>
        <w:jc w:val="both"/>
        <w:rPr>
          <w:rFonts w:ascii="Arial" w:eastAsia="Calibri" w:hAnsi="Arial" w:cs="Times New Roman"/>
          <w:sz w:val="20"/>
        </w:rPr>
      </w:pPr>
      <w:r w:rsidRPr="00C77C7C">
        <w:rPr>
          <w:rFonts w:ascii="Arial" w:eastAsia="Calibri" w:hAnsi="Arial" w:cs="Times New Roman"/>
          <w:sz w:val="20"/>
        </w:rPr>
        <w:t>Další kroky v rámci projektu Centra sociálních služeb Praha 3 zahrnují:</w:t>
      </w:r>
    </w:p>
    <w:p w:rsidR="00C77C7C" w:rsidRPr="00C77C7C" w:rsidRDefault="00C77C7C" w:rsidP="00C77C7C">
      <w:pPr>
        <w:numPr>
          <w:ilvl w:val="0"/>
          <w:numId w:val="4"/>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Výběrové řízení na administrátora zakázky  </w:t>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t>04.2017 – 0</w:t>
      </w:r>
      <w:r w:rsidR="00F40240">
        <w:rPr>
          <w:rFonts w:ascii="Arial" w:eastAsia="Calibri" w:hAnsi="Arial" w:cs="Times New Roman"/>
          <w:sz w:val="20"/>
        </w:rPr>
        <w:t>7</w:t>
      </w:r>
      <w:r w:rsidRPr="00C77C7C">
        <w:rPr>
          <w:rFonts w:ascii="Arial" w:eastAsia="Calibri" w:hAnsi="Arial" w:cs="Times New Roman"/>
          <w:sz w:val="20"/>
        </w:rPr>
        <w:t>.2017</w:t>
      </w:r>
    </w:p>
    <w:p w:rsidR="00C77C7C" w:rsidRPr="00C77C7C" w:rsidRDefault="00C77C7C" w:rsidP="00C77C7C">
      <w:pPr>
        <w:numPr>
          <w:ilvl w:val="0"/>
          <w:numId w:val="4"/>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Příprava zadávací dokumentace </w:t>
      </w:r>
      <w:r w:rsidR="003E6271">
        <w:rPr>
          <w:rFonts w:ascii="Arial" w:eastAsia="Calibri" w:hAnsi="Arial" w:cs="Times New Roman"/>
          <w:sz w:val="20"/>
        </w:rPr>
        <w:t>pro výběr</w:t>
      </w:r>
      <w:r w:rsidRPr="00C77C7C">
        <w:rPr>
          <w:rFonts w:ascii="Arial" w:eastAsia="Calibri" w:hAnsi="Arial" w:cs="Times New Roman"/>
          <w:sz w:val="20"/>
        </w:rPr>
        <w:t xml:space="preserve"> budoucího provozovatele</w:t>
      </w:r>
      <w:r w:rsidRPr="00C77C7C">
        <w:rPr>
          <w:rFonts w:ascii="Arial" w:eastAsia="Calibri" w:hAnsi="Arial" w:cs="Times New Roman"/>
          <w:sz w:val="20"/>
        </w:rPr>
        <w:tab/>
        <w:t>0</w:t>
      </w:r>
      <w:r w:rsidR="00F40240">
        <w:rPr>
          <w:rFonts w:ascii="Arial" w:eastAsia="Calibri" w:hAnsi="Arial" w:cs="Times New Roman"/>
          <w:sz w:val="20"/>
        </w:rPr>
        <w:t>8</w:t>
      </w:r>
      <w:r w:rsidRPr="00C77C7C">
        <w:rPr>
          <w:rFonts w:ascii="Arial" w:eastAsia="Calibri" w:hAnsi="Arial" w:cs="Times New Roman"/>
          <w:sz w:val="20"/>
        </w:rPr>
        <w:t xml:space="preserve">.2017 – </w:t>
      </w:r>
      <w:r w:rsidR="00F40240">
        <w:rPr>
          <w:rFonts w:ascii="Arial" w:eastAsia="Calibri" w:hAnsi="Arial" w:cs="Times New Roman"/>
          <w:sz w:val="20"/>
        </w:rPr>
        <w:t>11</w:t>
      </w:r>
      <w:r w:rsidRPr="00C77C7C">
        <w:rPr>
          <w:rFonts w:ascii="Arial" w:eastAsia="Calibri" w:hAnsi="Arial" w:cs="Times New Roman"/>
          <w:sz w:val="20"/>
        </w:rPr>
        <w:t>.2017</w:t>
      </w:r>
    </w:p>
    <w:p w:rsidR="00C77C7C" w:rsidRPr="00C77C7C" w:rsidRDefault="003A7E00" w:rsidP="003A7E00">
      <w:pPr>
        <w:numPr>
          <w:ilvl w:val="0"/>
          <w:numId w:val="4"/>
        </w:numPr>
        <w:spacing w:after="120" w:line="360" w:lineRule="auto"/>
        <w:contextualSpacing/>
        <w:jc w:val="both"/>
        <w:rPr>
          <w:rFonts w:ascii="Arial" w:eastAsia="Calibri" w:hAnsi="Arial" w:cs="Times New Roman"/>
          <w:sz w:val="20"/>
        </w:rPr>
      </w:pPr>
      <w:r>
        <w:rPr>
          <w:rFonts w:ascii="Arial" w:eastAsia="Calibri" w:hAnsi="Arial" w:cs="Times New Roman"/>
          <w:sz w:val="20"/>
        </w:rPr>
        <w:t xml:space="preserve">Zadávací </w:t>
      </w:r>
      <w:r w:rsidR="00C77C7C" w:rsidRPr="00C77C7C">
        <w:rPr>
          <w:rFonts w:ascii="Arial" w:eastAsia="Calibri" w:hAnsi="Arial" w:cs="Times New Roman"/>
          <w:sz w:val="20"/>
        </w:rPr>
        <w:t>řízení na provozovatele</w:t>
      </w:r>
      <w:r w:rsidR="00C77C7C" w:rsidRPr="00C77C7C">
        <w:rPr>
          <w:rFonts w:ascii="Arial" w:eastAsia="Calibri" w:hAnsi="Arial" w:cs="Times New Roman"/>
          <w:sz w:val="20"/>
        </w:rPr>
        <w:tab/>
      </w:r>
      <w:r w:rsidR="00C77C7C" w:rsidRPr="00C77C7C">
        <w:rPr>
          <w:rFonts w:ascii="Arial" w:eastAsia="Calibri" w:hAnsi="Arial" w:cs="Times New Roman"/>
          <w:sz w:val="20"/>
        </w:rPr>
        <w:tab/>
      </w:r>
      <w:r w:rsidR="00C77C7C" w:rsidRPr="00C77C7C">
        <w:rPr>
          <w:rFonts w:ascii="Arial" w:eastAsia="Calibri" w:hAnsi="Arial" w:cs="Times New Roman"/>
          <w:sz w:val="20"/>
        </w:rPr>
        <w:tab/>
      </w:r>
      <w:r w:rsidR="00C77C7C" w:rsidRPr="00C77C7C">
        <w:rPr>
          <w:rFonts w:ascii="Arial" w:eastAsia="Calibri" w:hAnsi="Arial" w:cs="Times New Roman"/>
          <w:sz w:val="20"/>
        </w:rPr>
        <w:tab/>
      </w:r>
    </w:p>
    <w:p w:rsidR="00C77C7C" w:rsidRPr="00C77C7C" w:rsidRDefault="00C77C7C" w:rsidP="00C77C7C">
      <w:pPr>
        <w:numPr>
          <w:ilvl w:val="1"/>
          <w:numId w:val="6"/>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Kvalifikace uchazečů</w:t>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00F40240">
        <w:rPr>
          <w:rFonts w:ascii="Arial" w:eastAsia="Calibri" w:hAnsi="Arial" w:cs="Times New Roman"/>
          <w:sz w:val="20"/>
        </w:rPr>
        <w:t>12</w:t>
      </w:r>
      <w:r w:rsidRPr="00C77C7C">
        <w:rPr>
          <w:rFonts w:ascii="Arial" w:eastAsia="Calibri" w:hAnsi="Arial" w:cs="Times New Roman"/>
          <w:sz w:val="20"/>
        </w:rPr>
        <w:t xml:space="preserve">.2017 – </w:t>
      </w:r>
      <w:r w:rsidR="00F40240">
        <w:rPr>
          <w:rFonts w:ascii="Arial" w:eastAsia="Calibri" w:hAnsi="Arial" w:cs="Times New Roman"/>
          <w:sz w:val="20"/>
        </w:rPr>
        <w:t>2</w:t>
      </w:r>
      <w:r w:rsidRPr="00C77C7C">
        <w:rPr>
          <w:rFonts w:ascii="Arial" w:eastAsia="Calibri" w:hAnsi="Arial" w:cs="Times New Roman"/>
          <w:sz w:val="20"/>
        </w:rPr>
        <w:t>.201</w:t>
      </w:r>
      <w:r w:rsidR="00F40240">
        <w:rPr>
          <w:rFonts w:ascii="Arial" w:eastAsia="Calibri" w:hAnsi="Arial" w:cs="Times New Roman"/>
          <w:sz w:val="20"/>
        </w:rPr>
        <w:t>8</w:t>
      </w:r>
    </w:p>
    <w:p w:rsidR="00C77C7C" w:rsidRPr="00C77C7C" w:rsidRDefault="00C77C7C" w:rsidP="00C77C7C">
      <w:pPr>
        <w:numPr>
          <w:ilvl w:val="1"/>
          <w:numId w:val="6"/>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Dialog s kvalifikovanými uchazeči</w:t>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005A30C3">
        <w:rPr>
          <w:rFonts w:ascii="Arial" w:eastAsia="Calibri" w:hAnsi="Arial" w:cs="Times New Roman"/>
          <w:sz w:val="20"/>
        </w:rPr>
        <w:t>3</w:t>
      </w:r>
      <w:r w:rsidRPr="00C77C7C">
        <w:rPr>
          <w:rFonts w:ascii="Arial" w:eastAsia="Calibri" w:hAnsi="Arial" w:cs="Times New Roman"/>
          <w:sz w:val="20"/>
        </w:rPr>
        <w:t>.201</w:t>
      </w:r>
      <w:r w:rsidR="00F40240">
        <w:rPr>
          <w:rFonts w:ascii="Arial" w:eastAsia="Calibri" w:hAnsi="Arial" w:cs="Times New Roman"/>
          <w:sz w:val="20"/>
        </w:rPr>
        <w:t>8</w:t>
      </w:r>
      <w:r w:rsidRPr="00C77C7C">
        <w:rPr>
          <w:rFonts w:ascii="Arial" w:eastAsia="Calibri" w:hAnsi="Arial" w:cs="Times New Roman"/>
          <w:sz w:val="20"/>
        </w:rPr>
        <w:t xml:space="preserve"> – </w:t>
      </w:r>
      <w:r w:rsidR="00F40240">
        <w:rPr>
          <w:rFonts w:ascii="Arial" w:eastAsia="Calibri" w:hAnsi="Arial" w:cs="Times New Roman"/>
          <w:sz w:val="20"/>
        </w:rPr>
        <w:t>5</w:t>
      </w:r>
      <w:r w:rsidRPr="00C77C7C">
        <w:rPr>
          <w:rFonts w:ascii="Arial" w:eastAsia="Calibri" w:hAnsi="Arial" w:cs="Times New Roman"/>
          <w:sz w:val="20"/>
        </w:rPr>
        <w:t>.201</w:t>
      </w:r>
      <w:r w:rsidR="00F40240">
        <w:rPr>
          <w:rFonts w:ascii="Arial" w:eastAsia="Calibri" w:hAnsi="Arial" w:cs="Times New Roman"/>
          <w:sz w:val="20"/>
        </w:rPr>
        <w:t>8</w:t>
      </w:r>
    </w:p>
    <w:p w:rsidR="00C77C7C" w:rsidRPr="00C77C7C" w:rsidRDefault="00C77C7C" w:rsidP="00C77C7C">
      <w:pPr>
        <w:numPr>
          <w:ilvl w:val="1"/>
          <w:numId w:val="6"/>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Výzva k podání finálních nabídek</w:t>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005A30C3">
        <w:rPr>
          <w:rFonts w:ascii="Arial" w:eastAsia="Calibri" w:hAnsi="Arial" w:cs="Times New Roman"/>
          <w:sz w:val="20"/>
        </w:rPr>
        <w:t>6</w:t>
      </w:r>
      <w:r w:rsidRPr="00C77C7C">
        <w:rPr>
          <w:rFonts w:ascii="Arial" w:eastAsia="Calibri" w:hAnsi="Arial" w:cs="Times New Roman"/>
          <w:sz w:val="20"/>
        </w:rPr>
        <w:t>.201</w:t>
      </w:r>
      <w:r w:rsidR="00F40240">
        <w:rPr>
          <w:rFonts w:ascii="Arial" w:eastAsia="Calibri" w:hAnsi="Arial" w:cs="Times New Roman"/>
          <w:sz w:val="20"/>
        </w:rPr>
        <w:t>8</w:t>
      </w:r>
    </w:p>
    <w:p w:rsidR="002A019D" w:rsidRDefault="00C77C7C" w:rsidP="002A019D">
      <w:pPr>
        <w:numPr>
          <w:ilvl w:val="1"/>
          <w:numId w:val="6"/>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Vyhodnocení nabídek a vyhlášení vítěze</w:t>
      </w:r>
      <w:r w:rsidRPr="00C77C7C">
        <w:rPr>
          <w:rFonts w:ascii="Arial" w:eastAsia="Calibri" w:hAnsi="Arial" w:cs="Times New Roman"/>
          <w:sz w:val="20"/>
        </w:rPr>
        <w:tab/>
      </w:r>
      <w:r w:rsidRPr="00C77C7C">
        <w:rPr>
          <w:rFonts w:ascii="Arial" w:eastAsia="Calibri" w:hAnsi="Arial" w:cs="Times New Roman"/>
          <w:sz w:val="20"/>
        </w:rPr>
        <w:tab/>
      </w:r>
      <w:r w:rsidRPr="00C77C7C">
        <w:rPr>
          <w:rFonts w:ascii="Arial" w:eastAsia="Calibri" w:hAnsi="Arial" w:cs="Times New Roman"/>
          <w:sz w:val="20"/>
        </w:rPr>
        <w:tab/>
      </w:r>
      <w:r w:rsidR="003A7E00">
        <w:rPr>
          <w:rFonts w:ascii="Arial" w:eastAsia="Calibri" w:hAnsi="Arial" w:cs="Times New Roman"/>
          <w:sz w:val="20"/>
        </w:rPr>
        <w:t>9</w:t>
      </w:r>
      <w:r w:rsidRPr="00C77C7C">
        <w:rPr>
          <w:rFonts w:ascii="Arial" w:eastAsia="Calibri" w:hAnsi="Arial" w:cs="Times New Roman"/>
          <w:sz w:val="20"/>
        </w:rPr>
        <w:t>.2018</w:t>
      </w:r>
    </w:p>
    <w:p w:rsidR="00D32600" w:rsidRDefault="00D32600" w:rsidP="00D32600">
      <w:pPr>
        <w:spacing w:after="120" w:line="360" w:lineRule="auto"/>
        <w:jc w:val="both"/>
        <w:rPr>
          <w:rFonts w:ascii="Arial" w:eastAsia="Calibri" w:hAnsi="Arial" w:cs="Times New Roman"/>
          <w:sz w:val="20"/>
        </w:rPr>
      </w:pPr>
    </w:p>
    <w:p w:rsidR="002A019D" w:rsidRPr="002A019D" w:rsidRDefault="002A019D" w:rsidP="00D32600">
      <w:pPr>
        <w:spacing w:after="120" w:line="360" w:lineRule="auto"/>
        <w:jc w:val="both"/>
        <w:rPr>
          <w:rFonts w:ascii="Arial" w:eastAsia="Calibri" w:hAnsi="Arial" w:cs="Times New Roman"/>
          <w:sz w:val="20"/>
        </w:rPr>
      </w:pPr>
      <w:r w:rsidRPr="00D32600">
        <w:rPr>
          <w:rFonts w:ascii="Arial" w:eastAsia="Calibri" w:hAnsi="Arial" w:cs="Times New Roman"/>
          <w:sz w:val="20"/>
        </w:rPr>
        <w:t>Harmonogram</w:t>
      </w:r>
      <w:r w:rsidR="00640C39" w:rsidRPr="00D32600">
        <w:rPr>
          <w:rFonts w:ascii="Arial" w:eastAsia="Calibri" w:hAnsi="Arial" w:cs="Times New Roman"/>
          <w:sz w:val="20"/>
        </w:rPr>
        <w:t xml:space="preserve"> je orientační a</w:t>
      </w:r>
      <w:r w:rsidRPr="00D32600">
        <w:rPr>
          <w:rFonts w:ascii="Arial" w:eastAsia="Calibri" w:hAnsi="Arial" w:cs="Times New Roman"/>
          <w:sz w:val="20"/>
        </w:rPr>
        <w:t xml:space="preserve"> může být měněn s ohledem na průběh</w:t>
      </w:r>
      <w:r w:rsidR="00640C39" w:rsidRPr="00D32600">
        <w:rPr>
          <w:rFonts w:ascii="Arial" w:eastAsia="Calibri" w:hAnsi="Arial" w:cs="Times New Roman"/>
          <w:sz w:val="20"/>
        </w:rPr>
        <w:t xml:space="preserve"> a složitost</w:t>
      </w:r>
      <w:r w:rsidRPr="00D32600">
        <w:rPr>
          <w:rFonts w:ascii="Arial" w:eastAsia="Calibri" w:hAnsi="Arial" w:cs="Times New Roman"/>
          <w:sz w:val="20"/>
        </w:rPr>
        <w:t xml:space="preserve"> zadávacího řízení dohodou smluvních stran. Příkazník neodpovídá za časový posun v harmonogramu způsobenou vlivem </w:t>
      </w:r>
      <w:r w:rsidRPr="00D32600">
        <w:rPr>
          <w:rFonts w:ascii="Arial" w:eastAsia="Calibri" w:hAnsi="Arial" w:cs="Times New Roman"/>
          <w:sz w:val="20"/>
        </w:rPr>
        <w:lastRenderedPageBreak/>
        <w:t xml:space="preserve">okolností mimo jeho kontrolu, např. </w:t>
      </w:r>
      <w:r w:rsidR="00640C39" w:rsidRPr="00D32600">
        <w:rPr>
          <w:rFonts w:ascii="Arial" w:eastAsia="Calibri" w:hAnsi="Arial" w:cs="Times New Roman"/>
          <w:sz w:val="20"/>
        </w:rPr>
        <w:t>v důsledku řízení o námitkách, řízení před ÚOHS, nedostatkem součinnosti ze strany příkazce pro naplnění účelu smlouvy</w:t>
      </w:r>
      <w:r w:rsidR="004C06C2" w:rsidRPr="00D32600">
        <w:rPr>
          <w:rFonts w:ascii="Arial" w:eastAsia="Calibri" w:hAnsi="Arial" w:cs="Times New Roman"/>
          <w:sz w:val="20"/>
        </w:rPr>
        <w:t>, vyššího</w:t>
      </w:r>
      <w:r w:rsidR="00A1552C" w:rsidRPr="00D32600">
        <w:rPr>
          <w:rFonts w:ascii="Arial" w:eastAsia="Calibri" w:hAnsi="Arial" w:cs="Times New Roman"/>
          <w:sz w:val="20"/>
        </w:rPr>
        <w:t xml:space="preserve"> počtu účastníků se kterými je veden soutěžní dialog</w:t>
      </w:r>
      <w:r w:rsidR="004C06C2" w:rsidRPr="00D32600">
        <w:rPr>
          <w:rFonts w:ascii="Arial" w:eastAsia="Calibri" w:hAnsi="Arial" w:cs="Times New Roman"/>
          <w:sz w:val="20"/>
        </w:rPr>
        <w:t xml:space="preserve">, v důsledku změn/doplnění </w:t>
      </w:r>
      <w:r w:rsidR="000B15A4" w:rsidRPr="00D32600">
        <w:rPr>
          <w:rFonts w:ascii="Arial" w:eastAsia="Calibri" w:hAnsi="Arial" w:cs="Times New Roman"/>
          <w:sz w:val="20"/>
        </w:rPr>
        <w:t>zadávacích podmínek</w:t>
      </w:r>
      <w:r w:rsidR="004C06C2" w:rsidRPr="00D32600">
        <w:rPr>
          <w:rFonts w:ascii="Arial" w:eastAsia="Calibri" w:hAnsi="Arial" w:cs="Times New Roman"/>
          <w:sz w:val="20"/>
        </w:rPr>
        <w:t xml:space="preserve"> požadovaných</w:t>
      </w:r>
      <w:r w:rsidR="000B15A4" w:rsidRPr="00D32600">
        <w:rPr>
          <w:rFonts w:ascii="Arial" w:eastAsia="Calibri" w:hAnsi="Arial" w:cs="Times New Roman"/>
          <w:sz w:val="20"/>
        </w:rPr>
        <w:t>/vyvolaných</w:t>
      </w:r>
      <w:r w:rsidR="004C06C2" w:rsidRPr="00D32600">
        <w:rPr>
          <w:rFonts w:ascii="Arial" w:eastAsia="Calibri" w:hAnsi="Arial" w:cs="Times New Roman"/>
          <w:sz w:val="20"/>
        </w:rPr>
        <w:t xml:space="preserve"> účastníky nebo zadavatelem</w:t>
      </w:r>
      <w:r w:rsidR="00640C39" w:rsidRPr="00D32600">
        <w:rPr>
          <w:rFonts w:ascii="Arial" w:eastAsia="Calibri" w:hAnsi="Arial" w:cs="Times New Roman"/>
          <w:sz w:val="20"/>
        </w:rPr>
        <w:t>.</w:t>
      </w:r>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bookmarkStart w:id="12" w:name="_Toc464460306"/>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r w:rsidRPr="00C77C7C">
        <w:rPr>
          <w:rFonts w:ascii="Arial" w:eastAsia="Times New Roman" w:hAnsi="Arial" w:cs="Times New Roman"/>
          <w:b/>
          <w:bCs/>
          <w:color w:val="244061"/>
          <w:sz w:val="24"/>
          <w:szCs w:val="26"/>
        </w:rPr>
        <w:t>Rozsah činností administrátora</w:t>
      </w:r>
      <w:bookmarkEnd w:id="12"/>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 xml:space="preserve">Za účelem plnění rozsahu činností administrátora zakázky bude nutné upravit základní práva a povinnosti ve Smlouvě, která bude obsahovat následující základní vymezení činností. Pro vyloučení pochybností se uvádí, že administrátor bude mít na starosti </w:t>
      </w:r>
      <w:r w:rsidRPr="00C77C7C">
        <w:rPr>
          <w:rFonts w:ascii="Arial" w:eastAsia="Calibri" w:hAnsi="Arial" w:cs="Times New Roman"/>
          <w:sz w:val="20"/>
          <w:u w:val="single"/>
        </w:rPr>
        <w:t>veškeré procesní úkony</w:t>
      </w:r>
      <w:r w:rsidRPr="00C77C7C">
        <w:rPr>
          <w:rFonts w:ascii="Arial" w:eastAsia="Calibri" w:hAnsi="Arial" w:cs="Times New Roman"/>
          <w:sz w:val="20"/>
        </w:rPr>
        <w:t xml:space="preserve"> související s přípravou, realizací a vyhodnocením závěrů výběrového řízení. Nedílnou součástí činností administrátora bude i realizace zápisů z interních i externích jednání s uchazeči, kompletace všech podkladů pro případné členy komisí, argumentace proti námitkám uchazečů či případné přípravě podkladů pro přezkoumání ÚHOS, podkladů pro stanovisko Ministerstva financí České republiky a veškeré nezbytné úkony obsahující komplexní řešení administrace této zakázky. </w:t>
      </w:r>
    </w:p>
    <w:p w:rsidR="00C77C7C" w:rsidRPr="00C77C7C" w:rsidRDefault="00C77C7C" w:rsidP="00C77C7C">
      <w:pPr>
        <w:spacing w:after="0" w:line="360" w:lineRule="auto"/>
        <w:jc w:val="both"/>
        <w:rPr>
          <w:rFonts w:ascii="Arial" w:eastAsia="Calibri" w:hAnsi="Arial" w:cs="Times New Roman"/>
          <w:sz w:val="20"/>
        </w:rPr>
      </w:pPr>
      <w:r w:rsidRPr="00C77C7C">
        <w:rPr>
          <w:rFonts w:ascii="Arial" w:eastAsia="Calibri" w:hAnsi="Arial" w:cs="Times New Roman"/>
          <w:sz w:val="20"/>
        </w:rPr>
        <w:t>Etapa 1: Strategie transakce</w:t>
      </w:r>
    </w:p>
    <w:p w:rsidR="00C77C7C" w:rsidRPr="00C77C7C" w:rsidRDefault="00C77C7C" w:rsidP="00C77C7C">
      <w:pPr>
        <w:numPr>
          <w:ilvl w:val="0"/>
          <w:numId w:val="7"/>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Prověření hlavních parametrů transakce; </w:t>
      </w:r>
    </w:p>
    <w:p w:rsidR="00C77C7C" w:rsidRPr="00C77C7C" w:rsidRDefault="00C77C7C" w:rsidP="00C77C7C">
      <w:pPr>
        <w:numPr>
          <w:ilvl w:val="0"/>
          <w:numId w:val="7"/>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Prověření závazků a překážek realizace a omezení ve vztahu k budoucímu využití;</w:t>
      </w:r>
    </w:p>
    <w:p w:rsidR="00C77C7C" w:rsidRPr="00C77C7C" w:rsidRDefault="00C77C7C" w:rsidP="00C77C7C">
      <w:pPr>
        <w:numPr>
          <w:ilvl w:val="0"/>
          <w:numId w:val="7"/>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Stanovení strategie transakce, doporučení konkrétního způsobu realizace, formy dialogu s uchazeči a harmonogramu.</w:t>
      </w:r>
    </w:p>
    <w:p w:rsidR="00C77C7C" w:rsidRPr="00C77C7C" w:rsidRDefault="00C77C7C" w:rsidP="00C77C7C">
      <w:pPr>
        <w:spacing w:after="0" w:line="360" w:lineRule="auto"/>
        <w:jc w:val="both"/>
        <w:rPr>
          <w:rFonts w:ascii="Arial" w:eastAsia="Calibri" w:hAnsi="Arial" w:cs="Times New Roman"/>
          <w:sz w:val="20"/>
        </w:rPr>
      </w:pPr>
      <w:r w:rsidRPr="00C77C7C">
        <w:rPr>
          <w:rFonts w:ascii="Arial" w:eastAsia="Calibri" w:hAnsi="Arial" w:cs="Times New Roman"/>
          <w:sz w:val="20"/>
        </w:rPr>
        <w:t>Etapa 2: Příprava dokumentace</w:t>
      </w:r>
    </w:p>
    <w:p w:rsidR="00C77C7C" w:rsidRPr="00C77C7C" w:rsidRDefault="00C77C7C" w:rsidP="00C77C7C">
      <w:pPr>
        <w:numPr>
          <w:ilvl w:val="0"/>
          <w:numId w:val="8"/>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Návrh smluvní dokumentace; </w:t>
      </w:r>
    </w:p>
    <w:p w:rsidR="00C77C7C" w:rsidRPr="00C77C7C" w:rsidRDefault="00C77C7C" w:rsidP="00C77C7C">
      <w:pPr>
        <w:numPr>
          <w:ilvl w:val="0"/>
          <w:numId w:val="8"/>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Návrh kvalifikační dokumentace. </w:t>
      </w:r>
    </w:p>
    <w:p w:rsidR="00C77C7C" w:rsidRPr="00C77C7C" w:rsidRDefault="00C77C7C" w:rsidP="00C77C7C">
      <w:pPr>
        <w:spacing w:after="0" w:line="360" w:lineRule="auto"/>
        <w:jc w:val="both"/>
        <w:rPr>
          <w:rFonts w:ascii="Arial" w:eastAsia="Calibri" w:hAnsi="Arial" w:cs="Times New Roman"/>
          <w:sz w:val="20"/>
        </w:rPr>
      </w:pPr>
      <w:r w:rsidRPr="00C77C7C">
        <w:rPr>
          <w:rFonts w:ascii="Arial" w:eastAsia="Calibri" w:hAnsi="Arial" w:cs="Times New Roman"/>
          <w:sz w:val="20"/>
        </w:rPr>
        <w:t>Etapa 3: Výběrové řízení</w:t>
      </w:r>
    </w:p>
    <w:p w:rsidR="00C77C7C" w:rsidRPr="00C77C7C" w:rsidRDefault="00C77C7C" w:rsidP="00C77C7C">
      <w:pPr>
        <w:numPr>
          <w:ilvl w:val="0"/>
          <w:numId w:val="9"/>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Kvalifikace oslovených uchazečů;</w:t>
      </w:r>
    </w:p>
    <w:p w:rsidR="00C77C7C" w:rsidRPr="00C77C7C" w:rsidRDefault="00C77C7C" w:rsidP="00C77C7C">
      <w:pPr>
        <w:numPr>
          <w:ilvl w:val="0"/>
          <w:numId w:val="9"/>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Diskuze nad smluvními parametry (návrhem smluvní dokumentace) formou dialogu s uchazeči (očekáváme rozsah 2 – 3 kol jednání s každým z uchazečů);</w:t>
      </w:r>
    </w:p>
    <w:p w:rsidR="00C77C7C" w:rsidRPr="00C77C7C" w:rsidRDefault="00C77C7C" w:rsidP="00C77C7C">
      <w:pPr>
        <w:numPr>
          <w:ilvl w:val="0"/>
          <w:numId w:val="9"/>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Výzva k podání nabídek, hodnocení nabídek;</w:t>
      </w:r>
    </w:p>
    <w:p w:rsidR="00C77C7C" w:rsidRPr="00C77C7C" w:rsidRDefault="00C77C7C" w:rsidP="00C77C7C">
      <w:pPr>
        <w:numPr>
          <w:ilvl w:val="0"/>
          <w:numId w:val="9"/>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Asistence s podpisem smluvní dokumentace.</w:t>
      </w:r>
    </w:p>
    <w:p w:rsidR="00C77C7C" w:rsidRPr="00C77C7C" w:rsidRDefault="00C77C7C" w:rsidP="00C77C7C">
      <w:pPr>
        <w:spacing w:after="120" w:line="360" w:lineRule="auto"/>
        <w:jc w:val="both"/>
        <w:rPr>
          <w:rFonts w:ascii="Arial" w:eastAsia="Calibri" w:hAnsi="Arial" w:cs="Times New Roman"/>
          <w:sz w:val="20"/>
        </w:rPr>
      </w:pPr>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r w:rsidRPr="00C77C7C">
        <w:rPr>
          <w:rFonts w:ascii="Arial" w:eastAsia="Times New Roman" w:hAnsi="Arial" w:cs="Times New Roman"/>
          <w:b/>
          <w:bCs/>
          <w:color w:val="244061"/>
          <w:sz w:val="24"/>
          <w:szCs w:val="26"/>
        </w:rPr>
        <w:t xml:space="preserve">Představení zvažovaného způsobu výběru dodavatele </w:t>
      </w:r>
    </w:p>
    <w:p w:rsidR="00C77C7C" w:rsidRPr="00C77C7C" w:rsidRDefault="00C77C7C" w:rsidP="00C77C7C">
      <w:pPr>
        <w:spacing w:after="0" w:line="360" w:lineRule="auto"/>
        <w:jc w:val="both"/>
        <w:rPr>
          <w:rFonts w:ascii="Arial" w:eastAsia="Calibri" w:hAnsi="Arial" w:cs="Times New Roman"/>
          <w:sz w:val="20"/>
        </w:rPr>
      </w:pPr>
      <w:r w:rsidRPr="00C77C7C">
        <w:rPr>
          <w:rFonts w:ascii="Arial" w:eastAsia="Calibri" w:hAnsi="Arial" w:cs="Times New Roman"/>
          <w:sz w:val="20"/>
        </w:rPr>
        <w:t>Základním prvkem smluvního vztahu mezi MČ Praha 3 a budoucím Koncesionářem v realizační fázi projektu bude:</w:t>
      </w:r>
    </w:p>
    <w:p w:rsidR="00C77C7C" w:rsidRPr="00C77C7C" w:rsidRDefault="00C77C7C" w:rsidP="00C77C7C">
      <w:pPr>
        <w:numPr>
          <w:ilvl w:val="0"/>
          <w:numId w:val="5"/>
        </w:numPr>
        <w:spacing w:after="0" w:line="360" w:lineRule="auto"/>
        <w:jc w:val="both"/>
        <w:rPr>
          <w:rFonts w:ascii="Arial" w:eastAsia="Calibri" w:hAnsi="Arial" w:cs="Times New Roman"/>
          <w:sz w:val="20"/>
        </w:rPr>
      </w:pPr>
      <w:r w:rsidRPr="00C77C7C">
        <w:rPr>
          <w:rFonts w:ascii="Arial" w:eastAsia="Calibri" w:hAnsi="Arial" w:cs="Times New Roman"/>
          <w:sz w:val="20"/>
        </w:rPr>
        <w:t>Pacht tří objektů vlastněných MČ;</w:t>
      </w:r>
    </w:p>
    <w:p w:rsidR="00C77C7C" w:rsidRPr="00C77C7C" w:rsidRDefault="00C77C7C" w:rsidP="00C77C7C">
      <w:pPr>
        <w:numPr>
          <w:ilvl w:val="0"/>
          <w:numId w:val="5"/>
        </w:numPr>
        <w:spacing w:after="120" w:line="360" w:lineRule="auto"/>
        <w:jc w:val="both"/>
        <w:rPr>
          <w:rFonts w:ascii="Arial" w:eastAsia="Calibri" w:hAnsi="Arial" w:cs="Times New Roman"/>
          <w:sz w:val="20"/>
        </w:rPr>
      </w:pPr>
      <w:r w:rsidRPr="00C77C7C">
        <w:rPr>
          <w:rFonts w:ascii="Arial" w:eastAsia="Calibri" w:hAnsi="Arial" w:cs="Times New Roman"/>
          <w:sz w:val="20"/>
        </w:rPr>
        <w:t xml:space="preserve">Závazek Koncesionáře vůči MČ využívat předmětné objekty za účelem provozování pobytových sociálních služeb pro seniory po stanovenou dobu. </w:t>
      </w:r>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 xml:space="preserve">Z hlediska způsobu výběru dodavatele Projekt zahrnuje dva významné aspekty, konkrétně poskytnutí majetku formou pachtu a závazek poskytovat vybrané sociální služby domova pro seniory v rámci </w:t>
      </w:r>
      <w:r w:rsidRPr="00C77C7C">
        <w:rPr>
          <w:rFonts w:ascii="Arial" w:eastAsia="Calibri" w:hAnsi="Arial" w:cs="Times New Roman"/>
          <w:sz w:val="20"/>
        </w:rPr>
        <w:lastRenderedPageBreak/>
        <w:t>vymezeného způsobu užití objektů. Uložení závazku poskytovat takové služby se řídí právní úpravou zákona o zadávání veřejných zakázek (ZZVZ).</w:t>
      </w:r>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Jelikož sociální služby coby hlavní předmět činnosti vybraného dodavatele spadají mezi činnosti vymezené v příloze č. 4 ZZVZ, bude výběr dodavatele – Koncesionáře – realizován ve zjednodušeném režimu dle § 129 ZZVZ.</w:t>
      </w:r>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Podstatou zjednodušeného režimu je, že jeho procesní pravidla stanovuje zásadně zadavatel, který není vázán detailními procedurálními pravidly o jednotlivých zadávacích řízeních, nýbrž zásadně jen základními (společnými) ustanoveními o zadávacích řízeních. Zjednodušený režim udělování koncesí coby legislativní novinka přináší pro zadavatele obecně podstatné procesní usnadnění oproti dřívější právní úpravě koncesního řízení. Prostřednictvím pravidel průběhu koncesního řízení ve zjednodušeném režimu bude zejména odstraněna neúměrná procesní náročnost řízení. Zařazení jednací fáze zaměřené zejména na smluvní podmínky realizace projektu povede k možnosti prodiskutovat možnosti vzájemné spolupráce a nalezení dlouhodobě finančně udržitelného řešení. Před uzavřením smlouvy s vybraným dodavatelem bude třeba vyžádat si stanovisko Ministerstva financí, jemuž ZZVZ dává k zaujetí tohoto stanoviska lhůtu 2 měsíců.</w:t>
      </w:r>
    </w:p>
    <w:p w:rsidR="00C77C7C" w:rsidRPr="00C77C7C" w:rsidRDefault="00C77C7C" w:rsidP="00C77C7C">
      <w:pPr>
        <w:keepNext/>
        <w:spacing w:after="0" w:line="360" w:lineRule="auto"/>
        <w:jc w:val="both"/>
        <w:rPr>
          <w:rFonts w:ascii="Arial" w:eastAsia="Calibri" w:hAnsi="Arial" w:cs="Times New Roman"/>
          <w:sz w:val="20"/>
        </w:rPr>
      </w:pPr>
      <w:r w:rsidRPr="00C77C7C">
        <w:rPr>
          <w:rFonts w:ascii="Arial" w:eastAsia="Calibri" w:hAnsi="Arial" w:cs="Times New Roman"/>
          <w:sz w:val="20"/>
        </w:rPr>
        <w:t>Průběh koncesního řízení je předpokládán v následujících fázích:</w:t>
      </w:r>
    </w:p>
    <w:p w:rsidR="00C77C7C" w:rsidRPr="00C77C7C" w:rsidRDefault="00C77C7C" w:rsidP="00C77C7C">
      <w:pPr>
        <w:numPr>
          <w:ilvl w:val="0"/>
          <w:numId w:val="10"/>
        </w:numPr>
        <w:spacing w:after="0" w:line="360" w:lineRule="auto"/>
        <w:contextualSpacing/>
        <w:jc w:val="both"/>
        <w:rPr>
          <w:rFonts w:ascii="Arial" w:eastAsia="Calibri" w:hAnsi="Arial" w:cs="Times New Roman"/>
          <w:sz w:val="20"/>
        </w:rPr>
      </w:pPr>
      <w:r w:rsidRPr="00C77C7C">
        <w:rPr>
          <w:rFonts w:ascii="Arial" w:eastAsia="Calibri" w:hAnsi="Arial" w:cs="Times New Roman"/>
          <w:i/>
          <w:sz w:val="20"/>
        </w:rPr>
        <w:t>Fáze kvalifikační</w:t>
      </w:r>
      <w:r w:rsidRPr="00C77C7C">
        <w:rPr>
          <w:rFonts w:ascii="Arial" w:eastAsia="Calibri" w:hAnsi="Arial" w:cs="Times New Roman"/>
          <w:sz w:val="20"/>
        </w:rPr>
        <w:t>, jejímž cílem je za pomoci předem definovaných kvalifikačních kritérií a mechanismu snižování počtu účastníků koncesního řízení získat omezený okruh potenciálních dodavatelů, kteří se budou účastnit navazujících fází. Pro účely omezení okruhu kvalifikovaných dodavatelů se v souladu se zákonnými pravidly předpokládá využití kritéria omezení na základě rozsahu předložených referencí tak, aby v navazující fázi bylo jednáno pouze s okruhem nejzkušenějších dodavatelů v segmentu, na nějž je projekt zaměřen;</w:t>
      </w:r>
    </w:p>
    <w:p w:rsidR="00C77C7C" w:rsidRPr="00C77C7C" w:rsidRDefault="00C77C7C" w:rsidP="00C77C7C">
      <w:pPr>
        <w:numPr>
          <w:ilvl w:val="0"/>
          <w:numId w:val="10"/>
        </w:numPr>
        <w:spacing w:after="120" w:line="360" w:lineRule="auto"/>
        <w:contextualSpacing/>
        <w:jc w:val="both"/>
        <w:rPr>
          <w:rFonts w:ascii="Arial" w:eastAsia="Calibri" w:hAnsi="Arial" w:cs="Times New Roman"/>
          <w:sz w:val="20"/>
        </w:rPr>
      </w:pPr>
      <w:r w:rsidRPr="00C77C7C">
        <w:rPr>
          <w:rFonts w:ascii="Arial" w:eastAsia="Calibri" w:hAnsi="Arial" w:cs="Times New Roman"/>
          <w:i/>
          <w:sz w:val="20"/>
        </w:rPr>
        <w:t xml:space="preserve">Fáze jednací, </w:t>
      </w:r>
      <w:r w:rsidRPr="00C77C7C">
        <w:rPr>
          <w:rFonts w:ascii="Arial" w:eastAsia="Calibri" w:hAnsi="Arial" w:cs="Times New Roman"/>
          <w:sz w:val="20"/>
        </w:rPr>
        <w:t>v jejímž průběhu se předpokládá prezentace nabízených řešení kvalifikovaných dodavatelů, vyloučení nevhodných řešení a ujasnění smluvních podmínek, které s ohledem na rozložení nákladů a rizik musí být přizpůsobeny aspektům souvisejícím s reálnými nabízenými řešeními; a</w:t>
      </w:r>
    </w:p>
    <w:p w:rsidR="00C77C7C" w:rsidRPr="00C77C7C" w:rsidRDefault="00C77C7C" w:rsidP="00C77C7C">
      <w:pPr>
        <w:numPr>
          <w:ilvl w:val="0"/>
          <w:numId w:val="10"/>
        </w:numPr>
        <w:spacing w:after="0" w:line="360" w:lineRule="auto"/>
        <w:contextualSpacing/>
        <w:jc w:val="both"/>
        <w:rPr>
          <w:rFonts w:ascii="Arial" w:eastAsia="Calibri" w:hAnsi="Arial" w:cs="Times New Roman"/>
          <w:i/>
          <w:sz w:val="20"/>
        </w:rPr>
      </w:pPr>
      <w:r w:rsidRPr="00C77C7C">
        <w:rPr>
          <w:rFonts w:ascii="Arial" w:eastAsia="Calibri" w:hAnsi="Arial" w:cs="Times New Roman"/>
          <w:i/>
          <w:sz w:val="20"/>
        </w:rPr>
        <w:t xml:space="preserve">Fáze nabídková, </w:t>
      </w:r>
      <w:r w:rsidRPr="00C77C7C">
        <w:rPr>
          <w:rFonts w:ascii="Arial" w:eastAsia="Calibri" w:hAnsi="Arial" w:cs="Times New Roman"/>
          <w:sz w:val="20"/>
        </w:rPr>
        <w:t>jejímž účelem je výběr Koncesionáře na základě předem definovaných kritérií hodnocení, která mohou zahrnovat zejména:</w:t>
      </w:r>
    </w:p>
    <w:p w:rsidR="00C77C7C" w:rsidRPr="00C77C7C" w:rsidRDefault="00C77C7C" w:rsidP="00C77C7C">
      <w:pPr>
        <w:numPr>
          <w:ilvl w:val="0"/>
          <w:numId w:val="11"/>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 xml:space="preserve">Výši </w:t>
      </w:r>
      <w:proofErr w:type="spellStart"/>
      <w:r w:rsidRPr="00C77C7C">
        <w:rPr>
          <w:rFonts w:ascii="Arial" w:eastAsia="Calibri" w:hAnsi="Arial" w:cs="Times New Roman"/>
          <w:sz w:val="20"/>
        </w:rPr>
        <w:t>pachtovného</w:t>
      </w:r>
      <w:proofErr w:type="spellEnd"/>
      <w:r w:rsidRPr="00C77C7C">
        <w:rPr>
          <w:rFonts w:ascii="Arial" w:eastAsia="Calibri" w:hAnsi="Arial" w:cs="Times New Roman"/>
          <w:sz w:val="20"/>
        </w:rPr>
        <w:t>;</w:t>
      </w:r>
    </w:p>
    <w:p w:rsidR="00C77C7C" w:rsidRPr="00C77C7C" w:rsidRDefault="00C77C7C" w:rsidP="00C77C7C">
      <w:pPr>
        <w:numPr>
          <w:ilvl w:val="0"/>
          <w:numId w:val="11"/>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Výši příspěvku zadavatele;</w:t>
      </w:r>
    </w:p>
    <w:p w:rsidR="00C77C7C" w:rsidRPr="00C77C7C" w:rsidRDefault="00C77C7C" w:rsidP="00C77C7C">
      <w:pPr>
        <w:numPr>
          <w:ilvl w:val="0"/>
          <w:numId w:val="11"/>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Rozsah poskytovaných služeb;</w:t>
      </w:r>
    </w:p>
    <w:p w:rsidR="00C77C7C" w:rsidRPr="00C77C7C" w:rsidRDefault="00C77C7C" w:rsidP="00C77C7C">
      <w:pPr>
        <w:numPr>
          <w:ilvl w:val="0"/>
          <w:numId w:val="11"/>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Termín zahájení provozu; či</w:t>
      </w:r>
    </w:p>
    <w:p w:rsidR="00C77C7C" w:rsidRPr="00C77C7C" w:rsidRDefault="00C77C7C" w:rsidP="00C77C7C">
      <w:pPr>
        <w:numPr>
          <w:ilvl w:val="0"/>
          <w:numId w:val="11"/>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Zkušenosti dodavatele.</w:t>
      </w:r>
    </w:p>
    <w:p w:rsidR="00C77C7C" w:rsidRPr="00C77C7C" w:rsidRDefault="00C77C7C" w:rsidP="00C77C7C">
      <w:pPr>
        <w:spacing w:after="120" w:line="360" w:lineRule="auto"/>
        <w:jc w:val="both"/>
        <w:rPr>
          <w:rFonts w:ascii="Arial" w:eastAsia="Calibri" w:hAnsi="Arial" w:cs="Times New Roman"/>
          <w:sz w:val="20"/>
        </w:rPr>
      </w:pPr>
      <w:r w:rsidRPr="00C77C7C">
        <w:rPr>
          <w:rFonts w:ascii="Arial" w:eastAsia="Calibri" w:hAnsi="Arial" w:cs="Times New Roman"/>
          <w:sz w:val="20"/>
        </w:rPr>
        <w:t>Předpokládá se, že pro účely výběru Koncesionáře v koncesním řízení budou definovány základní parametry budoucího smluvního vztahu, založené na následujících principech:</w:t>
      </w:r>
    </w:p>
    <w:p w:rsidR="00C77C7C" w:rsidRPr="00C77C7C" w:rsidRDefault="00C77C7C" w:rsidP="00C77C7C">
      <w:pPr>
        <w:numPr>
          <w:ilvl w:val="0"/>
          <w:numId w:val="12"/>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t>Podstatou smlouvy bude pacht objektů ve prospěch Koncesionáře, kterému bude umožněno na vlastní riziko využívat objekty v souladu se záměrem projektu, jak je popsán v úvodním shrnutí záměru;</w:t>
      </w:r>
    </w:p>
    <w:p w:rsidR="00C77C7C" w:rsidRPr="00C77C7C" w:rsidRDefault="00C77C7C" w:rsidP="00C77C7C">
      <w:pPr>
        <w:numPr>
          <w:ilvl w:val="0"/>
          <w:numId w:val="12"/>
        </w:numPr>
        <w:spacing w:after="120" w:line="360" w:lineRule="auto"/>
        <w:contextualSpacing/>
        <w:jc w:val="both"/>
        <w:rPr>
          <w:rFonts w:ascii="Arial" w:eastAsia="Calibri" w:hAnsi="Arial" w:cs="Times New Roman"/>
          <w:sz w:val="20"/>
        </w:rPr>
      </w:pPr>
      <w:r w:rsidRPr="00C77C7C">
        <w:rPr>
          <w:rFonts w:ascii="Arial" w:eastAsia="Calibri" w:hAnsi="Arial" w:cs="Times New Roman"/>
          <w:sz w:val="20"/>
        </w:rPr>
        <w:lastRenderedPageBreak/>
        <w:t>Smlouva by měla Koncesionáři ponechat maximální volnost k využití potenciálu a jeho zkušeností v oblasti poskytování sociálních služeb. Bude tak na Koncesionáři, aby doporučil v průběhu dialogu, jakým způsobem hodlá objekty využít;</w:t>
      </w:r>
    </w:p>
    <w:p w:rsidR="00C77C7C" w:rsidRPr="00C77C7C" w:rsidRDefault="00C77C7C" w:rsidP="00C77C7C">
      <w:pPr>
        <w:numPr>
          <w:ilvl w:val="0"/>
          <w:numId w:val="12"/>
        </w:numPr>
        <w:spacing w:after="120" w:line="360" w:lineRule="auto"/>
        <w:contextualSpacing/>
        <w:jc w:val="both"/>
        <w:rPr>
          <w:rFonts w:ascii="Arial" w:eastAsia="Calibri" w:hAnsi="Arial" w:cs="Times New Roman"/>
          <w:color w:val="FF0000"/>
          <w:sz w:val="20"/>
        </w:rPr>
      </w:pPr>
      <w:r w:rsidRPr="00C77C7C">
        <w:rPr>
          <w:rFonts w:ascii="Arial" w:eastAsia="Calibri" w:hAnsi="Arial" w:cs="Times New Roman"/>
          <w:sz w:val="20"/>
        </w:rPr>
        <w:t>Záměr provozování objektů, navržený Koncesionářem, se však stane pro smluvní vztah závazným, zejména co do parametrů, které budou předmětem hodnocení. Závazné podmínky provozování objektů budou odpovídajícím způsobem zajištěny tak, aby bylo chráněno dobré jméno MČ a jí svěřený majetek.</w:t>
      </w:r>
    </w:p>
    <w:p w:rsidR="00C77C7C" w:rsidRPr="00C77C7C" w:rsidRDefault="00C77C7C" w:rsidP="00C77C7C">
      <w:pPr>
        <w:spacing w:after="120" w:line="360" w:lineRule="auto"/>
        <w:jc w:val="both"/>
        <w:rPr>
          <w:rFonts w:ascii="Arial" w:eastAsia="Calibri" w:hAnsi="Arial" w:cs="Times New Roman"/>
          <w:sz w:val="20"/>
        </w:rPr>
      </w:pPr>
    </w:p>
    <w:p w:rsidR="00C77C7C" w:rsidRPr="00C77C7C" w:rsidRDefault="00C77C7C" w:rsidP="00C77C7C">
      <w:pPr>
        <w:keepNext/>
        <w:keepLines/>
        <w:spacing w:after="0" w:line="360" w:lineRule="auto"/>
        <w:jc w:val="both"/>
        <w:outlineLvl w:val="1"/>
        <w:rPr>
          <w:rFonts w:ascii="Arial" w:eastAsia="Times New Roman" w:hAnsi="Arial" w:cs="Times New Roman"/>
          <w:b/>
          <w:bCs/>
          <w:color w:val="244061"/>
          <w:sz w:val="24"/>
          <w:szCs w:val="26"/>
        </w:rPr>
      </w:pPr>
      <w:r w:rsidRPr="00C77C7C">
        <w:rPr>
          <w:rFonts w:ascii="Arial" w:eastAsia="Times New Roman" w:hAnsi="Arial" w:cs="Times New Roman"/>
          <w:b/>
          <w:bCs/>
          <w:color w:val="244061"/>
          <w:sz w:val="24"/>
          <w:szCs w:val="26"/>
        </w:rPr>
        <w:t xml:space="preserve">Shrnutí projektového záměru </w:t>
      </w:r>
    </w:p>
    <w:tbl>
      <w:tblPr>
        <w:tblStyle w:val="TableGrid1"/>
        <w:tblpPr w:leftFromText="180" w:rightFromText="180" w:vertAnchor="text" w:tblpX="38" w:tblpY="1"/>
        <w:tblOverlap w:val="never"/>
        <w:tblW w:w="10158" w:type="dxa"/>
        <w:tblBorders>
          <w:top w:val="single" w:sz="18" w:space="0" w:color="8DB3E2"/>
          <w:left w:val="single" w:sz="18" w:space="0" w:color="8DB3E2"/>
          <w:bottom w:val="single" w:sz="18" w:space="0" w:color="8DB3E2"/>
          <w:right w:val="single" w:sz="18" w:space="0" w:color="8DB3E2"/>
          <w:insideH w:val="none" w:sz="0" w:space="0" w:color="auto"/>
          <w:insideV w:val="none" w:sz="0" w:space="0" w:color="auto"/>
        </w:tblBorders>
        <w:tblLook w:val="04A0" w:firstRow="1" w:lastRow="0" w:firstColumn="1" w:lastColumn="0" w:noHBand="0" w:noVBand="1"/>
      </w:tblPr>
      <w:tblGrid>
        <w:gridCol w:w="2984"/>
        <w:gridCol w:w="2140"/>
        <w:gridCol w:w="1445"/>
        <w:gridCol w:w="3589"/>
      </w:tblGrid>
      <w:tr w:rsidR="00C77C7C" w:rsidRPr="00C77C7C" w:rsidTr="00C77C7C">
        <w:trPr>
          <w:trHeight w:val="467"/>
        </w:trPr>
        <w:tc>
          <w:tcPr>
            <w:tcW w:w="10158" w:type="dxa"/>
            <w:gridSpan w:val="4"/>
            <w:tcBorders>
              <w:top w:val="single" w:sz="18" w:space="0" w:color="8DB3E2"/>
              <w:left w:val="single" w:sz="18" w:space="0" w:color="8DB3E2"/>
              <w:bottom w:val="nil"/>
              <w:right w:val="single" w:sz="18" w:space="0" w:color="8DB3E2"/>
            </w:tcBorders>
            <w:shd w:val="clear" w:color="auto" w:fill="8DB3E2"/>
            <w:vAlign w:val="bottom"/>
          </w:tcPr>
          <w:p w:rsidR="00C77C7C" w:rsidRPr="00C77C7C" w:rsidRDefault="00C77C7C" w:rsidP="00C77C7C">
            <w:pPr>
              <w:spacing w:line="360" w:lineRule="auto"/>
              <w:jc w:val="center"/>
              <w:rPr>
                <w:rFonts w:cs="Times New Roman"/>
                <w:b/>
                <w:sz w:val="20"/>
                <w:lang w:eastAsia="ar-SA"/>
              </w:rPr>
            </w:pPr>
            <w:r w:rsidRPr="00C77C7C">
              <w:rPr>
                <w:rFonts w:cs="Times New Roman"/>
                <w:b/>
                <w:lang w:eastAsia="ar-SA"/>
              </w:rPr>
              <w:t>Shrnutí projektového záměru</w:t>
            </w:r>
          </w:p>
        </w:tc>
      </w:tr>
      <w:tr w:rsidR="00C77C7C" w:rsidRPr="00C77C7C" w:rsidTr="00C77C7C">
        <w:trPr>
          <w:trHeight w:val="648"/>
        </w:trPr>
        <w:tc>
          <w:tcPr>
            <w:tcW w:w="2984" w:type="dxa"/>
            <w:tcBorders>
              <w:top w:val="nil"/>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Vlastník objektů</w:t>
            </w:r>
          </w:p>
        </w:tc>
        <w:tc>
          <w:tcPr>
            <w:tcW w:w="7174" w:type="dxa"/>
            <w:gridSpan w:val="3"/>
            <w:tcBorders>
              <w:top w:val="nil"/>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rPr>
            </w:pPr>
            <w:r w:rsidRPr="00C77C7C">
              <w:rPr>
                <w:sz w:val="20"/>
              </w:rPr>
              <w:t>Městská část Praha 3</w:t>
            </w: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Provozovatel</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 xml:space="preserve">Smluvní partner provozující funkční síť podobných zařízení v ČR, disponující dostatečnými lidskými i finančními kapacitami projekt realizovat </w:t>
            </w: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Délka smluvního vztahu</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15 – 20 let</w:t>
            </w: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 xml:space="preserve">Nový objekt </w:t>
            </w:r>
          </w:p>
        </w:tc>
        <w:tc>
          <w:tcPr>
            <w:tcW w:w="3585" w:type="dxa"/>
            <w:gridSpan w:val="2"/>
            <w:tcBorders>
              <w:top w:val="single" w:sz="2" w:space="0" w:color="8DB3E2"/>
              <w:left w:val="single" w:sz="2" w:space="0" w:color="8DB3E2"/>
              <w:bottom w:val="single" w:sz="2" w:space="0" w:color="8DB3E2"/>
              <w:right w:val="single" w:sz="2" w:space="0" w:color="8DB3E2"/>
            </w:tcBorders>
            <w:vAlign w:val="center"/>
          </w:tcPr>
          <w:p w:rsidR="00C77C7C" w:rsidRPr="00C77C7C" w:rsidRDefault="00C77C7C" w:rsidP="00C77C7C">
            <w:pPr>
              <w:spacing w:line="360" w:lineRule="auto"/>
              <w:rPr>
                <w:sz w:val="20"/>
                <w:lang w:eastAsia="ar-SA"/>
              </w:rPr>
            </w:pPr>
            <w:r w:rsidRPr="00C77C7C">
              <w:rPr>
                <w:sz w:val="20"/>
              </w:rPr>
              <w:t>K Lučinám 2591/23, Praha 3</w:t>
            </w:r>
          </w:p>
        </w:tc>
        <w:tc>
          <w:tcPr>
            <w:tcW w:w="3589" w:type="dxa"/>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Kapacita 115 lůžek + 10 lůžek denní stacionář</w:t>
            </w:r>
          </w:p>
        </w:tc>
      </w:tr>
      <w:tr w:rsidR="00C77C7C" w:rsidRPr="00C77C7C" w:rsidTr="00C77C7C">
        <w:trPr>
          <w:trHeight w:val="648"/>
        </w:trPr>
        <w:tc>
          <w:tcPr>
            <w:tcW w:w="2984" w:type="dxa"/>
            <w:vMerge w:val="restart"/>
            <w:tcBorders>
              <w:top w:val="single" w:sz="2" w:space="0" w:color="8DB3E2"/>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Stávající objekty</w:t>
            </w:r>
          </w:p>
        </w:tc>
        <w:tc>
          <w:tcPr>
            <w:tcW w:w="3585" w:type="dxa"/>
            <w:gridSpan w:val="2"/>
            <w:tcBorders>
              <w:top w:val="single" w:sz="2" w:space="0" w:color="8DB3E2"/>
              <w:left w:val="single" w:sz="2" w:space="0" w:color="8DB3E2"/>
              <w:bottom w:val="single" w:sz="2" w:space="0" w:color="8DB3E2"/>
              <w:right w:val="single" w:sz="2" w:space="0" w:color="8DB3E2"/>
            </w:tcBorders>
            <w:vAlign w:val="center"/>
          </w:tcPr>
          <w:p w:rsidR="00C77C7C" w:rsidRPr="00C77C7C" w:rsidRDefault="00C77C7C" w:rsidP="00C77C7C">
            <w:pPr>
              <w:spacing w:line="360" w:lineRule="auto"/>
              <w:rPr>
                <w:sz w:val="20"/>
              </w:rPr>
            </w:pPr>
            <w:r w:rsidRPr="00C77C7C">
              <w:rPr>
                <w:sz w:val="20"/>
              </w:rPr>
              <w:t>Habrová 2654/2, Praha 3</w:t>
            </w:r>
          </w:p>
        </w:tc>
        <w:tc>
          <w:tcPr>
            <w:tcW w:w="3589" w:type="dxa"/>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Kapacita 72 lůžek</w:t>
            </w:r>
          </w:p>
        </w:tc>
      </w:tr>
      <w:tr w:rsidR="00C77C7C" w:rsidRPr="00C77C7C" w:rsidTr="00C77C7C">
        <w:trPr>
          <w:trHeight w:val="648"/>
        </w:trPr>
        <w:tc>
          <w:tcPr>
            <w:tcW w:w="2984" w:type="dxa"/>
            <w:vMerge/>
            <w:tcBorders>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3585" w:type="dxa"/>
            <w:gridSpan w:val="2"/>
            <w:tcBorders>
              <w:top w:val="single" w:sz="2" w:space="0" w:color="8DB3E2"/>
              <w:left w:val="single" w:sz="2" w:space="0" w:color="8DB3E2"/>
              <w:bottom w:val="single" w:sz="2" w:space="0" w:color="8DB3E2"/>
              <w:right w:val="single" w:sz="2" w:space="0" w:color="8DB3E2"/>
            </w:tcBorders>
            <w:vAlign w:val="center"/>
          </w:tcPr>
          <w:p w:rsidR="00C77C7C" w:rsidRPr="00C77C7C" w:rsidRDefault="00C77C7C" w:rsidP="00C77C7C">
            <w:pPr>
              <w:spacing w:line="360" w:lineRule="auto"/>
              <w:rPr>
                <w:sz w:val="20"/>
              </w:rPr>
            </w:pPr>
            <w:r w:rsidRPr="00C77C7C">
              <w:rPr>
                <w:sz w:val="20"/>
              </w:rPr>
              <w:t xml:space="preserve">Pod lipami 2570/44, Praha 3 </w:t>
            </w:r>
          </w:p>
        </w:tc>
        <w:tc>
          <w:tcPr>
            <w:tcW w:w="3589" w:type="dxa"/>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Kapacita 17 + 7 lůžek odlehčovací služby</w:t>
            </w:r>
          </w:p>
        </w:tc>
      </w:tr>
      <w:tr w:rsidR="00C77C7C" w:rsidRPr="00C77C7C" w:rsidTr="00C77C7C">
        <w:trPr>
          <w:trHeight w:val="648"/>
        </w:trPr>
        <w:tc>
          <w:tcPr>
            <w:tcW w:w="2984" w:type="dxa"/>
            <w:tcBorders>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Očekávané provozní náklady</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20 – 25 tis. Kč / měsíc / lůžko</w:t>
            </w:r>
          </w:p>
        </w:tc>
      </w:tr>
      <w:tr w:rsidR="00C77C7C" w:rsidRPr="00C77C7C" w:rsidTr="00C77C7C">
        <w:trPr>
          <w:trHeight w:val="648"/>
        </w:trPr>
        <w:tc>
          <w:tcPr>
            <w:tcW w:w="2984" w:type="dxa"/>
            <w:vMerge w:val="restart"/>
            <w:tcBorders>
              <w:top w:val="single" w:sz="2" w:space="0" w:color="8DB3E2"/>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Činnosti provozovatele</w:t>
            </w:r>
          </w:p>
        </w:tc>
        <w:tc>
          <w:tcPr>
            <w:tcW w:w="7174" w:type="dxa"/>
            <w:gridSpan w:val="3"/>
            <w:tcBorders>
              <w:top w:val="single" w:sz="2" w:space="0" w:color="8DB3E2"/>
              <w:left w:val="single" w:sz="2" w:space="0" w:color="8DB3E2"/>
              <w:bottom w:val="nil"/>
              <w:right w:val="single" w:sz="18" w:space="0" w:color="8DB3E2"/>
            </w:tcBorders>
            <w:vAlign w:val="center"/>
          </w:tcPr>
          <w:p w:rsidR="00C77C7C" w:rsidRPr="00C77C7C" w:rsidRDefault="00C77C7C" w:rsidP="00C77C7C">
            <w:pPr>
              <w:spacing w:line="360" w:lineRule="auto"/>
              <w:rPr>
                <w:sz w:val="20"/>
              </w:rPr>
            </w:pPr>
            <w:r w:rsidRPr="00C77C7C">
              <w:rPr>
                <w:sz w:val="20"/>
                <w:lang w:eastAsia="ar-SA"/>
              </w:rPr>
              <w:t>Asistence MČ s projektovou dokumentací nového objektu a s definováním rozsahu potřebné komplexní opravy stávajících objektů</w:t>
            </w:r>
          </w:p>
        </w:tc>
      </w:tr>
      <w:tr w:rsidR="00C77C7C" w:rsidRPr="00C77C7C" w:rsidTr="00C77C7C">
        <w:trPr>
          <w:trHeight w:val="648"/>
        </w:trPr>
        <w:tc>
          <w:tcPr>
            <w:tcW w:w="2984" w:type="dxa"/>
            <w:vMerge/>
            <w:tcBorders>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7174" w:type="dxa"/>
            <w:gridSpan w:val="3"/>
            <w:tcBorders>
              <w:top w:val="nil"/>
              <w:left w:val="single" w:sz="2" w:space="0" w:color="8DB3E2"/>
              <w:bottom w:val="nil"/>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Komplexní provoz a údržba tří výše uvedených objektů MČ</w:t>
            </w:r>
          </w:p>
        </w:tc>
      </w:tr>
      <w:tr w:rsidR="00C77C7C" w:rsidRPr="00C77C7C" w:rsidTr="00C77C7C">
        <w:trPr>
          <w:trHeight w:val="648"/>
        </w:trPr>
        <w:tc>
          <w:tcPr>
            <w:tcW w:w="2984" w:type="dxa"/>
            <w:vMerge/>
            <w:tcBorders>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7174" w:type="dxa"/>
            <w:gridSpan w:val="3"/>
            <w:tcBorders>
              <w:top w:val="nil"/>
              <w:left w:val="single" w:sz="2" w:space="0" w:color="8DB3E2"/>
              <w:bottom w:val="nil"/>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Organizace případného přesunu stávající klientely do nového objektu</w:t>
            </w:r>
          </w:p>
        </w:tc>
      </w:tr>
      <w:tr w:rsidR="00C77C7C" w:rsidRPr="00C77C7C" w:rsidTr="00C77C7C">
        <w:trPr>
          <w:trHeight w:val="648"/>
        </w:trPr>
        <w:tc>
          <w:tcPr>
            <w:tcW w:w="2984" w:type="dxa"/>
            <w:vMerge w:val="restart"/>
            <w:tcBorders>
              <w:top w:val="single" w:sz="2" w:space="0" w:color="8DB3E2"/>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Struktura klientů</w:t>
            </w:r>
          </w:p>
        </w:tc>
        <w:tc>
          <w:tcPr>
            <w:tcW w:w="7174" w:type="dxa"/>
            <w:gridSpan w:val="3"/>
            <w:tcBorders>
              <w:top w:val="single" w:sz="2" w:space="0" w:color="8DB3E2"/>
              <w:left w:val="single" w:sz="2" w:space="0" w:color="8DB3E2"/>
              <w:bottom w:val="nil"/>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Zaměření na osoby ve III. a IV. stupni závislosti vyžadující celodenní dlouhodobou péči v pobytovém zařízení</w:t>
            </w:r>
          </w:p>
        </w:tc>
      </w:tr>
      <w:tr w:rsidR="00C77C7C" w:rsidRPr="00C77C7C" w:rsidTr="00C77C7C">
        <w:trPr>
          <w:trHeight w:val="648"/>
        </w:trPr>
        <w:tc>
          <w:tcPr>
            <w:tcW w:w="2984" w:type="dxa"/>
            <w:vMerge/>
            <w:tcBorders>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7174" w:type="dxa"/>
            <w:gridSpan w:val="3"/>
            <w:tcBorders>
              <w:top w:val="nil"/>
              <w:left w:val="single" w:sz="2" w:space="0" w:color="8DB3E2"/>
              <w:bottom w:val="nil"/>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Rozdělení klientů dle náročnosti na rozsah poskytovaných služeb do několika menších skupin po cca 10-15 osobách / komunitách.</w:t>
            </w:r>
          </w:p>
        </w:tc>
      </w:tr>
      <w:tr w:rsidR="00C77C7C" w:rsidRPr="00C77C7C" w:rsidTr="00C77C7C">
        <w:trPr>
          <w:trHeight w:val="648"/>
        </w:trPr>
        <w:tc>
          <w:tcPr>
            <w:tcW w:w="2984" w:type="dxa"/>
            <w:vMerge/>
            <w:tcBorders>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7174" w:type="dxa"/>
            <w:gridSpan w:val="3"/>
            <w:tcBorders>
              <w:top w:val="nil"/>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Citlivé propojení klientů z domova pro seniory s částí objektu zaměřeného na klienty se zvláštním režimem</w:t>
            </w: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 xml:space="preserve">Hlavní rizika </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p>
          <w:p w:rsidR="00C77C7C" w:rsidRPr="00C77C7C" w:rsidRDefault="00C77C7C" w:rsidP="00C77C7C">
            <w:pPr>
              <w:spacing w:line="360" w:lineRule="auto"/>
              <w:rPr>
                <w:sz w:val="20"/>
                <w:lang w:eastAsia="ar-SA"/>
              </w:rPr>
            </w:pPr>
            <w:r w:rsidRPr="00C77C7C">
              <w:rPr>
                <w:sz w:val="20"/>
                <w:lang w:eastAsia="ar-SA"/>
              </w:rPr>
              <w:t>Riziko vícenákladů a časového zpoždění plánovaného harmonogramu</w:t>
            </w:r>
          </w:p>
          <w:p w:rsidR="00C77C7C" w:rsidRPr="00C77C7C" w:rsidRDefault="00C77C7C" w:rsidP="00C77C7C">
            <w:pPr>
              <w:spacing w:line="360" w:lineRule="auto"/>
              <w:rPr>
                <w:sz w:val="20"/>
                <w:lang w:eastAsia="ar-SA"/>
              </w:rPr>
            </w:pPr>
          </w:p>
          <w:p w:rsidR="00C77C7C" w:rsidRPr="00C77C7C" w:rsidRDefault="00C77C7C" w:rsidP="00C77C7C">
            <w:pPr>
              <w:spacing w:line="360" w:lineRule="auto"/>
              <w:rPr>
                <w:sz w:val="20"/>
                <w:lang w:eastAsia="ar-SA"/>
              </w:rPr>
            </w:pPr>
            <w:r w:rsidRPr="00C77C7C">
              <w:rPr>
                <w:sz w:val="20"/>
                <w:lang w:eastAsia="ar-SA"/>
              </w:rPr>
              <w:lastRenderedPageBreak/>
              <w:t>Riziko, že celkový počet lůžek nebude plně zařazen do „Krajské sítě“ a tudíž provozovatel přijde o provozní dotace</w:t>
            </w:r>
          </w:p>
          <w:p w:rsidR="00C77C7C" w:rsidRPr="00C77C7C" w:rsidRDefault="00C77C7C" w:rsidP="00C77C7C">
            <w:pPr>
              <w:spacing w:line="360" w:lineRule="auto"/>
              <w:rPr>
                <w:sz w:val="20"/>
                <w:lang w:eastAsia="ar-SA"/>
              </w:rPr>
            </w:pPr>
          </w:p>
          <w:p w:rsidR="00C77C7C" w:rsidRPr="00C77C7C" w:rsidRDefault="00C77C7C" w:rsidP="00C77C7C">
            <w:pPr>
              <w:spacing w:line="360" w:lineRule="auto"/>
              <w:rPr>
                <w:sz w:val="20"/>
                <w:lang w:eastAsia="ar-SA"/>
              </w:rPr>
            </w:pPr>
            <w:r w:rsidRPr="00C77C7C">
              <w:rPr>
                <w:sz w:val="20"/>
                <w:lang w:eastAsia="ar-SA"/>
              </w:rPr>
              <w:t>Riziko nedostatečných celkových výnosů</w:t>
            </w:r>
          </w:p>
          <w:p w:rsidR="00C77C7C" w:rsidRPr="00C77C7C" w:rsidRDefault="00C77C7C" w:rsidP="00C77C7C">
            <w:pPr>
              <w:spacing w:line="360" w:lineRule="auto"/>
              <w:rPr>
                <w:sz w:val="20"/>
                <w:lang w:eastAsia="ar-SA"/>
              </w:rPr>
            </w:pPr>
          </w:p>
          <w:p w:rsidR="00C77C7C" w:rsidRPr="00C77C7C" w:rsidRDefault="00C77C7C" w:rsidP="00C77C7C">
            <w:pPr>
              <w:spacing w:line="360" w:lineRule="auto"/>
              <w:rPr>
                <w:sz w:val="20"/>
                <w:lang w:eastAsia="ar-SA"/>
              </w:rPr>
            </w:pPr>
            <w:r w:rsidRPr="00C77C7C">
              <w:rPr>
                <w:sz w:val="20"/>
                <w:lang w:eastAsia="ar-SA"/>
              </w:rPr>
              <w:t>Legislativní změny v systému financování (příspěvek na péči, možné odvody z důchodu, atd.)</w:t>
            </w:r>
          </w:p>
          <w:p w:rsidR="00C77C7C" w:rsidRPr="00C77C7C" w:rsidRDefault="00C77C7C" w:rsidP="00C77C7C">
            <w:pPr>
              <w:spacing w:line="360" w:lineRule="auto"/>
              <w:rPr>
                <w:sz w:val="20"/>
                <w:lang w:eastAsia="ar-SA"/>
              </w:rPr>
            </w:pP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Stravovací služby</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Možnost vlastní i externí kuchyně v závislosti na výsledném smluvním řešení a výsledcích analýzy vlastních kapacit MČ</w:t>
            </w:r>
          </w:p>
        </w:tc>
      </w:tr>
      <w:tr w:rsidR="00C77C7C" w:rsidRPr="00C77C7C" w:rsidTr="00C77C7C">
        <w:trPr>
          <w:trHeight w:val="648"/>
        </w:trPr>
        <w:tc>
          <w:tcPr>
            <w:tcW w:w="2984" w:type="dxa"/>
            <w:tcBorders>
              <w:top w:val="single" w:sz="2" w:space="0" w:color="8DB3E2"/>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sz w:val="20"/>
                <w:lang w:eastAsia="ar-SA"/>
              </w:rPr>
              <w:t>Prádelna</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Využití služeb externího smluvního partnera</w:t>
            </w:r>
          </w:p>
        </w:tc>
      </w:tr>
      <w:tr w:rsidR="00C77C7C" w:rsidRPr="00C77C7C" w:rsidTr="00C77C7C">
        <w:trPr>
          <w:trHeight w:val="648"/>
        </w:trPr>
        <w:tc>
          <w:tcPr>
            <w:tcW w:w="2984" w:type="dxa"/>
            <w:vMerge w:val="restart"/>
            <w:tcBorders>
              <w:top w:val="single" w:sz="2" w:space="0" w:color="8DB3E2"/>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r w:rsidRPr="00C77C7C">
              <w:rPr>
                <w:color w:val="000000"/>
                <w:sz w:val="20"/>
              </w:rPr>
              <w:t>Očekávaný provozní výsledek hospodaření</w:t>
            </w:r>
          </w:p>
        </w:tc>
        <w:tc>
          <w:tcPr>
            <w:tcW w:w="7174" w:type="dxa"/>
            <w:gridSpan w:val="3"/>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Výše dotace / nájemného bude předmětem výběrového řízení na provozovatele</w:t>
            </w:r>
          </w:p>
        </w:tc>
      </w:tr>
      <w:tr w:rsidR="00C77C7C" w:rsidRPr="00C77C7C" w:rsidTr="00C77C7C">
        <w:trPr>
          <w:trHeight w:val="648"/>
        </w:trPr>
        <w:tc>
          <w:tcPr>
            <w:tcW w:w="2984" w:type="dxa"/>
            <w:vMerge/>
            <w:tcBorders>
              <w:left w:val="single" w:sz="18"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2140" w:type="dxa"/>
            <w:tcBorders>
              <w:top w:val="single" w:sz="2" w:space="0" w:color="8DB3E2"/>
              <w:left w:val="single" w:sz="2" w:space="0" w:color="8DB3E2"/>
              <w:bottom w:val="single" w:sz="2" w:space="0" w:color="8DB3E2"/>
              <w:right w:val="single" w:sz="2" w:space="0" w:color="8DB3E2"/>
            </w:tcBorders>
            <w:vAlign w:val="center"/>
          </w:tcPr>
          <w:p w:rsidR="00C77C7C" w:rsidRPr="00C77C7C" w:rsidRDefault="00C77C7C" w:rsidP="00C77C7C">
            <w:pPr>
              <w:spacing w:line="360" w:lineRule="auto"/>
              <w:rPr>
                <w:sz w:val="20"/>
                <w:lang w:eastAsia="ar-SA"/>
              </w:rPr>
            </w:pPr>
            <w:r w:rsidRPr="00C77C7C">
              <w:rPr>
                <w:sz w:val="20"/>
                <w:lang w:eastAsia="ar-SA"/>
              </w:rPr>
              <w:t>Nový objekt</w:t>
            </w:r>
          </w:p>
        </w:tc>
        <w:tc>
          <w:tcPr>
            <w:tcW w:w="5034" w:type="dxa"/>
            <w:gridSpan w:val="2"/>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vertAlign w:val="superscript"/>
                <w:lang w:eastAsia="ar-SA"/>
              </w:rPr>
            </w:pPr>
            <w:r w:rsidRPr="00C77C7C">
              <w:rPr>
                <w:sz w:val="20"/>
                <w:lang w:eastAsia="ar-SA"/>
              </w:rPr>
              <w:t>Výsledek hospodaření se bude pohybovat kolem 0,- Kč při splnění smluvně definovaných podmínek</w:t>
            </w:r>
          </w:p>
        </w:tc>
      </w:tr>
      <w:tr w:rsidR="00C77C7C" w:rsidRPr="00C77C7C" w:rsidTr="00C77C7C">
        <w:trPr>
          <w:trHeight w:val="648"/>
        </w:trPr>
        <w:tc>
          <w:tcPr>
            <w:tcW w:w="2984" w:type="dxa"/>
            <w:vMerge/>
            <w:tcBorders>
              <w:left w:val="single" w:sz="18" w:space="0" w:color="8DB3E2"/>
              <w:bottom w:val="single" w:sz="2" w:space="0" w:color="8DB3E2"/>
              <w:right w:val="single" w:sz="2" w:space="0" w:color="8DB3E2"/>
            </w:tcBorders>
            <w:shd w:val="clear" w:color="auto" w:fill="C6D9F1"/>
            <w:vAlign w:val="center"/>
          </w:tcPr>
          <w:p w:rsidR="00C77C7C" w:rsidRPr="00C77C7C" w:rsidRDefault="00C77C7C" w:rsidP="00C77C7C">
            <w:pPr>
              <w:spacing w:line="360" w:lineRule="auto"/>
              <w:rPr>
                <w:sz w:val="20"/>
                <w:lang w:eastAsia="ar-SA"/>
              </w:rPr>
            </w:pPr>
          </w:p>
        </w:tc>
        <w:tc>
          <w:tcPr>
            <w:tcW w:w="2140" w:type="dxa"/>
            <w:tcBorders>
              <w:top w:val="single" w:sz="2" w:space="0" w:color="8DB3E2"/>
              <w:left w:val="single" w:sz="2" w:space="0" w:color="8DB3E2"/>
              <w:bottom w:val="single" w:sz="2" w:space="0" w:color="8DB3E2"/>
              <w:right w:val="single" w:sz="2" w:space="0" w:color="8DB3E2"/>
            </w:tcBorders>
            <w:vAlign w:val="center"/>
          </w:tcPr>
          <w:p w:rsidR="00C77C7C" w:rsidRPr="00C77C7C" w:rsidRDefault="00C77C7C" w:rsidP="00C77C7C">
            <w:pPr>
              <w:spacing w:line="360" w:lineRule="auto"/>
              <w:rPr>
                <w:sz w:val="20"/>
                <w:lang w:eastAsia="ar-SA"/>
              </w:rPr>
            </w:pPr>
            <w:r w:rsidRPr="00C77C7C">
              <w:rPr>
                <w:sz w:val="20"/>
                <w:lang w:eastAsia="ar-SA"/>
              </w:rPr>
              <w:t>Stávající objekty</w:t>
            </w:r>
          </w:p>
        </w:tc>
        <w:tc>
          <w:tcPr>
            <w:tcW w:w="5034" w:type="dxa"/>
            <w:gridSpan w:val="2"/>
            <w:tcBorders>
              <w:top w:val="single" w:sz="2" w:space="0" w:color="8DB3E2"/>
              <w:left w:val="single" w:sz="2" w:space="0" w:color="8DB3E2"/>
              <w:bottom w:val="single" w:sz="2" w:space="0" w:color="8DB3E2"/>
              <w:right w:val="single" w:sz="18" w:space="0" w:color="8DB3E2"/>
            </w:tcBorders>
            <w:vAlign w:val="center"/>
          </w:tcPr>
          <w:p w:rsidR="00C77C7C" w:rsidRPr="00C77C7C" w:rsidRDefault="00C77C7C" w:rsidP="00C77C7C">
            <w:pPr>
              <w:spacing w:line="360" w:lineRule="auto"/>
              <w:rPr>
                <w:sz w:val="20"/>
                <w:lang w:eastAsia="ar-SA"/>
              </w:rPr>
            </w:pPr>
            <w:r w:rsidRPr="00C77C7C">
              <w:rPr>
                <w:sz w:val="20"/>
                <w:lang w:eastAsia="ar-SA"/>
              </w:rPr>
              <w:t xml:space="preserve">Po rekonstrukci cca 30 – 50 % stávající dotace MČ </w:t>
            </w:r>
          </w:p>
        </w:tc>
      </w:tr>
    </w:tbl>
    <w:p w:rsidR="00C77C7C" w:rsidRPr="00C77C7C" w:rsidRDefault="00C77C7C" w:rsidP="00C77C7C">
      <w:pPr>
        <w:spacing w:after="120" w:line="360" w:lineRule="auto"/>
        <w:jc w:val="both"/>
        <w:rPr>
          <w:rFonts w:ascii="Arial" w:eastAsia="Calibri" w:hAnsi="Arial" w:cs="Times New Roman"/>
          <w:sz w:val="20"/>
        </w:rPr>
      </w:pPr>
    </w:p>
    <w:p w:rsidR="00C77C7C" w:rsidRPr="00C77C7C" w:rsidRDefault="00C77C7C" w:rsidP="00C77C7C">
      <w:pPr>
        <w:spacing w:after="120" w:line="360" w:lineRule="auto"/>
        <w:jc w:val="both"/>
        <w:rPr>
          <w:rFonts w:ascii="Arial" w:eastAsia="Calibri" w:hAnsi="Arial" w:cs="Times New Roman"/>
          <w:sz w:val="20"/>
        </w:rPr>
      </w:pPr>
    </w:p>
    <w:p w:rsidR="00284299" w:rsidRPr="007A2FDF" w:rsidRDefault="00284299" w:rsidP="000F5DB2">
      <w:pPr>
        <w:spacing w:line="240" w:lineRule="auto"/>
        <w:ind w:left="4245"/>
        <w:rPr>
          <w:rFonts w:ascii="Times New Roman" w:hAnsi="Times New Roman" w:cs="Times New Roman"/>
          <w:sz w:val="24"/>
          <w:szCs w:val="24"/>
        </w:rPr>
      </w:pPr>
    </w:p>
    <w:sectPr w:rsidR="00284299" w:rsidRPr="007A2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3F5"/>
    <w:multiLevelType w:val="hybridMultilevel"/>
    <w:tmpl w:val="9C2CB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5444B"/>
    <w:multiLevelType w:val="hybridMultilevel"/>
    <w:tmpl w:val="7944C2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D95182"/>
    <w:multiLevelType w:val="hybridMultilevel"/>
    <w:tmpl w:val="3D9843EA"/>
    <w:lvl w:ilvl="0" w:tplc="04090005">
      <w:start w:val="1"/>
      <w:numFmt w:val="bullet"/>
      <w:lvlText w:val=""/>
      <w:lvlJc w:val="left"/>
      <w:pPr>
        <w:ind w:left="720" w:hanging="360"/>
      </w:pPr>
      <w:rPr>
        <w:rFonts w:ascii="Wingdings" w:hAnsi="Wingdings" w:hint="default"/>
      </w:rPr>
    </w:lvl>
    <w:lvl w:ilvl="1" w:tplc="5E5457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72014"/>
    <w:multiLevelType w:val="hybridMultilevel"/>
    <w:tmpl w:val="EA8C8002"/>
    <w:lvl w:ilvl="0" w:tplc="5A746718">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2B20F6"/>
    <w:multiLevelType w:val="hybridMultilevel"/>
    <w:tmpl w:val="6A326C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D32319"/>
    <w:multiLevelType w:val="hybridMultilevel"/>
    <w:tmpl w:val="3FEE1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F1ECC"/>
    <w:multiLevelType w:val="hybridMultilevel"/>
    <w:tmpl w:val="80524C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C22737"/>
    <w:multiLevelType w:val="hybridMultilevel"/>
    <w:tmpl w:val="5B8EA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BD070D"/>
    <w:multiLevelType w:val="hybridMultilevel"/>
    <w:tmpl w:val="5EF452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C56951"/>
    <w:multiLevelType w:val="hybridMultilevel"/>
    <w:tmpl w:val="47BA3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996CBA"/>
    <w:multiLevelType w:val="hybridMultilevel"/>
    <w:tmpl w:val="F2A8B3C4"/>
    <w:lvl w:ilvl="0" w:tplc="5E545780">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0FE2EC3"/>
    <w:multiLevelType w:val="hybridMultilevel"/>
    <w:tmpl w:val="6E923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5"/>
  </w:num>
  <w:num w:numId="5">
    <w:abstractNumId w:val="4"/>
  </w:num>
  <w:num w:numId="6">
    <w:abstractNumId w:val="2"/>
  </w:num>
  <w:num w:numId="7">
    <w:abstractNumId w:val="8"/>
  </w:num>
  <w:num w:numId="8">
    <w:abstractNumId w:val="9"/>
  </w:num>
  <w:num w:numId="9">
    <w:abstractNumId w:val="1"/>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DF"/>
    <w:rsid w:val="000B15A4"/>
    <w:rsid w:val="000F5DB2"/>
    <w:rsid w:val="00284299"/>
    <w:rsid w:val="002A019D"/>
    <w:rsid w:val="002A7532"/>
    <w:rsid w:val="002D45B9"/>
    <w:rsid w:val="003A7E00"/>
    <w:rsid w:val="003E6271"/>
    <w:rsid w:val="004C06C2"/>
    <w:rsid w:val="005A30C3"/>
    <w:rsid w:val="005B2BBF"/>
    <w:rsid w:val="00640C39"/>
    <w:rsid w:val="007A2FDF"/>
    <w:rsid w:val="007B0076"/>
    <w:rsid w:val="008C02D9"/>
    <w:rsid w:val="00A01AE1"/>
    <w:rsid w:val="00A1552C"/>
    <w:rsid w:val="00B05084"/>
    <w:rsid w:val="00B83692"/>
    <w:rsid w:val="00C77C7C"/>
    <w:rsid w:val="00C87C9F"/>
    <w:rsid w:val="00D32600"/>
    <w:rsid w:val="00F272A3"/>
    <w:rsid w:val="00F40240"/>
    <w:rsid w:val="00FA4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F266"/>
  <w15:docId w15:val="{F459A98B-BD30-4283-870C-E4BDD8C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2FDF"/>
    <w:pPr>
      <w:ind w:left="720"/>
      <w:contextualSpacing/>
    </w:pPr>
  </w:style>
  <w:style w:type="paragraph" w:styleId="Textbubliny">
    <w:name w:val="Balloon Text"/>
    <w:basedOn w:val="Normln"/>
    <w:link w:val="TextbublinyChar"/>
    <w:uiPriority w:val="99"/>
    <w:semiHidden/>
    <w:unhideWhenUsed/>
    <w:rsid w:val="005B2B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2BBF"/>
    <w:rPr>
      <w:rFonts w:ascii="Tahoma" w:hAnsi="Tahoma" w:cs="Tahoma"/>
      <w:sz w:val="16"/>
      <w:szCs w:val="16"/>
    </w:rPr>
  </w:style>
  <w:style w:type="table" w:customStyle="1" w:styleId="TableGrid1">
    <w:name w:val="Table Grid1"/>
    <w:basedOn w:val="Normlntabulka"/>
    <w:next w:val="Mkatabulky"/>
    <w:uiPriority w:val="39"/>
    <w:rsid w:val="00C77C7C"/>
    <w:pPr>
      <w:spacing w:after="0" w:line="280" w:lineRule="atLeast"/>
      <w:jc w:val="both"/>
    </w:pPr>
    <w:rPr>
      <w:rFonts w:ascii="Arial" w:eastAsia="Times New Roman" w:hAnsi="Arial" w:cs="Arial"/>
      <w:sz w:val="18"/>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C7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4220</Words>
  <Characters>24898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Stejskalová</dc:creator>
  <cp:lastModifiedBy>Parobková Ivana Bc. (ÚMČ Praha 3)</cp:lastModifiedBy>
  <cp:revision>2</cp:revision>
  <cp:lastPrinted>2017-07-31T08:23:00Z</cp:lastPrinted>
  <dcterms:created xsi:type="dcterms:W3CDTF">2017-08-30T11:31:00Z</dcterms:created>
  <dcterms:modified xsi:type="dcterms:W3CDTF">2017-08-30T11:31:00Z</dcterms:modified>
</cp:coreProperties>
</file>