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FDF" w:rsidRPr="007A2FDF" w:rsidRDefault="007A2FDF" w:rsidP="007A2FDF">
      <w:pPr>
        <w:spacing w:line="240" w:lineRule="auto"/>
        <w:jc w:val="center"/>
        <w:rPr>
          <w:rFonts w:ascii="Times New Roman" w:hAnsi="Times New Roman" w:cs="Times New Roman"/>
          <w:b/>
          <w:sz w:val="32"/>
          <w:szCs w:val="32"/>
        </w:rPr>
      </w:pPr>
      <w:r w:rsidRPr="007A2FDF">
        <w:rPr>
          <w:rFonts w:ascii="Times New Roman" w:hAnsi="Times New Roman" w:cs="Times New Roman"/>
          <w:b/>
          <w:sz w:val="32"/>
          <w:szCs w:val="32"/>
        </w:rPr>
        <w:t>Příkazní smlouva</w:t>
      </w:r>
    </w:p>
    <w:p w:rsidR="007A2FDF" w:rsidRPr="007A2FDF" w:rsidRDefault="007A2FDF" w:rsidP="007A2FDF">
      <w:pPr>
        <w:spacing w:line="240" w:lineRule="auto"/>
        <w:jc w:val="center"/>
        <w:rPr>
          <w:rFonts w:ascii="Times New Roman" w:hAnsi="Times New Roman" w:cs="Times New Roman"/>
          <w:sz w:val="24"/>
          <w:szCs w:val="24"/>
        </w:rPr>
      </w:pPr>
      <w:r w:rsidRPr="007A2FDF">
        <w:rPr>
          <w:rFonts w:ascii="Times New Roman" w:hAnsi="Times New Roman" w:cs="Times New Roman"/>
          <w:sz w:val="24"/>
          <w:szCs w:val="24"/>
        </w:rPr>
        <w:t>dále jen „smlouva"</w:t>
      </w:r>
    </w:p>
    <w:p w:rsidR="007A2FDF" w:rsidRP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t>uzavřená v souladu s ustanovením § 2430 a násl. zákona č. 89/2012 Sb., občanský zákoník, ve znění pozdějších předpisů (dále jen „občanský zákoník“) mezi smluvními stranami:</w:t>
      </w:r>
    </w:p>
    <w:p w:rsidR="007A2FDF" w:rsidRPr="007A2FDF" w:rsidRDefault="007A2FDF" w:rsidP="007A2FDF">
      <w:pPr>
        <w:spacing w:line="240" w:lineRule="auto"/>
        <w:jc w:val="both"/>
        <w:rPr>
          <w:rFonts w:ascii="Times New Roman" w:hAnsi="Times New Roman" w:cs="Times New Roman"/>
          <w:sz w:val="24"/>
          <w:szCs w:val="24"/>
        </w:rPr>
      </w:pPr>
    </w:p>
    <w:p w:rsidR="007A2FDF" w:rsidRPr="007A2FDF" w:rsidRDefault="007A2FDF" w:rsidP="007A2FDF">
      <w:pPr>
        <w:spacing w:line="240" w:lineRule="auto"/>
        <w:jc w:val="both"/>
        <w:rPr>
          <w:rFonts w:ascii="Times New Roman" w:hAnsi="Times New Roman" w:cs="Times New Roman"/>
          <w:b/>
          <w:sz w:val="24"/>
          <w:szCs w:val="24"/>
        </w:rPr>
      </w:pPr>
    </w:p>
    <w:p w:rsidR="007A2FDF" w:rsidRPr="007A2FDF" w:rsidRDefault="008C02D9" w:rsidP="007A2FDF">
      <w:pPr>
        <w:spacing w:line="240" w:lineRule="auto"/>
        <w:jc w:val="both"/>
        <w:rPr>
          <w:rFonts w:ascii="Times New Roman" w:hAnsi="Times New Roman" w:cs="Times New Roman"/>
          <w:b/>
          <w:sz w:val="24"/>
          <w:szCs w:val="24"/>
        </w:rPr>
      </w:pPr>
      <w:r>
        <w:rPr>
          <w:rFonts w:ascii="Times New Roman" w:hAnsi="Times New Roman" w:cs="Times New Roman"/>
          <w:b/>
          <w:sz w:val="24"/>
          <w:szCs w:val="24"/>
        </w:rPr>
        <w:t>Městská část Praha 3</w:t>
      </w:r>
    </w:p>
    <w:p w:rsidR="007A2FDF" w:rsidRP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t xml:space="preserve">se sídlem: </w:t>
      </w:r>
      <w:r w:rsidRPr="007A2FDF">
        <w:rPr>
          <w:rFonts w:ascii="Times New Roman" w:hAnsi="Times New Roman" w:cs="Times New Roman"/>
          <w:sz w:val="24"/>
          <w:szCs w:val="24"/>
        </w:rPr>
        <w:tab/>
        <w:t>Havlíčkovo nám. 9, Praha 3, PSČ 130 00</w:t>
      </w:r>
    </w:p>
    <w:p w:rsidR="007A2FDF" w:rsidRP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t xml:space="preserve">IČO: </w:t>
      </w:r>
      <w:r w:rsidRPr="007A2FDF">
        <w:rPr>
          <w:rFonts w:ascii="Times New Roman" w:hAnsi="Times New Roman" w:cs="Times New Roman"/>
          <w:sz w:val="24"/>
          <w:szCs w:val="24"/>
        </w:rPr>
        <w:tab/>
      </w:r>
      <w:r w:rsidRPr="007A2FDF">
        <w:rPr>
          <w:rFonts w:ascii="Times New Roman" w:hAnsi="Times New Roman" w:cs="Times New Roman"/>
          <w:sz w:val="24"/>
          <w:szCs w:val="24"/>
        </w:rPr>
        <w:tab/>
        <w:t>00063517</w:t>
      </w:r>
    </w:p>
    <w:p w:rsidR="007A2FDF" w:rsidRP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t>zastoupená:</w:t>
      </w:r>
      <w:r w:rsidRPr="007A2FDF">
        <w:rPr>
          <w:rFonts w:ascii="Times New Roman" w:hAnsi="Times New Roman" w:cs="Times New Roman"/>
          <w:sz w:val="24"/>
          <w:szCs w:val="24"/>
        </w:rPr>
        <w:tab/>
        <w:t xml:space="preserve">Ing. Vladislavou </w:t>
      </w:r>
      <w:proofErr w:type="spellStart"/>
      <w:r w:rsidRPr="007A2FDF">
        <w:rPr>
          <w:rFonts w:ascii="Times New Roman" w:hAnsi="Times New Roman" w:cs="Times New Roman"/>
          <w:sz w:val="24"/>
          <w:szCs w:val="24"/>
        </w:rPr>
        <w:t>Hujovou</w:t>
      </w:r>
      <w:proofErr w:type="spellEnd"/>
      <w:r w:rsidRPr="007A2FDF">
        <w:rPr>
          <w:rFonts w:ascii="Times New Roman" w:hAnsi="Times New Roman" w:cs="Times New Roman"/>
          <w:sz w:val="24"/>
          <w:szCs w:val="24"/>
        </w:rPr>
        <w:t xml:space="preserve">, starostkou </w:t>
      </w:r>
    </w:p>
    <w:p w:rsidR="007A2FDF" w:rsidRPr="007A2FDF" w:rsidRDefault="007A2FDF" w:rsidP="007A2FDF">
      <w:pPr>
        <w:spacing w:line="240" w:lineRule="auto"/>
        <w:jc w:val="both"/>
        <w:rPr>
          <w:rFonts w:ascii="Times New Roman" w:hAnsi="Times New Roman" w:cs="Times New Roman"/>
          <w:sz w:val="24"/>
          <w:szCs w:val="24"/>
        </w:rPr>
      </w:pPr>
    </w:p>
    <w:p w:rsidR="007A2FDF" w:rsidRP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t xml:space="preserve">dále jen „příkazce" </w:t>
      </w:r>
      <w:r w:rsidRPr="00A01AE1">
        <w:rPr>
          <w:rFonts w:ascii="Times New Roman" w:hAnsi="Times New Roman" w:cs="Times New Roman"/>
          <w:b/>
          <w:sz w:val="24"/>
          <w:szCs w:val="24"/>
        </w:rPr>
        <w:t>na straně jedné</w:t>
      </w:r>
      <w:r w:rsidRPr="007A2FDF">
        <w:rPr>
          <w:rFonts w:ascii="Times New Roman" w:hAnsi="Times New Roman" w:cs="Times New Roman"/>
          <w:sz w:val="24"/>
          <w:szCs w:val="24"/>
        </w:rPr>
        <w:t xml:space="preserve"> a</w:t>
      </w:r>
    </w:p>
    <w:p w:rsidR="007A2FDF" w:rsidRPr="007A2FDF" w:rsidRDefault="007A2FDF" w:rsidP="007A2FDF">
      <w:pPr>
        <w:spacing w:line="240" w:lineRule="auto"/>
        <w:jc w:val="both"/>
        <w:rPr>
          <w:rFonts w:ascii="Times New Roman" w:hAnsi="Times New Roman" w:cs="Times New Roman"/>
          <w:sz w:val="24"/>
          <w:szCs w:val="24"/>
        </w:rPr>
      </w:pPr>
    </w:p>
    <w:p w:rsidR="00A01AE1" w:rsidRDefault="00A01AE1" w:rsidP="00A01AE1">
      <w:pPr>
        <w:pStyle w:val="Odstavecseseznamem"/>
        <w:numPr>
          <w:ilvl w:val="0"/>
          <w:numId w:val="3"/>
        </w:numPr>
        <w:spacing w:line="240" w:lineRule="auto"/>
        <w:ind w:left="425" w:hanging="425"/>
        <w:contextualSpacing w:val="0"/>
        <w:jc w:val="both"/>
        <w:rPr>
          <w:rFonts w:ascii="Times New Roman" w:hAnsi="Times New Roman" w:cs="Times New Roman"/>
          <w:sz w:val="24"/>
          <w:szCs w:val="24"/>
        </w:rPr>
      </w:pPr>
      <w:r w:rsidRPr="00A01AE1">
        <w:rPr>
          <w:rFonts w:ascii="Times New Roman" w:hAnsi="Times New Roman" w:cs="Times New Roman"/>
          <w:sz w:val="24"/>
          <w:szCs w:val="24"/>
        </w:rPr>
        <w:t xml:space="preserve">Mgr. </w:t>
      </w:r>
      <w:r w:rsidRPr="00A01AE1">
        <w:rPr>
          <w:rFonts w:ascii="Times New Roman" w:hAnsi="Times New Roman" w:cs="Times New Roman"/>
          <w:b/>
          <w:sz w:val="24"/>
          <w:szCs w:val="24"/>
        </w:rPr>
        <w:t>Michal Mazel</w:t>
      </w:r>
      <w:r w:rsidRPr="00A01AE1">
        <w:rPr>
          <w:rFonts w:ascii="Times New Roman" w:hAnsi="Times New Roman" w:cs="Times New Roman"/>
          <w:sz w:val="24"/>
          <w:szCs w:val="24"/>
        </w:rPr>
        <w:t>, advokát ev. č. ČAK 13419, IČ: 456 11</w:t>
      </w:r>
      <w:r>
        <w:rPr>
          <w:rFonts w:ascii="Times New Roman" w:hAnsi="Times New Roman" w:cs="Times New Roman"/>
          <w:sz w:val="24"/>
          <w:szCs w:val="24"/>
        </w:rPr>
        <w:t> </w:t>
      </w:r>
      <w:r w:rsidRPr="00A01AE1">
        <w:rPr>
          <w:rFonts w:ascii="Times New Roman" w:hAnsi="Times New Roman" w:cs="Times New Roman"/>
          <w:sz w:val="24"/>
          <w:szCs w:val="24"/>
        </w:rPr>
        <w:t>262,</w:t>
      </w:r>
    </w:p>
    <w:p w:rsidR="00A01AE1" w:rsidRDefault="00A01AE1" w:rsidP="00A01AE1">
      <w:pPr>
        <w:pStyle w:val="Odstavecseseznamem"/>
        <w:spacing w:line="240" w:lineRule="auto"/>
        <w:ind w:left="425"/>
        <w:contextualSpacing w:val="0"/>
        <w:jc w:val="both"/>
        <w:rPr>
          <w:rFonts w:ascii="Times New Roman" w:hAnsi="Times New Roman" w:cs="Times New Roman"/>
          <w:sz w:val="24"/>
          <w:szCs w:val="24"/>
        </w:rPr>
      </w:pPr>
      <w:r w:rsidRPr="00A01AE1">
        <w:rPr>
          <w:rFonts w:ascii="Times New Roman" w:hAnsi="Times New Roman" w:cs="Times New Roman"/>
          <w:sz w:val="24"/>
          <w:szCs w:val="24"/>
        </w:rPr>
        <w:t>se sídlem</w:t>
      </w:r>
      <w:r>
        <w:rPr>
          <w:rFonts w:ascii="Times New Roman" w:hAnsi="Times New Roman" w:cs="Times New Roman"/>
          <w:sz w:val="24"/>
          <w:szCs w:val="24"/>
        </w:rPr>
        <w:t xml:space="preserve"> </w:t>
      </w:r>
      <w:r w:rsidRPr="00A01AE1">
        <w:rPr>
          <w:rFonts w:ascii="Times New Roman" w:hAnsi="Times New Roman" w:cs="Times New Roman"/>
          <w:sz w:val="24"/>
          <w:szCs w:val="24"/>
        </w:rPr>
        <w:t>Vinohradská 938/37, 120 00 Praha 2</w:t>
      </w:r>
    </w:p>
    <w:p w:rsidR="00A01AE1" w:rsidRDefault="00A01AE1" w:rsidP="00A01AE1">
      <w:pPr>
        <w:pStyle w:val="Odstavecseseznamem"/>
        <w:numPr>
          <w:ilvl w:val="0"/>
          <w:numId w:val="3"/>
        </w:numPr>
        <w:spacing w:line="240" w:lineRule="auto"/>
        <w:ind w:left="425" w:hanging="425"/>
        <w:contextualSpacing w:val="0"/>
        <w:jc w:val="both"/>
        <w:rPr>
          <w:rFonts w:ascii="Times New Roman" w:hAnsi="Times New Roman" w:cs="Times New Roman"/>
          <w:sz w:val="24"/>
          <w:szCs w:val="24"/>
        </w:rPr>
      </w:pPr>
      <w:r>
        <w:rPr>
          <w:rFonts w:ascii="Times New Roman" w:hAnsi="Times New Roman" w:cs="Times New Roman"/>
          <w:sz w:val="24"/>
          <w:szCs w:val="24"/>
        </w:rPr>
        <w:t xml:space="preserve">Mgr. </w:t>
      </w:r>
      <w:r w:rsidRPr="00A01AE1">
        <w:rPr>
          <w:rFonts w:ascii="Times New Roman" w:hAnsi="Times New Roman" w:cs="Times New Roman"/>
          <w:b/>
          <w:sz w:val="24"/>
          <w:szCs w:val="24"/>
        </w:rPr>
        <w:t>Marie Plíšková</w:t>
      </w:r>
      <w:r>
        <w:rPr>
          <w:rFonts w:ascii="Times New Roman" w:hAnsi="Times New Roman" w:cs="Times New Roman"/>
          <w:sz w:val="24"/>
          <w:szCs w:val="24"/>
        </w:rPr>
        <w:t>, advokát ev. č. ČAK 15772, IČ: 691 35 631,</w:t>
      </w:r>
    </w:p>
    <w:p w:rsidR="00A01AE1" w:rsidRDefault="00A01AE1" w:rsidP="00A01AE1">
      <w:pPr>
        <w:spacing w:line="240" w:lineRule="auto"/>
        <w:ind w:firstLine="425"/>
        <w:jc w:val="both"/>
        <w:rPr>
          <w:rFonts w:ascii="Times New Roman" w:hAnsi="Times New Roman" w:cs="Times New Roman"/>
          <w:sz w:val="24"/>
          <w:szCs w:val="24"/>
        </w:rPr>
      </w:pPr>
      <w:r w:rsidRPr="00A01AE1">
        <w:rPr>
          <w:rFonts w:ascii="Times New Roman" w:hAnsi="Times New Roman" w:cs="Times New Roman"/>
          <w:sz w:val="24"/>
          <w:szCs w:val="24"/>
        </w:rPr>
        <w:t>se sídlem Vinohradská 938/37, 120 00 Praha 2</w:t>
      </w:r>
    </w:p>
    <w:p w:rsidR="00A01AE1" w:rsidRDefault="00A01AE1" w:rsidP="00A01AE1">
      <w:pPr>
        <w:pStyle w:val="Odstavecseseznamem"/>
        <w:numPr>
          <w:ilvl w:val="0"/>
          <w:numId w:val="3"/>
        </w:numPr>
        <w:spacing w:line="240" w:lineRule="auto"/>
        <w:ind w:left="425" w:hanging="426"/>
        <w:contextualSpacing w:val="0"/>
        <w:jc w:val="both"/>
        <w:rPr>
          <w:rFonts w:ascii="Times New Roman" w:hAnsi="Times New Roman" w:cs="Times New Roman"/>
          <w:sz w:val="24"/>
          <w:szCs w:val="24"/>
        </w:rPr>
      </w:pPr>
      <w:r w:rsidRPr="00A01AE1">
        <w:rPr>
          <w:rFonts w:ascii="Times New Roman" w:hAnsi="Times New Roman" w:cs="Times New Roman"/>
          <w:b/>
          <w:sz w:val="24"/>
          <w:szCs w:val="24"/>
        </w:rPr>
        <w:t>ROWAN LEGAL, advokátní kancelář s. r. o.</w:t>
      </w:r>
      <w:r>
        <w:rPr>
          <w:rFonts w:ascii="Times New Roman" w:hAnsi="Times New Roman" w:cs="Times New Roman"/>
          <w:sz w:val="24"/>
          <w:szCs w:val="24"/>
        </w:rPr>
        <w:t>, IČ: 284 68 414, DIČ: CZ 284 68 414,</w:t>
      </w:r>
    </w:p>
    <w:p w:rsidR="00A01AE1" w:rsidRDefault="00A01AE1" w:rsidP="00A01AE1">
      <w:pPr>
        <w:pStyle w:val="Odstavecseseznamem"/>
        <w:spacing w:line="240" w:lineRule="auto"/>
        <w:ind w:left="425"/>
        <w:contextualSpacing w:val="0"/>
        <w:jc w:val="both"/>
        <w:rPr>
          <w:rFonts w:ascii="Times New Roman" w:hAnsi="Times New Roman" w:cs="Times New Roman"/>
          <w:sz w:val="24"/>
          <w:szCs w:val="24"/>
        </w:rPr>
      </w:pPr>
      <w:r>
        <w:rPr>
          <w:rFonts w:ascii="Times New Roman" w:hAnsi="Times New Roman" w:cs="Times New Roman"/>
          <w:sz w:val="24"/>
          <w:szCs w:val="24"/>
        </w:rPr>
        <w:t>se sídlem Na Pankráci 1683/127, Nusle, 140 00 Praha 4,</w:t>
      </w:r>
    </w:p>
    <w:p w:rsidR="00A01AE1" w:rsidRDefault="00A01AE1" w:rsidP="00A01AE1">
      <w:pPr>
        <w:pStyle w:val="Odstavecseseznamem"/>
        <w:spacing w:line="240" w:lineRule="auto"/>
        <w:ind w:left="425"/>
        <w:contextualSpacing w:val="0"/>
        <w:jc w:val="both"/>
        <w:rPr>
          <w:rFonts w:ascii="Times New Roman" w:hAnsi="Times New Roman" w:cs="Times New Roman"/>
          <w:sz w:val="24"/>
          <w:szCs w:val="24"/>
        </w:rPr>
      </w:pPr>
      <w:r>
        <w:rPr>
          <w:rFonts w:ascii="Times New Roman" w:hAnsi="Times New Roman" w:cs="Times New Roman"/>
          <w:sz w:val="24"/>
          <w:szCs w:val="24"/>
        </w:rPr>
        <w:t xml:space="preserve">zapsaná v obchodním rejstříku vedeném Městským soudem v Praze, </w:t>
      </w:r>
      <w:proofErr w:type="spellStart"/>
      <w:r>
        <w:rPr>
          <w:rFonts w:ascii="Times New Roman" w:hAnsi="Times New Roman" w:cs="Times New Roman"/>
          <w:sz w:val="24"/>
          <w:szCs w:val="24"/>
        </w:rPr>
        <w:t>sp</w:t>
      </w:r>
      <w:proofErr w:type="spellEnd"/>
      <w:r>
        <w:rPr>
          <w:rFonts w:ascii="Times New Roman" w:hAnsi="Times New Roman" w:cs="Times New Roman"/>
          <w:sz w:val="24"/>
          <w:szCs w:val="24"/>
        </w:rPr>
        <w:t>. zn. C. 143781,</w:t>
      </w:r>
    </w:p>
    <w:p w:rsidR="00A01AE1" w:rsidRPr="00A01AE1" w:rsidRDefault="00A01AE1" w:rsidP="00A01AE1">
      <w:pPr>
        <w:pStyle w:val="Odstavecseseznamem"/>
        <w:spacing w:line="240" w:lineRule="auto"/>
        <w:ind w:left="425"/>
        <w:contextualSpacing w:val="0"/>
        <w:jc w:val="both"/>
        <w:rPr>
          <w:rFonts w:ascii="Times New Roman" w:hAnsi="Times New Roman" w:cs="Times New Roman"/>
          <w:sz w:val="24"/>
          <w:szCs w:val="24"/>
        </w:rPr>
      </w:pPr>
      <w:r>
        <w:rPr>
          <w:rFonts w:ascii="Times New Roman" w:hAnsi="Times New Roman" w:cs="Times New Roman"/>
          <w:sz w:val="24"/>
          <w:szCs w:val="24"/>
        </w:rPr>
        <w:t>zastoupená JUDr. Vilémem Podešvou, LLM, advokátem a jednatelem</w:t>
      </w:r>
    </w:p>
    <w:p w:rsidR="007A2FDF" w:rsidRPr="007A2FDF" w:rsidRDefault="007A2FDF" w:rsidP="007A2FDF">
      <w:pPr>
        <w:spacing w:line="240" w:lineRule="auto"/>
        <w:jc w:val="both"/>
        <w:rPr>
          <w:rFonts w:ascii="Times New Roman" w:hAnsi="Times New Roman" w:cs="Times New Roman"/>
          <w:sz w:val="24"/>
          <w:szCs w:val="24"/>
        </w:rPr>
      </w:pPr>
    </w:p>
    <w:p w:rsidR="00A01AE1" w:rsidRDefault="007A2FDF" w:rsidP="007A2FDF">
      <w:pPr>
        <w:spacing w:line="240" w:lineRule="auto"/>
        <w:jc w:val="both"/>
        <w:rPr>
          <w:rFonts w:ascii="Times New Roman" w:hAnsi="Times New Roman" w:cs="Times New Roman"/>
          <w:b/>
          <w:sz w:val="24"/>
          <w:szCs w:val="24"/>
        </w:rPr>
      </w:pPr>
      <w:r w:rsidRPr="007A2FDF">
        <w:rPr>
          <w:rFonts w:ascii="Times New Roman" w:hAnsi="Times New Roman" w:cs="Times New Roman"/>
          <w:sz w:val="24"/>
          <w:szCs w:val="24"/>
        </w:rPr>
        <w:t xml:space="preserve">dále jen „příkazník" </w:t>
      </w:r>
      <w:r w:rsidRPr="00A01AE1">
        <w:rPr>
          <w:rFonts w:ascii="Times New Roman" w:hAnsi="Times New Roman" w:cs="Times New Roman"/>
          <w:b/>
          <w:sz w:val="24"/>
          <w:szCs w:val="24"/>
        </w:rPr>
        <w:t>na straně druhé</w:t>
      </w:r>
    </w:p>
    <w:p w:rsidR="00A01AE1" w:rsidRDefault="00A01AE1">
      <w:pPr>
        <w:rPr>
          <w:rFonts w:ascii="Times New Roman" w:hAnsi="Times New Roman" w:cs="Times New Roman"/>
          <w:b/>
          <w:sz w:val="24"/>
          <w:szCs w:val="24"/>
        </w:rPr>
      </w:pPr>
      <w:r>
        <w:rPr>
          <w:rFonts w:ascii="Times New Roman" w:hAnsi="Times New Roman" w:cs="Times New Roman"/>
          <w:b/>
          <w:sz w:val="24"/>
          <w:szCs w:val="24"/>
        </w:rPr>
        <w:br w:type="page"/>
      </w:r>
    </w:p>
    <w:p w:rsidR="007A2FDF" w:rsidRDefault="007A2FDF" w:rsidP="007A2FDF">
      <w:pPr>
        <w:spacing w:line="240" w:lineRule="auto"/>
        <w:jc w:val="center"/>
        <w:rPr>
          <w:rFonts w:ascii="Times New Roman" w:hAnsi="Times New Roman" w:cs="Times New Roman"/>
          <w:b/>
          <w:sz w:val="24"/>
          <w:szCs w:val="24"/>
        </w:rPr>
      </w:pPr>
      <w:r w:rsidRPr="007A2FDF">
        <w:rPr>
          <w:rFonts w:ascii="Times New Roman" w:hAnsi="Times New Roman" w:cs="Times New Roman"/>
          <w:b/>
          <w:sz w:val="24"/>
          <w:szCs w:val="24"/>
        </w:rPr>
        <w:lastRenderedPageBreak/>
        <w:t xml:space="preserve">I. </w:t>
      </w:r>
    </w:p>
    <w:p w:rsidR="007A2FDF" w:rsidRPr="007A2FDF" w:rsidRDefault="007A2FDF" w:rsidP="007A2FDF">
      <w:pPr>
        <w:spacing w:line="240" w:lineRule="auto"/>
        <w:jc w:val="center"/>
        <w:rPr>
          <w:rFonts w:ascii="Times New Roman" w:hAnsi="Times New Roman" w:cs="Times New Roman"/>
          <w:b/>
          <w:sz w:val="24"/>
          <w:szCs w:val="24"/>
        </w:rPr>
      </w:pPr>
      <w:r w:rsidRPr="007A2FDF">
        <w:rPr>
          <w:rFonts w:ascii="Times New Roman" w:hAnsi="Times New Roman" w:cs="Times New Roman"/>
          <w:b/>
          <w:sz w:val="24"/>
          <w:szCs w:val="24"/>
        </w:rPr>
        <w:t>Úvodní ustanovení</w:t>
      </w:r>
    </w:p>
    <w:p w:rsidR="007A2FDF" w:rsidRP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t>1.</w:t>
      </w:r>
      <w:r w:rsidRPr="007A2FDF">
        <w:rPr>
          <w:rFonts w:ascii="Times New Roman" w:hAnsi="Times New Roman" w:cs="Times New Roman"/>
          <w:sz w:val="24"/>
          <w:szCs w:val="24"/>
        </w:rPr>
        <w:tab/>
        <w:t xml:space="preserve">Příkazce je ve smyslu § 4 odst. 1 písm. d) zákona č. 134/2016 Sb. o zadávání veřejných zakázek (dále jen „ZZVZ“) veřejným zadavatelem. Příkazce má v úmyslu zadat veřejnou zakázku na výběr provozovatele Domu sociálních služeb Praha 3, který bude sdružovat zařízení pro seniory ve třech objektech na území Prahy 3 (dále jen „veřejná zakázka“). Bližší podmínky příkazcem zvažovaného způsobu zadání veřejné zakázky a </w:t>
      </w:r>
      <w:r w:rsidRPr="005B2BBF">
        <w:rPr>
          <w:rFonts w:ascii="Times New Roman" w:hAnsi="Times New Roman" w:cs="Times New Roman"/>
          <w:sz w:val="24"/>
          <w:szCs w:val="24"/>
        </w:rPr>
        <w:t>obsahu smluvního vztahu s dodavatelem jsou popsány v příloze č. 1 této smlouvy (“Podklad pro výběr administrátora zakázky“), která je její nedílnou součástí.</w:t>
      </w:r>
    </w:p>
    <w:p w:rsidR="007A2FDF" w:rsidRP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t>2.</w:t>
      </w:r>
      <w:r w:rsidRPr="007A2FDF">
        <w:rPr>
          <w:rFonts w:ascii="Times New Roman" w:hAnsi="Times New Roman" w:cs="Times New Roman"/>
          <w:sz w:val="24"/>
          <w:szCs w:val="24"/>
        </w:rPr>
        <w:tab/>
        <w:t>Účelem této smlouvy je zajištění přípravy a realizace zadávacího řízení na veřejnou zakázku příkazníkem.</w:t>
      </w:r>
    </w:p>
    <w:p w:rsidR="007A2FDF" w:rsidRPr="007A2FDF" w:rsidRDefault="007A2FDF" w:rsidP="007A2FDF">
      <w:pPr>
        <w:spacing w:line="240" w:lineRule="auto"/>
        <w:jc w:val="both"/>
        <w:rPr>
          <w:rFonts w:ascii="Times New Roman" w:hAnsi="Times New Roman" w:cs="Times New Roman"/>
          <w:sz w:val="24"/>
          <w:szCs w:val="24"/>
        </w:rPr>
      </w:pPr>
    </w:p>
    <w:p w:rsidR="007A2FDF" w:rsidRDefault="007A2FDF" w:rsidP="007A2FDF">
      <w:pPr>
        <w:spacing w:line="240" w:lineRule="auto"/>
        <w:jc w:val="center"/>
        <w:rPr>
          <w:rFonts w:ascii="Times New Roman" w:hAnsi="Times New Roman" w:cs="Times New Roman"/>
          <w:b/>
          <w:sz w:val="24"/>
          <w:szCs w:val="24"/>
        </w:rPr>
      </w:pPr>
      <w:r w:rsidRPr="007A2FDF">
        <w:rPr>
          <w:rFonts w:ascii="Times New Roman" w:hAnsi="Times New Roman" w:cs="Times New Roman"/>
          <w:b/>
          <w:sz w:val="24"/>
          <w:szCs w:val="24"/>
        </w:rPr>
        <w:t xml:space="preserve">II. </w:t>
      </w:r>
    </w:p>
    <w:p w:rsidR="007A2FDF" w:rsidRPr="007A2FDF" w:rsidRDefault="007A2FDF" w:rsidP="007A2FDF">
      <w:pPr>
        <w:spacing w:line="240" w:lineRule="auto"/>
        <w:jc w:val="center"/>
        <w:rPr>
          <w:rFonts w:ascii="Times New Roman" w:hAnsi="Times New Roman" w:cs="Times New Roman"/>
          <w:b/>
          <w:sz w:val="24"/>
          <w:szCs w:val="24"/>
        </w:rPr>
      </w:pPr>
      <w:r w:rsidRPr="007A2FDF">
        <w:rPr>
          <w:rFonts w:ascii="Times New Roman" w:hAnsi="Times New Roman" w:cs="Times New Roman"/>
          <w:b/>
          <w:sz w:val="24"/>
          <w:szCs w:val="24"/>
        </w:rPr>
        <w:t>Předmět smlouvy</w:t>
      </w:r>
    </w:p>
    <w:p w:rsidR="007A2FDF" w:rsidRP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t>1.</w:t>
      </w:r>
      <w:r w:rsidRPr="007A2FDF">
        <w:rPr>
          <w:rFonts w:ascii="Times New Roman" w:hAnsi="Times New Roman" w:cs="Times New Roman"/>
          <w:sz w:val="24"/>
          <w:szCs w:val="24"/>
        </w:rPr>
        <w:tab/>
        <w:t>Předmětem této smlouvy jsou práva a povinnosti smluvních stran v rámci přípravy a organizačního zajištění zadávacího řízení pro zadání veřejné zakázky. S ohledem na předmět veřejné zakázky bude zakázka v souladu s § 15 ZZVZ zadána jako koncese na služby ve zjednodušeném režimu ve smyslu § 129 ZZVZ. Touto smlouvou se příkazník zavazuje, že pro příkazce komplexně připraví a organizačně zajistí celé zadávací řízení na zadání veřejné zakázky a příkazce se zavazuje mu za to zaplatit odměnu sjednanou dle článku IV. této smlouvy.</w:t>
      </w:r>
    </w:p>
    <w:p w:rsidR="007A2FDF" w:rsidRP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t>2.</w:t>
      </w:r>
      <w:r w:rsidRPr="007A2FDF">
        <w:rPr>
          <w:rFonts w:ascii="Times New Roman" w:hAnsi="Times New Roman" w:cs="Times New Roman"/>
          <w:sz w:val="24"/>
          <w:szCs w:val="24"/>
        </w:rPr>
        <w:tab/>
        <w:t xml:space="preserve">Příkazník je pro příkazce povinen zajistit komplexní administraci zadávání výše uvedené veřejné zakázky, včetně odborného poradenství. V rámci přípravy a organizačního zajištění zadávacího řízení příkazník zajistí zejména následující činnosti: </w:t>
      </w:r>
    </w:p>
    <w:p w:rsidR="007A2FDF" w:rsidRPr="007A2FDF" w:rsidRDefault="007A2FDF" w:rsidP="007A2FDF">
      <w:pPr>
        <w:spacing w:line="240" w:lineRule="auto"/>
        <w:jc w:val="both"/>
        <w:rPr>
          <w:rFonts w:ascii="Times New Roman" w:hAnsi="Times New Roman" w:cs="Times New Roman"/>
          <w:sz w:val="24"/>
          <w:szCs w:val="24"/>
        </w:rPr>
      </w:pPr>
    </w:p>
    <w:p w:rsidR="007A2FDF" w:rsidRPr="007A2FDF" w:rsidRDefault="007A2FDF" w:rsidP="007A2FDF">
      <w:pPr>
        <w:spacing w:line="240" w:lineRule="auto"/>
        <w:jc w:val="both"/>
        <w:rPr>
          <w:rFonts w:ascii="Times New Roman" w:hAnsi="Times New Roman" w:cs="Times New Roman"/>
          <w:b/>
          <w:sz w:val="24"/>
          <w:szCs w:val="24"/>
        </w:rPr>
      </w:pPr>
      <w:r w:rsidRPr="007A2FDF">
        <w:rPr>
          <w:rFonts w:ascii="Times New Roman" w:hAnsi="Times New Roman" w:cs="Times New Roman"/>
          <w:b/>
          <w:sz w:val="24"/>
          <w:szCs w:val="24"/>
        </w:rPr>
        <w:t>I.</w:t>
      </w:r>
      <w:r w:rsidRPr="007A2FDF">
        <w:rPr>
          <w:rFonts w:ascii="Times New Roman" w:hAnsi="Times New Roman" w:cs="Times New Roman"/>
          <w:b/>
          <w:sz w:val="24"/>
          <w:szCs w:val="24"/>
        </w:rPr>
        <w:tab/>
        <w:t>Strategie transakce</w:t>
      </w:r>
    </w:p>
    <w:p w:rsidR="007A2FDF" w:rsidRPr="007A2FDF" w:rsidRDefault="007A2FDF" w:rsidP="007A2FDF">
      <w:pPr>
        <w:spacing w:line="240" w:lineRule="auto"/>
        <w:ind w:left="709" w:hanging="709"/>
        <w:jc w:val="both"/>
        <w:rPr>
          <w:rFonts w:ascii="Times New Roman" w:hAnsi="Times New Roman" w:cs="Times New Roman"/>
          <w:sz w:val="24"/>
          <w:szCs w:val="24"/>
        </w:rPr>
      </w:pPr>
      <w:r w:rsidRPr="007A2FDF">
        <w:rPr>
          <w:rFonts w:ascii="Times New Roman" w:hAnsi="Times New Roman" w:cs="Times New Roman"/>
          <w:sz w:val="24"/>
          <w:szCs w:val="24"/>
        </w:rPr>
        <w:t>•</w:t>
      </w:r>
      <w:r w:rsidRPr="007A2FDF">
        <w:rPr>
          <w:rFonts w:ascii="Times New Roman" w:hAnsi="Times New Roman" w:cs="Times New Roman"/>
          <w:sz w:val="24"/>
          <w:szCs w:val="24"/>
        </w:rPr>
        <w:tab/>
        <w:t>vstupní jednání, studium a revize předaných podkladů, zařazení předmětu zakázky podle typu, konzultace ke způsobu zadání zakázky v zadávacím řízení,</w:t>
      </w:r>
    </w:p>
    <w:p w:rsidR="007A2FDF" w:rsidRPr="007A2FDF" w:rsidRDefault="007A2FDF" w:rsidP="007A2FDF">
      <w:pPr>
        <w:spacing w:line="240" w:lineRule="auto"/>
        <w:ind w:left="709" w:hanging="709"/>
        <w:jc w:val="both"/>
        <w:rPr>
          <w:rFonts w:ascii="Times New Roman" w:hAnsi="Times New Roman" w:cs="Times New Roman"/>
          <w:sz w:val="24"/>
          <w:szCs w:val="24"/>
        </w:rPr>
      </w:pPr>
      <w:r w:rsidRPr="007A2FDF">
        <w:rPr>
          <w:rFonts w:ascii="Times New Roman" w:hAnsi="Times New Roman" w:cs="Times New Roman"/>
          <w:sz w:val="24"/>
          <w:szCs w:val="24"/>
        </w:rPr>
        <w:t>•</w:t>
      </w:r>
      <w:r w:rsidRPr="007A2FDF">
        <w:rPr>
          <w:rFonts w:ascii="Times New Roman" w:hAnsi="Times New Roman" w:cs="Times New Roman"/>
          <w:sz w:val="24"/>
          <w:szCs w:val="24"/>
        </w:rPr>
        <w:tab/>
        <w:t xml:space="preserve">prověření hlavních parametrů smluvního vztahu (transakce) mezi zadavatelem a provozovatelem a jejich charakteru z hlediska ZZVZ a prověření zadavatelem předpokládaného druhu zadávacího řízení,  </w:t>
      </w:r>
    </w:p>
    <w:p w:rsidR="007A2FDF" w:rsidRPr="007A2FDF" w:rsidRDefault="007A2FDF" w:rsidP="007A2FDF">
      <w:pPr>
        <w:spacing w:line="240" w:lineRule="auto"/>
        <w:ind w:left="709" w:hanging="709"/>
        <w:jc w:val="both"/>
        <w:rPr>
          <w:rFonts w:ascii="Times New Roman" w:hAnsi="Times New Roman" w:cs="Times New Roman"/>
          <w:sz w:val="24"/>
          <w:szCs w:val="24"/>
        </w:rPr>
      </w:pPr>
      <w:r w:rsidRPr="007A2FDF">
        <w:rPr>
          <w:rFonts w:ascii="Times New Roman" w:hAnsi="Times New Roman" w:cs="Times New Roman"/>
          <w:sz w:val="24"/>
          <w:szCs w:val="24"/>
        </w:rPr>
        <w:t>•</w:t>
      </w:r>
      <w:r w:rsidRPr="007A2FDF">
        <w:rPr>
          <w:rFonts w:ascii="Times New Roman" w:hAnsi="Times New Roman" w:cs="Times New Roman"/>
          <w:sz w:val="24"/>
          <w:szCs w:val="24"/>
        </w:rPr>
        <w:tab/>
        <w:t>prověření závazků a překážek realizace transakce a omezení ve vztahu k budoucímu využití objektu,</w:t>
      </w:r>
    </w:p>
    <w:p w:rsidR="007A2FDF" w:rsidRPr="007A2FDF" w:rsidRDefault="007A2FDF" w:rsidP="007A2FDF">
      <w:pPr>
        <w:spacing w:line="240" w:lineRule="auto"/>
        <w:ind w:left="709" w:hanging="709"/>
        <w:jc w:val="both"/>
        <w:rPr>
          <w:rFonts w:ascii="Times New Roman" w:hAnsi="Times New Roman" w:cs="Times New Roman"/>
          <w:sz w:val="24"/>
          <w:szCs w:val="24"/>
        </w:rPr>
      </w:pPr>
      <w:r w:rsidRPr="007A2FDF">
        <w:rPr>
          <w:rFonts w:ascii="Times New Roman" w:hAnsi="Times New Roman" w:cs="Times New Roman"/>
          <w:sz w:val="24"/>
          <w:szCs w:val="24"/>
        </w:rPr>
        <w:t>•</w:t>
      </w:r>
      <w:r w:rsidRPr="007A2FDF">
        <w:rPr>
          <w:rFonts w:ascii="Times New Roman" w:hAnsi="Times New Roman" w:cs="Times New Roman"/>
          <w:sz w:val="24"/>
          <w:szCs w:val="24"/>
        </w:rPr>
        <w:tab/>
        <w:t>stanovení strategie transakce, doporučení konkrétního způsobu realizace, formy dialogu s uchazeči a vytvoření harmonogramu zadání veřejné zakázky.</w:t>
      </w:r>
    </w:p>
    <w:p w:rsidR="00A01AE1" w:rsidRDefault="00A01AE1">
      <w:pPr>
        <w:rPr>
          <w:rFonts w:ascii="Times New Roman" w:hAnsi="Times New Roman" w:cs="Times New Roman"/>
          <w:b/>
          <w:sz w:val="24"/>
          <w:szCs w:val="24"/>
        </w:rPr>
      </w:pPr>
      <w:r>
        <w:rPr>
          <w:rFonts w:ascii="Times New Roman" w:hAnsi="Times New Roman" w:cs="Times New Roman"/>
          <w:b/>
          <w:sz w:val="24"/>
          <w:szCs w:val="24"/>
        </w:rPr>
        <w:br w:type="page"/>
      </w:r>
    </w:p>
    <w:p w:rsidR="007A2FDF" w:rsidRPr="007A2FDF" w:rsidRDefault="007A2FDF" w:rsidP="007A2FDF">
      <w:pPr>
        <w:spacing w:line="240" w:lineRule="auto"/>
        <w:ind w:left="709" w:hanging="709"/>
        <w:jc w:val="both"/>
        <w:rPr>
          <w:rFonts w:ascii="Times New Roman" w:hAnsi="Times New Roman" w:cs="Times New Roman"/>
          <w:b/>
          <w:sz w:val="24"/>
          <w:szCs w:val="24"/>
        </w:rPr>
      </w:pPr>
      <w:r>
        <w:rPr>
          <w:rFonts w:ascii="Times New Roman" w:hAnsi="Times New Roman" w:cs="Times New Roman"/>
          <w:b/>
          <w:sz w:val="24"/>
          <w:szCs w:val="24"/>
        </w:rPr>
        <w:lastRenderedPageBreak/>
        <w:t>II.</w:t>
      </w:r>
      <w:r>
        <w:rPr>
          <w:rFonts w:ascii="Times New Roman" w:hAnsi="Times New Roman" w:cs="Times New Roman"/>
          <w:b/>
          <w:sz w:val="24"/>
          <w:szCs w:val="24"/>
        </w:rPr>
        <w:tab/>
        <w:t>Přípravná fáze</w:t>
      </w:r>
    </w:p>
    <w:p w:rsidR="007A2FDF" w:rsidRPr="007A2FDF" w:rsidRDefault="007A2FDF" w:rsidP="007A2FDF">
      <w:pPr>
        <w:spacing w:line="240" w:lineRule="auto"/>
        <w:ind w:left="709" w:hanging="709"/>
        <w:jc w:val="both"/>
        <w:rPr>
          <w:rFonts w:ascii="Times New Roman" w:hAnsi="Times New Roman" w:cs="Times New Roman"/>
          <w:sz w:val="24"/>
          <w:szCs w:val="24"/>
        </w:rPr>
      </w:pPr>
      <w:r w:rsidRPr="007A2FDF">
        <w:rPr>
          <w:rFonts w:ascii="Times New Roman" w:hAnsi="Times New Roman" w:cs="Times New Roman"/>
          <w:sz w:val="24"/>
          <w:szCs w:val="24"/>
        </w:rPr>
        <w:t>•</w:t>
      </w:r>
      <w:r w:rsidRPr="007A2FDF">
        <w:rPr>
          <w:rFonts w:ascii="Times New Roman" w:hAnsi="Times New Roman" w:cs="Times New Roman"/>
          <w:sz w:val="24"/>
          <w:szCs w:val="24"/>
        </w:rPr>
        <w:tab/>
        <w:t>stanovení předpokládané hodnoty veřejné zakázky,</w:t>
      </w:r>
    </w:p>
    <w:p w:rsidR="007A2FDF" w:rsidRPr="007A2FDF" w:rsidRDefault="007A2FDF" w:rsidP="007A2FDF">
      <w:pPr>
        <w:spacing w:line="240" w:lineRule="auto"/>
        <w:ind w:left="709" w:hanging="709"/>
        <w:jc w:val="both"/>
        <w:rPr>
          <w:rFonts w:ascii="Times New Roman" w:hAnsi="Times New Roman" w:cs="Times New Roman"/>
          <w:sz w:val="24"/>
          <w:szCs w:val="24"/>
        </w:rPr>
      </w:pPr>
      <w:r w:rsidRPr="007A2FDF">
        <w:rPr>
          <w:rFonts w:ascii="Times New Roman" w:hAnsi="Times New Roman" w:cs="Times New Roman"/>
          <w:sz w:val="24"/>
          <w:szCs w:val="24"/>
        </w:rPr>
        <w:t>•</w:t>
      </w:r>
      <w:r w:rsidRPr="007A2FDF">
        <w:rPr>
          <w:rFonts w:ascii="Times New Roman" w:hAnsi="Times New Roman" w:cs="Times New Roman"/>
          <w:sz w:val="24"/>
          <w:szCs w:val="24"/>
        </w:rPr>
        <w:tab/>
        <w:t>návrh zadávací dokumentace, která bude zahrnovat mimo jiné i návrh smlo</w:t>
      </w:r>
      <w:r>
        <w:rPr>
          <w:rFonts w:ascii="Times New Roman" w:hAnsi="Times New Roman" w:cs="Times New Roman"/>
          <w:sz w:val="24"/>
          <w:szCs w:val="24"/>
        </w:rPr>
        <w:t xml:space="preserve">uvy na plnění veřejné zakázky, </w:t>
      </w:r>
    </w:p>
    <w:p w:rsidR="007A2FDF" w:rsidRPr="007A2FDF" w:rsidRDefault="007A2FDF" w:rsidP="007A2FDF">
      <w:pPr>
        <w:spacing w:line="240" w:lineRule="auto"/>
        <w:ind w:left="709" w:hanging="709"/>
        <w:jc w:val="both"/>
        <w:rPr>
          <w:rFonts w:ascii="Times New Roman" w:hAnsi="Times New Roman" w:cs="Times New Roman"/>
          <w:sz w:val="24"/>
          <w:szCs w:val="24"/>
        </w:rPr>
      </w:pPr>
      <w:r w:rsidRPr="007A2FDF">
        <w:rPr>
          <w:rFonts w:ascii="Times New Roman" w:hAnsi="Times New Roman" w:cs="Times New Roman"/>
          <w:sz w:val="24"/>
          <w:szCs w:val="24"/>
        </w:rPr>
        <w:t>•</w:t>
      </w:r>
      <w:r w:rsidRPr="007A2FDF">
        <w:rPr>
          <w:rFonts w:ascii="Times New Roman" w:hAnsi="Times New Roman" w:cs="Times New Roman"/>
          <w:sz w:val="24"/>
          <w:szCs w:val="24"/>
        </w:rPr>
        <w:tab/>
        <w:t>po schválení příkazcem kompletace a vyhotovení finá</w:t>
      </w:r>
      <w:r>
        <w:rPr>
          <w:rFonts w:ascii="Times New Roman" w:hAnsi="Times New Roman" w:cs="Times New Roman"/>
          <w:sz w:val="24"/>
          <w:szCs w:val="24"/>
        </w:rPr>
        <w:t xml:space="preserve">lní verze zadávací dokumentace </w:t>
      </w:r>
    </w:p>
    <w:p w:rsidR="007A2FDF" w:rsidRPr="007A2FDF" w:rsidRDefault="007A2FDF" w:rsidP="007A2FDF">
      <w:pPr>
        <w:spacing w:line="240" w:lineRule="auto"/>
        <w:ind w:left="709" w:hanging="709"/>
        <w:jc w:val="both"/>
        <w:rPr>
          <w:rFonts w:ascii="Times New Roman" w:hAnsi="Times New Roman" w:cs="Times New Roman"/>
          <w:sz w:val="24"/>
          <w:szCs w:val="24"/>
        </w:rPr>
      </w:pPr>
      <w:r w:rsidRPr="007A2FDF">
        <w:rPr>
          <w:rFonts w:ascii="Times New Roman" w:hAnsi="Times New Roman" w:cs="Times New Roman"/>
          <w:sz w:val="24"/>
          <w:szCs w:val="24"/>
        </w:rPr>
        <w:t>•</w:t>
      </w:r>
      <w:r w:rsidRPr="007A2FDF">
        <w:rPr>
          <w:rFonts w:ascii="Times New Roman" w:hAnsi="Times New Roman" w:cs="Times New Roman"/>
          <w:sz w:val="24"/>
          <w:szCs w:val="24"/>
        </w:rPr>
        <w:tab/>
        <w:t>zpracování předběžného oznámení zadávacího řízení a zajištění jeho zveřejnění ve Věstníku veřejných zakázek a Úředním věstníku Evropské unie (bude-li to s ohledem na předpokládanou hodnotu veřejné zakázky nezbytné) na účet příkazce.</w:t>
      </w:r>
    </w:p>
    <w:p w:rsidR="007A2FDF" w:rsidRPr="007A2FDF" w:rsidRDefault="007A2FDF" w:rsidP="007A2FDF">
      <w:pPr>
        <w:spacing w:line="240" w:lineRule="auto"/>
        <w:ind w:left="709" w:hanging="709"/>
        <w:jc w:val="both"/>
        <w:rPr>
          <w:rFonts w:ascii="Times New Roman" w:hAnsi="Times New Roman" w:cs="Times New Roman"/>
          <w:sz w:val="24"/>
          <w:szCs w:val="24"/>
        </w:rPr>
      </w:pPr>
    </w:p>
    <w:p w:rsidR="007A2FDF" w:rsidRPr="007A2FDF" w:rsidRDefault="007A2FDF" w:rsidP="007A2FDF">
      <w:pPr>
        <w:spacing w:line="240" w:lineRule="auto"/>
        <w:ind w:left="709" w:hanging="709"/>
        <w:jc w:val="both"/>
        <w:rPr>
          <w:rFonts w:ascii="Times New Roman" w:hAnsi="Times New Roman" w:cs="Times New Roman"/>
          <w:b/>
          <w:sz w:val="24"/>
          <w:szCs w:val="24"/>
        </w:rPr>
      </w:pPr>
      <w:r>
        <w:rPr>
          <w:rFonts w:ascii="Times New Roman" w:hAnsi="Times New Roman" w:cs="Times New Roman"/>
          <w:b/>
          <w:sz w:val="24"/>
          <w:szCs w:val="24"/>
        </w:rPr>
        <w:t>III.</w:t>
      </w:r>
      <w:r>
        <w:rPr>
          <w:rFonts w:ascii="Times New Roman" w:hAnsi="Times New Roman" w:cs="Times New Roman"/>
          <w:b/>
          <w:sz w:val="24"/>
          <w:szCs w:val="24"/>
        </w:rPr>
        <w:tab/>
        <w:t>Zadávací řízení</w:t>
      </w:r>
    </w:p>
    <w:p w:rsidR="007A2FDF" w:rsidRPr="007A2FDF" w:rsidRDefault="007A2FDF" w:rsidP="007A2FDF">
      <w:pPr>
        <w:spacing w:line="240" w:lineRule="auto"/>
        <w:ind w:left="709" w:hanging="709"/>
        <w:jc w:val="both"/>
        <w:rPr>
          <w:rFonts w:ascii="Times New Roman" w:hAnsi="Times New Roman" w:cs="Times New Roman"/>
          <w:sz w:val="24"/>
          <w:szCs w:val="24"/>
        </w:rPr>
      </w:pPr>
      <w:r w:rsidRPr="007A2FDF">
        <w:rPr>
          <w:rFonts w:ascii="Times New Roman" w:hAnsi="Times New Roman" w:cs="Times New Roman"/>
          <w:sz w:val="24"/>
          <w:szCs w:val="24"/>
        </w:rPr>
        <w:t>•</w:t>
      </w:r>
      <w:r w:rsidRPr="007A2FDF">
        <w:rPr>
          <w:rFonts w:ascii="Times New Roman" w:hAnsi="Times New Roman" w:cs="Times New Roman"/>
          <w:sz w:val="24"/>
          <w:szCs w:val="24"/>
        </w:rPr>
        <w:tab/>
        <w:t>kvalifikace oslovených uchazečů,</w:t>
      </w:r>
    </w:p>
    <w:p w:rsidR="007A2FDF" w:rsidRPr="007A2FDF" w:rsidRDefault="007A2FDF" w:rsidP="007A2FDF">
      <w:pPr>
        <w:spacing w:line="240" w:lineRule="auto"/>
        <w:ind w:left="709" w:hanging="709"/>
        <w:jc w:val="both"/>
        <w:rPr>
          <w:rFonts w:ascii="Times New Roman" w:hAnsi="Times New Roman" w:cs="Times New Roman"/>
          <w:sz w:val="24"/>
          <w:szCs w:val="24"/>
        </w:rPr>
      </w:pPr>
      <w:r w:rsidRPr="007A2FDF">
        <w:rPr>
          <w:rFonts w:ascii="Times New Roman" w:hAnsi="Times New Roman" w:cs="Times New Roman"/>
          <w:sz w:val="24"/>
          <w:szCs w:val="24"/>
        </w:rPr>
        <w:t>•</w:t>
      </w:r>
      <w:r w:rsidRPr="007A2FDF">
        <w:rPr>
          <w:rFonts w:ascii="Times New Roman" w:hAnsi="Times New Roman" w:cs="Times New Roman"/>
          <w:sz w:val="24"/>
          <w:szCs w:val="24"/>
        </w:rPr>
        <w:tab/>
        <w:t xml:space="preserve">diskuze nad smluvními parametry (návrhem smluvní dokumentace) formou dialogu s uchazeči (očekávaný rozsah 2 – 3 kol jednání s každým z uchazečů), </w:t>
      </w:r>
    </w:p>
    <w:p w:rsidR="007A2FDF" w:rsidRPr="007A2FDF" w:rsidRDefault="007A2FDF" w:rsidP="007A2FDF">
      <w:pPr>
        <w:spacing w:line="240" w:lineRule="auto"/>
        <w:ind w:left="709" w:hanging="709"/>
        <w:jc w:val="both"/>
        <w:rPr>
          <w:rFonts w:ascii="Times New Roman" w:hAnsi="Times New Roman" w:cs="Times New Roman"/>
          <w:sz w:val="24"/>
          <w:szCs w:val="24"/>
        </w:rPr>
      </w:pPr>
      <w:r w:rsidRPr="007A2FDF">
        <w:rPr>
          <w:rFonts w:ascii="Times New Roman" w:hAnsi="Times New Roman" w:cs="Times New Roman"/>
          <w:sz w:val="24"/>
          <w:szCs w:val="24"/>
        </w:rPr>
        <w:t>•</w:t>
      </w:r>
      <w:r w:rsidRPr="007A2FDF">
        <w:rPr>
          <w:rFonts w:ascii="Times New Roman" w:hAnsi="Times New Roman" w:cs="Times New Roman"/>
          <w:sz w:val="24"/>
          <w:szCs w:val="24"/>
        </w:rPr>
        <w:tab/>
        <w:t xml:space="preserve">výzva k podání nabídek, hodnocení nabídek, </w:t>
      </w:r>
    </w:p>
    <w:p w:rsidR="007A2FDF" w:rsidRPr="007A2FDF" w:rsidRDefault="007A2FDF" w:rsidP="007A2FDF">
      <w:pPr>
        <w:spacing w:line="240" w:lineRule="auto"/>
        <w:ind w:left="709" w:hanging="709"/>
        <w:jc w:val="both"/>
        <w:rPr>
          <w:rFonts w:ascii="Times New Roman" w:hAnsi="Times New Roman" w:cs="Times New Roman"/>
          <w:sz w:val="24"/>
          <w:szCs w:val="24"/>
        </w:rPr>
      </w:pPr>
      <w:r w:rsidRPr="007A2FDF">
        <w:rPr>
          <w:rFonts w:ascii="Times New Roman" w:hAnsi="Times New Roman" w:cs="Times New Roman"/>
          <w:sz w:val="24"/>
          <w:szCs w:val="24"/>
        </w:rPr>
        <w:t>•</w:t>
      </w:r>
      <w:r w:rsidRPr="007A2FDF">
        <w:rPr>
          <w:rFonts w:ascii="Times New Roman" w:hAnsi="Times New Roman" w:cs="Times New Roman"/>
          <w:sz w:val="24"/>
          <w:szCs w:val="24"/>
        </w:rPr>
        <w:tab/>
        <w:t>konzultační a poradenská činnost v průběhu lhůty pro podání nabídek - příjem a zajištění odpovědí na dotazy zájemců,</w:t>
      </w:r>
    </w:p>
    <w:p w:rsidR="007A2FDF" w:rsidRPr="007A2FDF" w:rsidRDefault="007A2FDF" w:rsidP="007A2FDF">
      <w:pPr>
        <w:spacing w:line="240" w:lineRule="auto"/>
        <w:ind w:left="709" w:hanging="709"/>
        <w:jc w:val="both"/>
        <w:rPr>
          <w:rFonts w:ascii="Times New Roman" w:hAnsi="Times New Roman" w:cs="Times New Roman"/>
          <w:sz w:val="24"/>
          <w:szCs w:val="24"/>
        </w:rPr>
      </w:pPr>
      <w:r w:rsidRPr="007A2FDF">
        <w:rPr>
          <w:rFonts w:ascii="Times New Roman" w:hAnsi="Times New Roman" w:cs="Times New Roman"/>
          <w:sz w:val="24"/>
          <w:szCs w:val="24"/>
        </w:rPr>
        <w:t>•</w:t>
      </w:r>
      <w:r w:rsidRPr="007A2FDF">
        <w:rPr>
          <w:rFonts w:ascii="Times New Roman" w:hAnsi="Times New Roman" w:cs="Times New Roman"/>
          <w:sz w:val="24"/>
          <w:szCs w:val="24"/>
        </w:rPr>
        <w:tab/>
        <w:t>příprava podkladů pro jmenování členů komisí,</w:t>
      </w:r>
    </w:p>
    <w:p w:rsidR="007A2FDF" w:rsidRPr="007A2FDF" w:rsidRDefault="007A2FDF" w:rsidP="007A2FDF">
      <w:pPr>
        <w:spacing w:line="240" w:lineRule="auto"/>
        <w:ind w:left="709" w:hanging="709"/>
        <w:jc w:val="both"/>
        <w:rPr>
          <w:rFonts w:ascii="Times New Roman" w:hAnsi="Times New Roman" w:cs="Times New Roman"/>
          <w:sz w:val="24"/>
          <w:szCs w:val="24"/>
        </w:rPr>
      </w:pPr>
      <w:r w:rsidRPr="007A2FDF">
        <w:rPr>
          <w:rFonts w:ascii="Times New Roman" w:hAnsi="Times New Roman" w:cs="Times New Roman"/>
          <w:sz w:val="24"/>
          <w:szCs w:val="24"/>
        </w:rPr>
        <w:t>•</w:t>
      </w:r>
      <w:r w:rsidRPr="007A2FDF">
        <w:rPr>
          <w:rFonts w:ascii="Times New Roman" w:hAnsi="Times New Roman" w:cs="Times New Roman"/>
          <w:sz w:val="24"/>
          <w:szCs w:val="24"/>
        </w:rPr>
        <w:tab/>
        <w:t>příprava podkladů pro příjem nabídek a otevírání obálek a koordinace,</w:t>
      </w:r>
    </w:p>
    <w:p w:rsidR="007A2FDF" w:rsidRPr="007A2FDF" w:rsidRDefault="007A2FDF" w:rsidP="007A2FDF">
      <w:pPr>
        <w:spacing w:line="240" w:lineRule="auto"/>
        <w:ind w:left="709" w:hanging="709"/>
        <w:jc w:val="both"/>
        <w:rPr>
          <w:rFonts w:ascii="Times New Roman" w:hAnsi="Times New Roman" w:cs="Times New Roman"/>
          <w:sz w:val="24"/>
          <w:szCs w:val="24"/>
        </w:rPr>
      </w:pPr>
      <w:r w:rsidRPr="007A2FDF">
        <w:rPr>
          <w:rFonts w:ascii="Times New Roman" w:hAnsi="Times New Roman" w:cs="Times New Roman"/>
          <w:sz w:val="24"/>
          <w:szCs w:val="24"/>
        </w:rPr>
        <w:t>•</w:t>
      </w:r>
      <w:r w:rsidRPr="007A2FDF">
        <w:rPr>
          <w:rFonts w:ascii="Times New Roman" w:hAnsi="Times New Roman" w:cs="Times New Roman"/>
          <w:sz w:val="24"/>
          <w:szCs w:val="24"/>
        </w:rPr>
        <w:tab/>
        <w:t>účast v komisi pro otevírání obálek, zpracování protokolu o otevírání obálek,</w:t>
      </w:r>
    </w:p>
    <w:p w:rsidR="007A2FDF" w:rsidRPr="007A2FDF" w:rsidRDefault="007A2FDF" w:rsidP="007A2FDF">
      <w:pPr>
        <w:spacing w:line="240" w:lineRule="auto"/>
        <w:ind w:left="709" w:hanging="709"/>
        <w:jc w:val="both"/>
        <w:rPr>
          <w:rFonts w:ascii="Times New Roman" w:hAnsi="Times New Roman" w:cs="Times New Roman"/>
          <w:sz w:val="24"/>
          <w:szCs w:val="24"/>
        </w:rPr>
      </w:pPr>
      <w:r w:rsidRPr="007A2FDF">
        <w:rPr>
          <w:rFonts w:ascii="Times New Roman" w:hAnsi="Times New Roman" w:cs="Times New Roman"/>
          <w:sz w:val="24"/>
          <w:szCs w:val="24"/>
        </w:rPr>
        <w:t>•</w:t>
      </w:r>
      <w:r w:rsidRPr="007A2FDF">
        <w:rPr>
          <w:rFonts w:ascii="Times New Roman" w:hAnsi="Times New Roman" w:cs="Times New Roman"/>
          <w:sz w:val="24"/>
          <w:szCs w:val="24"/>
        </w:rPr>
        <w:tab/>
        <w:t>příprava podkladů pro jednání komisí v rámci posuzování a hodnocení nabídek,</w:t>
      </w:r>
    </w:p>
    <w:p w:rsidR="007A2FDF" w:rsidRPr="007A2FDF" w:rsidRDefault="007A2FDF" w:rsidP="007A2FDF">
      <w:pPr>
        <w:spacing w:line="240" w:lineRule="auto"/>
        <w:ind w:left="709" w:hanging="709"/>
        <w:jc w:val="both"/>
        <w:rPr>
          <w:rFonts w:ascii="Times New Roman" w:hAnsi="Times New Roman" w:cs="Times New Roman"/>
          <w:sz w:val="24"/>
          <w:szCs w:val="24"/>
        </w:rPr>
      </w:pPr>
      <w:r w:rsidRPr="007A2FDF">
        <w:rPr>
          <w:rFonts w:ascii="Times New Roman" w:hAnsi="Times New Roman" w:cs="Times New Roman"/>
          <w:sz w:val="24"/>
          <w:szCs w:val="24"/>
        </w:rPr>
        <w:t>•</w:t>
      </w:r>
      <w:r w:rsidRPr="007A2FDF">
        <w:rPr>
          <w:rFonts w:ascii="Times New Roman" w:hAnsi="Times New Roman" w:cs="Times New Roman"/>
          <w:sz w:val="24"/>
          <w:szCs w:val="24"/>
        </w:rPr>
        <w:tab/>
        <w:t xml:space="preserve">k požadavku příkazce účast a poradenská činnost při jednáních jednotlivých komisí, </w:t>
      </w:r>
    </w:p>
    <w:p w:rsidR="007A2FDF" w:rsidRPr="007A2FDF" w:rsidRDefault="007A2FDF" w:rsidP="007A2FDF">
      <w:pPr>
        <w:spacing w:line="240" w:lineRule="auto"/>
        <w:ind w:left="709" w:hanging="709"/>
        <w:jc w:val="both"/>
        <w:rPr>
          <w:rFonts w:ascii="Times New Roman" w:hAnsi="Times New Roman" w:cs="Times New Roman"/>
          <w:sz w:val="24"/>
          <w:szCs w:val="24"/>
        </w:rPr>
      </w:pPr>
      <w:r w:rsidRPr="007A2FDF">
        <w:rPr>
          <w:rFonts w:ascii="Times New Roman" w:hAnsi="Times New Roman" w:cs="Times New Roman"/>
          <w:sz w:val="24"/>
          <w:szCs w:val="24"/>
        </w:rPr>
        <w:t>•</w:t>
      </w:r>
      <w:r w:rsidRPr="007A2FDF">
        <w:rPr>
          <w:rFonts w:ascii="Times New Roman" w:hAnsi="Times New Roman" w:cs="Times New Roman"/>
          <w:sz w:val="24"/>
          <w:szCs w:val="24"/>
        </w:rPr>
        <w:tab/>
        <w:t>zpracování protokolů z jednání jednotlivých komisí,</w:t>
      </w:r>
    </w:p>
    <w:p w:rsidR="007A2FDF" w:rsidRPr="007A2FDF" w:rsidRDefault="007A2FDF" w:rsidP="007A2FDF">
      <w:pPr>
        <w:spacing w:line="240" w:lineRule="auto"/>
        <w:ind w:left="709" w:hanging="709"/>
        <w:jc w:val="both"/>
        <w:rPr>
          <w:rFonts w:ascii="Times New Roman" w:hAnsi="Times New Roman" w:cs="Times New Roman"/>
          <w:sz w:val="24"/>
          <w:szCs w:val="24"/>
        </w:rPr>
      </w:pPr>
      <w:r w:rsidRPr="007A2FDF">
        <w:rPr>
          <w:rFonts w:ascii="Times New Roman" w:hAnsi="Times New Roman" w:cs="Times New Roman"/>
          <w:sz w:val="24"/>
          <w:szCs w:val="24"/>
        </w:rPr>
        <w:t>•</w:t>
      </w:r>
      <w:r w:rsidRPr="007A2FDF">
        <w:rPr>
          <w:rFonts w:ascii="Times New Roman" w:hAnsi="Times New Roman" w:cs="Times New Roman"/>
          <w:sz w:val="24"/>
          <w:szCs w:val="24"/>
        </w:rPr>
        <w:tab/>
        <w:t>zpracování textu rozhodnutí zadavatele o případném vyloučení uchazečů a oznámení těchto rozhodnutí příslušným uchazečům,</w:t>
      </w:r>
    </w:p>
    <w:p w:rsidR="007A2FDF" w:rsidRPr="007A2FDF" w:rsidRDefault="007A2FDF" w:rsidP="007A2FDF">
      <w:pPr>
        <w:spacing w:line="240" w:lineRule="auto"/>
        <w:ind w:left="709" w:hanging="709"/>
        <w:jc w:val="both"/>
        <w:rPr>
          <w:rFonts w:ascii="Times New Roman" w:hAnsi="Times New Roman" w:cs="Times New Roman"/>
          <w:sz w:val="24"/>
          <w:szCs w:val="24"/>
        </w:rPr>
      </w:pPr>
      <w:r w:rsidRPr="007A2FDF">
        <w:rPr>
          <w:rFonts w:ascii="Times New Roman" w:hAnsi="Times New Roman" w:cs="Times New Roman"/>
          <w:sz w:val="24"/>
          <w:szCs w:val="24"/>
        </w:rPr>
        <w:t>•</w:t>
      </w:r>
      <w:r w:rsidRPr="007A2FDF">
        <w:rPr>
          <w:rFonts w:ascii="Times New Roman" w:hAnsi="Times New Roman" w:cs="Times New Roman"/>
          <w:sz w:val="24"/>
          <w:szCs w:val="24"/>
        </w:rPr>
        <w:tab/>
        <w:t xml:space="preserve">zpracování rozhodnutí zadavatele o výběru nejvhodnější nabídky a oznámení těchto rozhodnutí příslušným uchazečům, </w:t>
      </w:r>
    </w:p>
    <w:p w:rsidR="007A2FDF" w:rsidRPr="007A2FDF" w:rsidRDefault="007A2FDF" w:rsidP="007A2FDF">
      <w:pPr>
        <w:spacing w:line="240" w:lineRule="auto"/>
        <w:ind w:left="709" w:hanging="709"/>
        <w:jc w:val="both"/>
        <w:rPr>
          <w:rFonts w:ascii="Times New Roman" w:hAnsi="Times New Roman" w:cs="Times New Roman"/>
          <w:sz w:val="24"/>
          <w:szCs w:val="24"/>
        </w:rPr>
      </w:pPr>
      <w:r w:rsidRPr="007A2FDF">
        <w:rPr>
          <w:rFonts w:ascii="Times New Roman" w:hAnsi="Times New Roman" w:cs="Times New Roman"/>
          <w:sz w:val="24"/>
          <w:szCs w:val="24"/>
        </w:rPr>
        <w:t>•</w:t>
      </w:r>
      <w:r w:rsidRPr="007A2FDF">
        <w:rPr>
          <w:rFonts w:ascii="Times New Roman" w:hAnsi="Times New Roman" w:cs="Times New Roman"/>
          <w:sz w:val="24"/>
          <w:szCs w:val="24"/>
        </w:rPr>
        <w:tab/>
        <w:t>zpracování rozhodnutí zadavatele o vyřízení námitek, budou-li podány,</w:t>
      </w:r>
    </w:p>
    <w:p w:rsidR="007A2FDF" w:rsidRPr="007A2FDF" w:rsidRDefault="007A2FDF" w:rsidP="007A2FDF">
      <w:pPr>
        <w:spacing w:line="240" w:lineRule="auto"/>
        <w:ind w:left="709" w:hanging="709"/>
        <w:jc w:val="both"/>
        <w:rPr>
          <w:rFonts w:ascii="Times New Roman" w:hAnsi="Times New Roman" w:cs="Times New Roman"/>
          <w:sz w:val="24"/>
          <w:szCs w:val="24"/>
        </w:rPr>
      </w:pPr>
      <w:r w:rsidRPr="007A2FDF">
        <w:rPr>
          <w:rFonts w:ascii="Times New Roman" w:hAnsi="Times New Roman" w:cs="Times New Roman"/>
          <w:sz w:val="24"/>
          <w:szCs w:val="24"/>
        </w:rPr>
        <w:t>•</w:t>
      </w:r>
      <w:r w:rsidRPr="007A2FDF">
        <w:rPr>
          <w:rFonts w:ascii="Times New Roman" w:hAnsi="Times New Roman" w:cs="Times New Roman"/>
          <w:sz w:val="24"/>
          <w:szCs w:val="24"/>
        </w:rPr>
        <w:tab/>
        <w:t xml:space="preserve">příprava podkladů a zajištění kvalifikovaného právního zastoupení příkazce v případě řízení vedeného před ÚOHS, </w:t>
      </w:r>
    </w:p>
    <w:p w:rsidR="007A2FDF" w:rsidRPr="007A2FDF" w:rsidRDefault="007A2FDF" w:rsidP="007A2FDF">
      <w:pPr>
        <w:spacing w:line="240" w:lineRule="auto"/>
        <w:ind w:left="709" w:hanging="709"/>
        <w:jc w:val="both"/>
        <w:rPr>
          <w:rFonts w:ascii="Times New Roman" w:hAnsi="Times New Roman" w:cs="Times New Roman"/>
          <w:sz w:val="24"/>
          <w:szCs w:val="24"/>
        </w:rPr>
      </w:pPr>
      <w:r w:rsidRPr="007A2FDF">
        <w:rPr>
          <w:rFonts w:ascii="Times New Roman" w:hAnsi="Times New Roman" w:cs="Times New Roman"/>
          <w:sz w:val="24"/>
          <w:szCs w:val="24"/>
        </w:rPr>
        <w:t>•</w:t>
      </w:r>
      <w:r w:rsidRPr="007A2FDF">
        <w:rPr>
          <w:rFonts w:ascii="Times New Roman" w:hAnsi="Times New Roman" w:cs="Times New Roman"/>
          <w:sz w:val="24"/>
          <w:szCs w:val="24"/>
        </w:rPr>
        <w:tab/>
        <w:t>příprava podkladů a žádosti o stanovisko Ministerstva financí k uzavření smlouvy,</w:t>
      </w:r>
    </w:p>
    <w:p w:rsidR="007A2FDF" w:rsidRPr="007A2FDF" w:rsidRDefault="007A2FDF" w:rsidP="007A2FDF">
      <w:pPr>
        <w:spacing w:line="240" w:lineRule="auto"/>
        <w:ind w:left="709" w:hanging="709"/>
        <w:jc w:val="both"/>
        <w:rPr>
          <w:rFonts w:ascii="Times New Roman" w:hAnsi="Times New Roman" w:cs="Times New Roman"/>
          <w:sz w:val="24"/>
          <w:szCs w:val="24"/>
        </w:rPr>
      </w:pPr>
      <w:r w:rsidRPr="007A2FDF">
        <w:rPr>
          <w:rFonts w:ascii="Times New Roman" w:hAnsi="Times New Roman" w:cs="Times New Roman"/>
          <w:sz w:val="24"/>
          <w:szCs w:val="24"/>
        </w:rPr>
        <w:t>•</w:t>
      </w:r>
      <w:r w:rsidRPr="007A2FDF">
        <w:rPr>
          <w:rFonts w:ascii="Times New Roman" w:hAnsi="Times New Roman" w:cs="Times New Roman"/>
          <w:sz w:val="24"/>
          <w:szCs w:val="24"/>
        </w:rPr>
        <w:tab/>
        <w:t xml:space="preserve">asistence s podpisem smluvní dokumentace. </w:t>
      </w:r>
    </w:p>
    <w:p w:rsidR="002D45B9" w:rsidRDefault="002D45B9">
      <w:pPr>
        <w:rPr>
          <w:rFonts w:ascii="Times New Roman" w:hAnsi="Times New Roman" w:cs="Times New Roman"/>
          <w:sz w:val="24"/>
          <w:szCs w:val="24"/>
        </w:rPr>
      </w:pPr>
      <w:r>
        <w:rPr>
          <w:rFonts w:ascii="Times New Roman" w:hAnsi="Times New Roman" w:cs="Times New Roman"/>
          <w:sz w:val="24"/>
          <w:szCs w:val="24"/>
        </w:rPr>
        <w:br w:type="page"/>
      </w:r>
    </w:p>
    <w:p w:rsidR="007A2FDF" w:rsidRP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lastRenderedPageBreak/>
        <w:t>3.</w:t>
      </w:r>
      <w:r w:rsidRPr="007A2FDF">
        <w:rPr>
          <w:rFonts w:ascii="Times New Roman" w:hAnsi="Times New Roman" w:cs="Times New Roman"/>
          <w:sz w:val="24"/>
          <w:szCs w:val="24"/>
        </w:rPr>
        <w:tab/>
        <w:t>Do rozsahu činností zajišťovaných příkazníkem dle článku II. odst. 2 smlouvy nenáleží:</w:t>
      </w:r>
    </w:p>
    <w:p w:rsidR="007A2FDF" w:rsidRPr="007A2FDF" w:rsidRDefault="00B83692" w:rsidP="007A2FDF">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a</w:t>
      </w:r>
      <w:r w:rsidR="007A2FDF" w:rsidRPr="007A2FDF">
        <w:rPr>
          <w:rFonts w:ascii="Times New Roman" w:hAnsi="Times New Roman" w:cs="Times New Roman"/>
          <w:sz w:val="24"/>
          <w:szCs w:val="24"/>
        </w:rPr>
        <w:t>.</w:t>
      </w:r>
      <w:r w:rsidR="007A2FDF" w:rsidRPr="007A2FDF">
        <w:rPr>
          <w:rFonts w:ascii="Times New Roman" w:hAnsi="Times New Roman" w:cs="Times New Roman"/>
          <w:sz w:val="24"/>
          <w:szCs w:val="24"/>
        </w:rPr>
        <w:tab/>
        <w:t>zpracování odpovědí na žádosti o dodatečné informace k zadávacím podmínkám vztahujících se k stavebně technickým podmínkám zakázky,</w:t>
      </w:r>
    </w:p>
    <w:p w:rsidR="007A2FDF" w:rsidRPr="007A2FDF" w:rsidRDefault="00B83692" w:rsidP="007A2FDF">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b</w:t>
      </w:r>
      <w:r w:rsidR="007A2FDF" w:rsidRPr="007A2FDF">
        <w:rPr>
          <w:rFonts w:ascii="Times New Roman" w:hAnsi="Times New Roman" w:cs="Times New Roman"/>
          <w:sz w:val="24"/>
          <w:szCs w:val="24"/>
        </w:rPr>
        <w:t>.</w:t>
      </w:r>
      <w:r w:rsidR="007A2FDF" w:rsidRPr="007A2FDF">
        <w:rPr>
          <w:rFonts w:ascii="Times New Roman" w:hAnsi="Times New Roman" w:cs="Times New Roman"/>
          <w:sz w:val="24"/>
          <w:szCs w:val="24"/>
        </w:rPr>
        <w:tab/>
        <w:t>personální zajištění členů komise pro otevírání obálek, hodnotící komise, příp. dalších komisí, a jejich náhradníků,</w:t>
      </w:r>
    </w:p>
    <w:p w:rsidR="007A2FDF" w:rsidRPr="007A2FDF" w:rsidRDefault="007A2FDF" w:rsidP="007A2FDF">
      <w:pPr>
        <w:spacing w:line="240" w:lineRule="auto"/>
        <w:jc w:val="both"/>
        <w:rPr>
          <w:rFonts w:ascii="Times New Roman" w:hAnsi="Times New Roman" w:cs="Times New Roman"/>
          <w:sz w:val="24"/>
          <w:szCs w:val="24"/>
        </w:rPr>
      </w:pPr>
    </w:p>
    <w:p w:rsidR="007A2FDF" w:rsidRP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t>4.</w:t>
      </w:r>
      <w:r w:rsidRPr="007A2FDF">
        <w:rPr>
          <w:rFonts w:ascii="Times New Roman" w:hAnsi="Times New Roman" w:cs="Times New Roman"/>
          <w:sz w:val="24"/>
          <w:szCs w:val="24"/>
        </w:rPr>
        <w:tab/>
        <w:t xml:space="preserve">Pro vyloučení pochybností smluvní strany sjednávají, že do rozsahu činnosti příkazníka podle čl. II. odst. 2 této smlouvy spadají i další činnosti či úkony v této smlouvě výslovně nevyjmenované, je-li jejich zajištění nezbytné k řádné přípravě a průběhu zadávacího řízení a není-li jejich provedení výslovně vyloučeno v čl. II. odst. 3 </w:t>
      </w:r>
      <w:proofErr w:type="gramStart"/>
      <w:r w:rsidRPr="007A2FDF">
        <w:rPr>
          <w:rFonts w:ascii="Times New Roman" w:hAnsi="Times New Roman" w:cs="Times New Roman"/>
          <w:sz w:val="24"/>
          <w:szCs w:val="24"/>
        </w:rPr>
        <w:t>této</w:t>
      </w:r>
      <w:proofErr w:type="gramEnd"/>
      <w:r w:rsidRPr="007A2FDF">
        <w:rPr>
          <w:rFonts w:ascii="Times New Roman" w:hAnsi="Times New Roman" w:cs="Times New Roman"/>
          <w:sz w:val="24"/>
          <w:szCs w:val="24"/>
        </w:rPr>
        <w:t xml:space="preserve"> smlouvy. V uvedeném případě platí, že příkazník je povinen připravit pro příkazce veškeré podklady, zorganizovat veškeré činnosti a odeslat veškeré doklady vyplývající ze znění ZZVZ, a to ve lhůtách stanovených ZZVZ, popř. v předstihu tak, aby byly dodrženy zákonné lhůty pro činnosti, které má dle ZZVZ vykon</w:t>
      </w:r>
      <w:r>
        <w:rPr>
          <w:rFonts w:ascii="Times New Roman" w:hAnsi="Times New Roman" w:cs="Times New Roman"/>
          <w:sz w:val="24"/>
          <w:szCs w:val="24"/>
        </w:rPr>
        <w:t xml:space="preserve">at přímo zadavatel (příkazce). </w:t>
      </w:r>
    </w:p>
    <w:p w:rsid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t>5.</w:t>
      </w:r>
      <w:r w:rsidRPr="007A2FDF">
        <w:rPr>
          <w:rFonts w:ascii="Times New Roman" w:hAnsi="Times New Roman" w:cs="Times New Roman"/>
          <w:sz w:val="24"/>
          <w:szCs w:val="24"/>
        </w:rPr>
        <w:tab/>
        <w:t>V rámci plnění povinností specifikovaných v čl. II. odst. 2 bod I. této smlouvy (strategie transakce) je příkazník povinen zpracovat písemný výstup (zprávu, stanovisko, apod.) s obsahem odpovídajícím povinnostem příkazníka podle uvedeného bodu smlouvy, a to v rozsahu minimálně 10 normostran v</w:t>
      </w:r>
      <w:r w:rsidR="00B83692">
        <w:rPr>
          <w:rFonts w:ascii="Times New Roman" w:hAnsi="Times New Roman" w:cs="Times New Roman"/>
          <w:sz w:val="24"/>
          <w:szCs w:val="24"/>
        </w:rPr>
        <w:t>e</w:t>
      </w:r>
      <w:r w:rsidRPr="007A2FDF">
        <w:rPr>
          <w:rFonts w:ascii="Times New Roman" w:hAnsi="Times New Roman" w:cs="Times New Roman"/>
          <w:sz w:val="24"/>
          <w:szCs w:val="24"/>
        </w:rPr>
        <w:t xml:space="preserve"> smyslu § 24 </w:t>
      </w:r>
      <w:r w:rsidR="00B83692">
        <w:rPr>
          <w:rFonts w:ascii="Times New Roman" w:hAnsi="Times New Roman" w:cs="Times New Roman"/>
          <w:sz w:val="24"/>
          <w:szCs w:val="24"/>
        </w:rPr>
        <w:t>odst. 2 vyhlášky</w:t>
      </w:r>
      <w:r>
        <w:rPr>
          <w:rFonts w:ascii="Times New Roman" w:hAnsi="Times New Roman" w:cs="Times New Roman"/>
          <w:sz w:val="24"/>
          <w:szCs w:val="24"/>
        </w:rPr>
        <w:t xml:space="preserve"> č. 37/1967 Sb.</w:t>
      </w:r>
    </w:p>
    <w:p w:rsidR="007A2FDF" w:rsidRPr="007A2FDF" w:rsidRDefault="007A2FDF" w:rsidP="007A2FD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7A2FDF">
        <w:rPr>
          <w:rFonts w:ascii="Times New Roman" w:hAnsi="Times New Roman" w:cs="Times New Roman"/>
          <w:sz w:val="24"/>
          <w:szCs w:val="24"/>
        </w:rPr>
        <w:t>Smluvní strany se mohou dohodnout, že příkazník obstará pro příkazce další záležitosti nad rámec předmětu této smlouvy, a to na základě vzájemné předchozí písemné dohody smluvních stran ve formě dodatku k této smlouvě, případně nové smlouvy, o obsahu a rozsahu takových záležitostí a o odměně příkazníka za jejich obstarání.</w:t>
      </w:r>
    </w:p>
    <w:p w:rsidR="007A2FDF" w:rsidRPr="007A2FDF" w:rsidRDefault="007A2FDF" w:rsidP="007A2FDF">
      <w:pPr>
        <w:spacing w:line="240" w:lineRule="auto"/>
        <w:jc w:val="both"/>
        <w:rPr>
          <w:rFonts w:ascii="Times New Roman" w:hAnsi="Times New Roman" w:cs="Times New Roman"/>
          <w:sz w:val="24"/>
          <w:szCs w:val="24"/>
        </w:rPr>
      </w:pPr>
    </w:p>
    <w:p w:rsidR="007A2FDF" w:rsidRDefault="007A2FDF" w:rsidP="007A2FDF">
      <w:pPr>
        <w:spacing w:line="240" w:lineRule="auto"/>
        <w:jc w:val="center"/>
        <w:rPr>
          <w:rFonts w:ascii="Times New Roman" w:hAnsi="Times New Roman" w:cs="Times New Roman"/>
          <w:b/>
          <w:sz w:val="24"/>
          <w:szCs w:val="24"/>
        </w:rPr>
      </w:pPr>
      <w:r w:rsidRPr="007A2FDF">
        <w:rPr>
          <w:rFonts w:ascii="Times New Roman" w:hAnsi="Times New Roman" w:cs="Times New Roman"/>
          <w:b/>
          <w:sz w:val="24"/>
          <w:szCs w:val="24"/>
        </w:rPr>
        <w:t xml:space="preserve">III. </w:t>
      </w:r>
    </w:p>
    <w:p w:rsidR="007A2FDF" w:rsidRPr="007A2FDF" w:rsidRDefault="007A2FDF" w:rsidP="007A2FDF">
      <w:pPr>
        <w:spacing w:line="240" w:lineRule="auto"/>
        <w:jc w:val="center"/>
        <w:rPr>
          <w:rFonts w:ascii="Times New Roman" w:hAnsi="Times New Roman" w:cs="Times New Roman"/>
          <w:b/>
          <w:sz w:val="24"/>
          <w:szCs w:val="24"/>
        </w:rPr>
      </w:pPr>
      <w:r w:rsidRPr="007A2FDF">
        <w:rPr>
          <w:rFonts w:ascii="Times New Roman" w:hAnsi="Times New Roman" w:cs="Times New Roman"/>
          <w:b/>
          <w:sz w:val="24"/>
          <w:szCs w:val="24"/>
        </w:rPr>
        <w:t>Práva a povinnosti smluvních stran</w:t>
      </w:r>
    </w:p>
    <w:p w:rsidR="007A2FDF" w:rsidRP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t>1.</w:t>
      </w:r>
      <w:r w:rsidRPr="007A2FDF">
        <w:rPr>
          <w:rFonts w:ascii="Times New Roman" w:hAnsi="Times New Roman" w:cs="Times New Roman"/>
          <w:sz w:val="24"/>
          <w:szCs w:val="24"/>
        </w:rPr>
        <w:tab/>
        <w:t xml:space="preserve">Příkazník je povinen při provádění činností dle této smlouvy postupovat v souladu s právními předpisy, zejména ZZVZ, podle pokynů příkazce, které si je v případě potřeby povinen vyžádat předem a v souladu s jeho zájmy a vynakládat přitom veškeré úsilí, které lze požadovat. </w:t>
      </w:r>
    </w:p>
    <w:p w:rsidR="007A2FDF" w:rsidRP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t>2.</w:t>
      </w:r>
      <w:r w:rsidRPr="007A2FDF">
        <w:rPr>
          <w:rFonts w:ascii="Times New Roman" w:hAnsi="Times New Roman" w:cs="Times New Roman"/>
          <w:sz w:val="24"/>
          <w:szCs w:val="24"/>
        </w:rPr>
        <w:tab/>
        <w:t>Příkazník je povinen bez zbytečného odkladu oznámit příkazci všechny okolnosti, které zjistil při plnění příkazu, a které mohou mít vliv na změnu pokynů nebo zájmů příkazce.</w:t>
      </w:r>
    </w:p>
    <w:p w:rsidR="002D45B9" w:rsidRPr="002D45B9" w:rsidRDefault="007A2FDF" w:rsidP="007A2FDF">
      <w:pPr>
        <w:spacing w:line="240" w:lineRule="auto"/>
        <w:jc w:val="both"/>
        <w:rPr>
          <w:rFonts w:ascii="Times New Roman" w:hAnsi="Times New Roman" w:cs="Times New Roman"/>
          <w:color w:val="FFFFFF" w:themeColor="background1"/>
          <w:sz w:val="24"/>
          <w:szCs w:val="24"/>
        </w:rPr>
      </w:pPr>
      <w:r w:rsidRPr="007A2FDF">
        <w:rPr>
          <w:rFonts w:ascii="Times New Roman" w:hAnsi="Times New Roman" w:cs="Times New Roman"/>
          <w:sz w:val="24"/>
          <w:szCs w:val="24"/>
        </w:rPr>
        <w:t>3.</w:t>
      </w:r>
      <w:r w:rsidRPr="007A2FDF">
        <w:rPr>
          <w:rFonts w:ascii="Times New Roman" w:hAnsi="Times New Roman" w:cs="Times New Roman"/>
          <w:sz w:val="24"/>
          <w:szCs w:val="24"/>
        </w:rPr>
        <w:tab/>
        <w:t>Příkazník se nesmí odchýlit od pokynů příkazce. To neplatí v případě, pokud by pokyny příkazce byly v rozporu se zákonem a dalšími obecně závaznými právními předpisy či příslušnými pravidly pro zadávání veřejných zakázek. Na takovou skutečnost či zřejmou nesprávnost pokynu je příkazník povinen příkazce bez zbytečného odkladu předem upozornit. V případě, že příkazce bude i po předchozím písemném u</w:t>
      </w:r>
      <w:r w:rsidR="002D45B9">
        <w:rPr>
          <w:rFonts w:ascii="Times New Roman" w:hAnsi="Times New Roman" w:cs="Times New Roman"/>
          <w:sz w:val="24"/>
          <w:szCs w:val="24"/>
        </w:rPr>
        <w:t xml:space="preserve">pozornění příkazníka na takovém </w:t>
      </w:r>
      <w:r w:rsidR="002D45B9">
        <w:rPr>
          <w:rFonts w:ascii="Times New Roman" w:hAnsi="Times New Roman" w:cs="Times New Roman"/>
          <w:color w:val="FFFFFF" w:themeColor="background1"/>
          <w:sz w:val="24"/>
          <w:szCs w:val="24"/>
        </w:rPr>
        <w:t>pokynu</w:t>
      </w:r>
    </w:p>
    <w:p w:rsidR="002D45B9" w:rsidRDefault="002D45B9">
      <w:pPr>
        <w:rPr>
          <w:rFonts w:ascii="Times New Roman" w:hAnsi="Times New Roman" w:cs="Times New Roman"/>
          <w:sz w:val="24"/>
          <w:szCs w:val="24"/>
        </w:rPr>
      </w:pPr>
      <w:r>
        <w:rPr>
          <w:rFonts w:ascii="Times New Roman" w:hAnsi="Times New Roman" w:cs="Times New Roman"/>
          <w:sz w:val="24"/>
          <w:szCs w:val="24"/>
        </w:rPr>
        <w:br w:type="page"/>
      </w:r>
    </w:p>
    <w:p w:rsidR="007A2FDF" w:rsidRP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lastRenderedPageBreak/>
        <w:t>pokynu trvat, je příkazník povinen jej splnit, avšak neodpovídá za škodu vzniklou v příčinné souvislosti s dodržením takového pokynu.</w:t>
      </w:r>
    </w:p>
    <w:p w:rsidR="007A2FDF" w:rsidRP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t>4.</w:t>
      </w:r>
      <w:r w:rsidRPr="007A2FDF">
        <w:rPr>
          <w:rFonts w:ascii="Times New Roman" w:hAnsi="Times New Roman" w:cs="Times New Roman"/>
          <w:sz w:val="24"/>
          <w:szCs w:val="24"/>
        </w:rPr>
        <w:tab/>
        <w:t>Příkazce je povinen předat včas příkazníkovi úplné a pravdivé informace a podklady, jež jsou nezbytně nutné k řádnému splnění povinností příkazníka dle této smlouvy, pokud z jejich povahy nevyplývá, že je má zajistit příkazník v rámci plnění sám.</w:t>
      </w:r>
    </w:p>
    <w:p w:rsidR="007A2FDF" w:rsidRP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t>5.</w:t>
      </w:r>
      <w:r w:rsidRPr="007A2FDF">
        <w:rPr>
          <w:rFonts w:ascii="Times New Roman" w:hAnsi="Times New Roman" w:cs="Times New Roman"/>
          <w:sz w:val="24"/>
          <w:szCs w:val="24"/>
        </w:rPr>
        <w:tab/>
        <w:t>Příkazce je povinen vytvořit řádné podmínky pro činnost příkazníka a poskytovat mu během plnění předmětu smlouvy součinnost nezbytnou pro dosažení účelu smlouvy.</w:t>
      </w:r>
    </w:p>
    <w:p w:rsidR="007A2FDF" w:rsidRP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t>6.</w:t>
      </w:r>
      <w:r w:rsidRPr="007A2FDF">
        <w:rPr>
          <w:rFonts w:ascii="Times New Roman" w:hAnsi="Times New Roman" w:cs="Times New Roman"/>
          <w:sz w:val="24"/>
          <w:szCs w:val="24"/>
        </w:rPr>
        <w:tab/>
        <w:t>Zjistí-li některá ze smluvních stran překážky při plnění dle této smlouvy, které znemožňují dosažení účelu této smlouvy, oznámí to v písemné formě neprodleně druhé straně. V takovém případě smluvní strany vyvinou nezbytné úsilí, které na nich lze spravedlivě požadovat tak, aby bez zbytečného odkladu po doručení písemného oznámení mohlo dojít k odstranění daných překážek.</w:t>
      </w:r>
    </w:p>
    <w:p w:rsidR="007A2FDF" w:rsidRP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t>7.</w:t>
      </w:r>
      <w:r w:rsidRPr="007A2FDF">
        <w:rPr>
          <w:rFonts w:ascii="Times New Roman" w:hAnsi="Times New Roman" w:cs="Times New Roman"/>
          <w:sz w:val="24"/>
          <w:szCs w:val="24"/>
        </w:rPr>
        <w:tab/>
        <w:t>Po splnění příkazu je příkazník povinen příkazci bezodkladně předat dokumentaci k provedenému zadávacímu řízení. Předání této dokumentace potvrdí smluvní strany podpisem předávacího protokolu.</w:t>
      </w:r>
    </w:p>
    <w:p w:rsid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t>8.</w:t>
      </w:r>
      <w:r w:rsidRPr="007A2FDF">
        <w:rPr>
          <w:rFonts w:ascii="Times New Roman" w:hAnsi="Times New Roman" w:cs="Times New Roman"/>
          <w:sz w:val="24"/>
          <w:szCs w:val="24"/>
        </w:rPr>
        <w:tab/>
        <w:t>Bude-li to k plnění příkazu nezbytné, vystaví příkazce příkazníkov</w:t>
      </w:r>
      <w:r>
        <w:rPr>
          <w:rFonts w:ascii="Times New Roman" w:hAnsi="Times New Roman" w:cs="Times New Roman"/>
          <w:sz w:val="24"/>
          <w:szCs w:val="24"/>
        </w:rPr>
        <w:t>i plnou moc k jeho zastupování.</w:t>
      </w:r>
    </w:p>
    <w:p w:rsidR="007A2FDF" w:rsidRPr="007A2FDF" w:rsidRDefault="007A2FDF" w:rsidP="007A2FDF">
      <w:pPr>
        <w:spacing w:line="240" w:lineRule="auto"/>
        <w:jc w:val="both"/>
        <w:rPr>
          <w:rFonts w:ascii="Times New Roman" w:hAnsi="Times New Roman" w:cs="Times New Roman"/>
          <w:sz w:val="24"/>
          <w:szCs w:val="24"/>
        </w:rPr>
      </w:pPr>
    </w:p>
    <w:p w:rsidR="007A2FDF" w:rsidRDefault="007A2FDF" w:rsidP="007A2FDF">
      <w:pPr>
        <w:spacing w:line="240" w:lineRule="auto"/>
        <w:jc w:val="center"/>
        <w:rPr>
          <w:rFonts w:ascii="Times New Roman" w:hAnsi="Times New Roman" w:cs="Times New Roman"/>
          <w:b/>
          <w:sz w:val="24"/>
          <w:szCs w:val="24"/>
        </w:rPr>
      </w:pPr>
      <w:r w:rsidRPr="007A2FDF">
        <w:rPr>
          <w:rFonts w:ascii="Times New Roman" w:hAnsi="Times New Roman" w:cs="Times New Roman"/>
          <w:b/>
          <w:sz w:val="24"/>
          <w:szCs w:val="24"/>
        </w:rPr>
        <w:t xml:space="preserve">IV. </w:t>
      </w:r>
    </w:p>
    <w:p w:rsidR="007A2FDF" w:rsidRPr="007A2FDF" w:rsidRDefault="007A2FDF" w:rsidP="007A2FDF">
      <w:pPr>
        <w:spacing w:line="240" w:lineRule="auto"/>
        <w:jc w:val="center"/>
        <w:rPr>
          <w:rFonts w:ascii="Times New Roman" w:hAnsi="Times New Roman" w:cs="Times New Roman"/>
          <w:b/>
          <w:sz w:val="24"/>
          <w:szCs w:val="24"/>
        </w:rPr>
      </w:pPr>
      <w:r w:rsidRPr="007A2FDF">
        <w:rPr>
          <w:rFonts w:ascii="Times New Roman" w:hAnsi="Times New Roman" w:cs="Times New Roman"/>
          <w:b/>
          <w:sz w:val="24"/>
          <w:szCs w:val="24"/>
        </w:rPr>
        <w:t>Odměna a platební podmínky</w:t>
      </w:r>
    </w:p>
    <w:p w:rsidR="007A2FDF" w:rsidRP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t>1.</w:t>
      </w:r>
      <w:r w:rsidRPr="007A2FDF">
        <w:rPr>
          <w:rFonts w:ascii="Times New Roman" w:hAnsi="Times New Roman" w:cs="Times New Roman"/>
          <w:sz w:val="24"/>
          <w:szCs w:val="24"/>
        </w:rPr>
        <w:tab/>
        <w:t xml:space="preserve">Fixní odměna za splnění příkazu dle této smlouvy je stanovena dohodou smluvních stran paušálně v celkové výši skládající se z částky ve výši </w:t>
      </w:r>
      <w:r w:rsidR="00A01AE1">
        <w:rPr>
          <w:rFonts w:ascii="Times New Roman" w:hAnsi="Times New Roman" w:cs="Times New Roman"/>
          <w:sz w:val="24"/>
          <w:szCs w:val="24"/>
        </w:rPr>
        <w:t>840 000</w:t>
      </w:r>
      <w:r w:rsidRPr="007A2FDF">
        <w:rPr>
          <w:rFonts w:ascii="Times New Roman" w:hAnsi="Times New Roman" w:cs="Times New Roman"/>
          <w:sz w:val="24"/>
          <w:szCs w:val="24"/>
        </w:rPr>
        <w:t xml:space="preserve">,- Kč bez DPH a z částky odpovídající DPH ve výši platné v době uskutečnění zdanitelného plnění, je-li příkazník jejím plátcem. </w:t>
      </w:r>
    </w:p>
    <w:p w:rsidR="007A2FDF" w:rsidRP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t>2.</w:t>
      </w:r>
      <w:r w:rsidRPr="007A2FDF">
        <w:rPr>
          <w:rFonts w:ascii="Times New Roman" w:hAnsi="Times New Roman" w:cs="Times New Roman"/>
          <w:sz w:val="24"/>
          <w:szCs w:val="24"/>
        </w:rPr>
        <w:tab/>
        <w:t>Odměna dle odst. 1 tohoto článku smlouvy zahrnuje veškeré náklady příkazníka vynaložené na plnění příkazu dle této smlouvy.</w:t>
      </w:r>
    </w:p>
    <w:p w:rsidR="007A2FDF" w:rsidRP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t>3.</w:t>
      </w:r>
      <w:r w:rsidRPr="007A2FDF">
        <w:rPr>
          <w:rFonts w:ascii="Times New Roman" w:hAnsi="Times New Roman" w:cs="Times New Roman"/>
          <w:sz w:val="24"/>
          <w:szCs w:val="24"/>
        </w:rPr>
        <w:tab/>
        <w:t>Odměna za činnost příkazníka bude uhrazena na základě daňových dokladů (faktur), a to vždy v samostatných splátkách dle čl. IV odst. 4. této smlouvy. Zálohy nebudou poskytovány.</w:t>
      </w:r>
    </w:p>
    <w:p w:rsidR="007A2FDF" w:rsidRP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t>4.</w:t>
      </w:r>
      <w:r w:rsidRPr="007A2FDF">
        <w:rPr>
          <w:rFonts w:ascii="Times New Roman" w:hAnsi="Times New Roman" w:cs="Times New Roman"/>
          <w:sz w:val="24"/>
          <w:szCs w:val="24"/>
        </w:rPr>
        <w:tab/>
        <w:t>Smluvní strany sjednávají výši jednotlivých splátek odměny a termíny vystavení faktur k jejich úhradě následovně:</w:t>
      </w:r>
    </w:p>
    <w:p w:rsidR="007A2FDF" w:rsidRPr="007A2FDF" w:rsidRDefault="007A2FDF" w:rsidP="007A2FDF">
      <w:pPr>
        <w:spacing w:line="240" w:lineRule="auto"/>
        <w:ind w:left="709" w:hanging="709"/>
        <w:jc w:val="both"/>
        <w:rPr>
          <w:rFonts w:ascii="Times New Roman" w:hAnsi="Times New Roman" w:cs="Times New Roman"/>
          <w:sz w:val="24"/>
          <w:szCs w:val="24"/>
        </w:rPr>
      </w:pPr>
      <w:r w:rsidRPr="007A2FDF">
        <w:rPr>
          <w:rFonts w:ascii="Times New Roman" w:hAnsi="Times New Roman" w:cs="Times New Roman"/>
          <w:sz w:val="24"/>
          <w:szCs w:val="24"/>
        </w:rPr>
        <w:t>a)</w:t>
      </w:r>
      <w:r w:rsidRPr="007A2FDF">
        <w:rPr>
          <w:rFonts w:ascii="Times New Roman" w:hAnsi="Times New Roman" w:cs="Times New Roman"/>
          <w:sz w:val="24"/>
          <w:szCs w:val="24"/>
        </w:rPr>
        <w:tab/>
        <w:t xml:space="preserve">část odměny ve výši 5 % z odměny dle čl. IV. odst. 1 je splatná na základě faktury vystavené po předání písemného materiálu specifikovaného v čl. II. odst. 5 této smlouvy, </w:t>
      </w:r>
    </w:p>
    <w:p w:rsidR="002D45B9" w:rsidRDefault="007A2FDF" w:rsidP="007A2FDF">
      <w:pPr>
        <w:spacing w:line="240" w:lineRule="auto"/>
        <w:ind w:left="709" w:hanging="709"/>
        <w:jc w:val="both"/>
        <w:rPr>
          <w:rFonts w:ascii="Times New Roman" w:hAnsi="Times New Roman" w:cs="Times New Roman"/>
          <w:sz w:val="24"/>
          <w:szCs w:val="24"/>
        </w:rPr>
      </w:pPr>
      <w:r w:rsidRPr="007A2FDF">
        <w:rPr>
          <w:rFonts w:ascii="Times New Roman" w:hAnsi="Times New Roman" w:cs="Times New Roman"/>
          <w:sz w:val="24"/>
          <w:szCs w:val="24"/>
        </w:rPr>
        <w:t>b)</w:t>
      </w:r>
      <w:r w:rsidRPr="007A2FDF">
        <w:rPr>
          <w:rFonts w:ascii="Times New Roman" w:hAnsi="Times New Roman" w:cs="Times New Roman"/>
          <w:sz w:val="24"/>
          <w:szCs w:val="24"/>
        </w:rPr>
        <w:tab/>
        <w:t xml:space="preserve">část odměny ve výši 25 % z odměny dle čl. IV. odst. 1 je splatná na základě faktury vystavené po odsouhlasení znění zadávací dokumentace, </w:t>
      </w:r>
    </w:p>
    <w:p w:rsidR="002D45B9" w:rsidRDefault="002D45B9">
      <w:pPr>
        <w:rPr>
          <w:rFonts w:ascii="Times New Roman" w:hAnsi="Times New Roman" w:cs="Times New Roman"/>
          <w:sz w:val="24"/>
          <w:szCs w:val="24"/>
        </w:rPr>
      </w:pPr>
      <w:r>
        <w:rPr>
          <w:rFonts w:ascii="Times New Roman" w:hAnsi="Times New Roman" w:cs="Times New Roman"/>
          <w:sz w:val="24"/>
          <w:szCs w:val="24"/>
        </w:rPr>
        <w:br w:type="page"/>
      </w:r>
    </w:p>
    <w:p w:rsidR="007A2FDF" w:rsidRPr="007A2FDF" w:rsidRDefault="007A2FDF" w:rsidP="007A2FDF">
      <w:pPr>
        <w:spacing w:line="240" w:lineRule="auto"/>
        <w:ind w:left="709" w:hanging="709"/>
        <w:jc w:val="both"/>
        <w:rPr>
          <w:rFonts w:ascii="Times New Roman" w:hAnsi="Times New Roman" w:cs="Times New Roman"/>
          <w:sz w:val="24"/>
          <w:szCs w:val="24"/>
        </w:rPr>
      </w:pPr>
      <w:r w:rsidRPr="007A2FDF">
        <w:rPr>
          <w:rFonts w:ascii="Times New Roman" w:hAnsi="Times New Roman" w:cs="Times New Roman"/>
          <w:sz w:val="24"/>
          <w:szCs w:val="24"/>
        </w:rPr>
        <w:lastRenderedPageBreak/>
        <w:t>c)</w:t>
      </w:r>
      <w:r w:rsidRPr="007A2FDF">
        <w:rPr>
          <w:rFonts w:ascii="Times New Roman" w:hAnsi="Times New Roman" w:cs="Times New Roman"/>
          <w:sz w:val="24"/>
          <w:szCs w:val="24"/>
        </w:rPr>
        <w:tab/>
        <w:t xml:space="preserve">část odměny ve výši 30 % z odměny dle čl. IV. odst. 1 je splatná na základě faktury vystavené po rozhodnutí zadavatele o výběru nejvhodnější nabídky, </w:t>
      </w:r>
    </w:p>
    <w:p w:rsidR="007A2FDF" w:rsidRPr="007A2FDF" w:rsidRDefault="007A2FDF" w:rsidP="007A2FDF">
      <w:pPr>
        <w:spacing w:line="240" w:lineRule="auto"/>
        <w:ind w:left="709" w:hanging="709"/>
        <w:jc w:val="both"/>
        <w:rPr>
          <w:rFonts w:ascii="Times New Roman" w:hAnsi="Times New Roman" w:cs="Times New Roman"/>
          <w:sz w:val="24"/>
          <w:szCs w:val="24"/>
        </w:rPr>
      </w:pPr>
      <w:r w:rsidRPr="007A2FDF">
        <w:rPr>
          <w:rFonts w:ascii="Times New Roman" w:hAnsi="Times New Roman" w:cs="Times New Roman"/>
          <w:sz w:val="24"/>
          <w:szCs w:val="24"/>
        </w:rPr>
        <w:t>d)</w:t>
      </w:r>
      <w:r w:rsidRPr="007A2FDF">
        <w:rPr>
          <w:rFonts w:ascii="Times New Roman" w:hAnsi="Times New Roman" w:cs="Times New Roman"/>
          <w:sz w:val="24"/>
          <w:szCs w:val="24"/>
        </w:rPr>
        <w:tab/>
        <w:t>část odměny ve výši 40 % z odměny dle čl. IV. odst. 1 je splatná na základě faktury vystavené po ukončení zadávacího řízení a předání návrhu žádosti o stanovisko pro Ministerstvo financí dle této smlouvy.</w:t>
      </w:r>
    </w:p>
    <w:p w:rsidR="007A2FDF" w:rsidRP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t>5.</w:t>
      </w:r>
      <w:r w:rsidRPr="007A2FDF">
        <w:rPr>
          <w:rFonts w:ascii="Times New Roman" w:hAnsi="Times New Roman" w:cs="Times New Roman"/>
          <w:sz w:val="24"/>
          <w:szCs w:val="24"/>
        </w:rPr>
        <w:tab/>
        <w:t>Faktura musí vždy obsahovat předepsané účetní a daňové náležitosti dle zákona č. 235/2004 Sb., o dani z přidané hodnoty, ve znění pozdějších předpisů (dále „zákon o DPH") a její datum splatnosti musí stanoveno tak, aby lhůta k jejímu zaplacení nebyla kratší než 30 d</w:t>
      </w:r>
      <w:r>
        <w:rPr>
          <w:rFonts w:ascii="Times New Roman" w:hAnsi="Times New Roman" w:cs="Times New Roman"/>
          <w:sz w:val="24"/>
          <w:szCs w:val="24"/>
        </w:rPr>
        <w:t>ní od jejího doručení příkazci.</w:t>
      </w:r>
    </w:p>
    <w:p w:rsidR="007A2FDF" w:rsidRP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t>6.</w:t>
      </w:r>
      <w:r w:rsidRPr="007A2FDF">
        <w:rPr>
          <w:rFonts w:ascii="Times New Roman" w:hAnsi="Times New Roman" w:cs="Times New Roman"/>
          <w:sz w:val="24"/>
          <w:szCs w:val="24"/>
        </w:rPr>
        <w:tab/>
        <w:t xml:space="preserve">Je-li příkazník plátcem DPH, platí </w:t>
      </w:r>
      <w:r>
        <w:rPr>
          <w:rFonts w:ascii="Times New Roman" w:hAnsi="Times New Roman" w:cs="Times New Roman"/>
          <w:sz w:val="24"/>
          <w:szCs w:val="24"/>
        </w:rPr>
        <w:t>pro něj následující ustanovení:</w:t>
      </w:r>
    </w:p>
    <w:p w:rsidR="007A2FDF" w:rsidRPr="007A2FDF" w:rsidRDefault="007A2FDF" w:rsidP="007A2FDF">
      <w:pPr>
        <w:spacing w:line="240" w:lineRule="auto"/>
        <w:ind w:left="709" w:hanging="709"/>
        <w:jc w:val="both"/>
        <w:rPr>
          <w:rFonts w:ascii="Times New Roman" w:hAnsi="Times New Roman" w:cs="Times New Roman"/>
          <w:sz w:val="24"/>
          <w:szCs w:val="24"/>
        </w:rPr>
      </w:pPr>
      <w:r w:rsidRPr="007A2FDF">
        <w:rPr>
          <w:rFonts w:ascii="Times New Roman" w:hAnsi="Times New Roman" w:cs="Times New Roman"/>
          <w:sz w:val="24"/>
          <w:szCs w:val="24"/>
        </w:rPr>
        <w:t>a.</w:t>
      </w:r>
      <w:r w:rsidRPr="007A2FDF">
        <w:rPr>
          <w:rFonts w:ascii="Times New Roman" w:hAnsi="Times New Roman" w:cs="Times New Roman"/>
          <w:sz w:val="24"/>
          <w:szCs w:val="24"/>
        </w:rPr>
        <w:tab/>
        <w:t>Příkazník je povinen ve fakturách uvést číslo svého bankovního účtu, které sdělil registru plátců a identifikovaných osob zveřejněnému správcem daně (dále jen registr), a označil jej jako účet pro ekonomicko</w:t>
      </w:r>
      <w:r>
        <w:rPr>
          <w:rFonts w:ascii="Times New Roman" w:hAnsi="Times New Roman" w:cs="Times New Roman"/>
          <w:sz w:val="24"/>
          <w:szCs w:val="24"/>
        </w:rPr>
        <w:t>u činnost určený ke zveřejnění.</w:t>
      </w:r>
    </w:p>
    <w:p w:rsidR="007A2FDF" w:rsidRPr="007A2FDF" w:rsidRDefault="007A2FDF" w:rsidP="007A2FDF">
      <w:pPr>
        <w:spacing w:line="240" w:lineRule="auto"/>
        <w:ind w:left="709" w:hanging="709"/>
        <w:jc w:val="both"/>
        <w:rPr>
          <w:rFonts w:ascii="Times New Roman" w:hAnsi="Times New Roman" w:cs="Times New Roman"/>
          <w:sz w:val="24"/>
          <w:szCs w:val="24"/>
        </w:rPr>
      </w:pPr>
      <w:r w:rsidRPr="007A2FDF">
        <w:rPr>
          <w:rFonts w:ascii="Times New Roman" w:hAnsi="Times New Roman" w:cs="Times New Roman"/>
          <w:sz w:val="24"/>
          <w:szCs w:val="24"/>
        </w:rPr>
        <w:t>b.</w:t>
      </w:r>
      <w:r w:rsidRPr="007A2FDF">
        <w:rPr>
          <w:rFonts w:ascii="Times New Roman" w:hAnsi="Times New Roman" w:cs="Times New Roman"/>
          <w:sz w:val="24"/>
          <w:szCs w:val="24"/>
        </w:rPr>
        <w:tab/>
        <w:t xml:space="preserve">Dále se příkazník zavazuje toto číslo bankovního účtu udržovat po celou dobu smluvního vztahu v registru jako aktuální, resp. nebude k datu úhrady faktury vyžadovat po příkazci úhradu na jiné číslo bankovního účtu. </w:t>
      </w:r>
      <w:proofErr w:type="gramStart"/>
      <w:r w:rsidRPr="007A2FDF">
        <w:rPr>
          <w:rFonts w:ascii="Times New Roman" w:hAnsi="Times New Roman" w:cs="Times New Roman"/>
          <w:sz w:val="24"/>
          <w:szCs w:val="24"/>
        </w:rPr>
        <w:t>Nahradí</w:t>
      </w:r>
      <w:proofErr w:type="gramEnd"/>
      <w:r w:rsidRPr="007A2FDF">
        <w:rPr>
          <w:rFonts w:ascii="Times New Roman" w:hAnsi="Times New Roman" w:cs="Times New Roman"/>
          <w:sz w:val="24"/>
          <w:szCs w:val="24"/>
        </w:rPr>
        <w:t>–</w:t>
      </w:r>
      <w:proofErr w:type="spellStart"/>
      <w:proofErr w:type="gramStart"/>
      <w:r w:rsidRPr="007A2FDF">
        <w:rPr>
          <w:rFonts w:ascii="Times New Roman" w:hAnsi="Times New Roman" w:cs="Times New Roman"/>
          <w:sz w:val="24"/>
          <w:szCs w:val="24"/>
        </w:rPr>
        <w:t>li</w:t>
      </w:r>
      <w:proofErr w:type="spellEnd"/>
      <w:proofErr w:type="gramEnd"/>
      <w:r w:rsidRPr="007A2FDF">
        <w:rPr>
          <w:rFonts w:ascii="Times New Roman" w:hAnsi="Times New Roman" w:cs="Times New Roman"/>
          <w:sz w:val="24"/>
          <w:szCs w:val="24"/>
        </w:rPr>
        <w:t xml:space="preserve"> příkazník číslo bankovního účtu uvedené v registru jiným číslem bankovního účtu, uvědomí o tom současně příkazce, a to průkazným způsobem (kopií dokladu o o</w:t>
      </w:r>
      <w:r>
        <w:rPr>
          <w:rFonts w:ascii="Times New Roman" w:hAnsi="Times New Roman" w:cs="Times New Roman"/>
          <w:sz w:val="24"/>
          <w:szCs w:val="24"/>
        </w:rPr>
        <w:t>známení změny účtu v registru).</w:t>
      </w:r>
    </w:p>
    <w:p w:rsidR="007A2FDF" w:rsidRPr="007A2FDF" w:rsidRDefault="007A2FDF" w:rsidP="007A2FDF">
      <w:pPr>
        <w:spacing w:line="240" w:lineRule="auto"/>
        <w:ind w:left="709" w:hanging="709"/>
        <w:jc w:val="both"/>
        <w:rPr>
          <w:rFonts w:ascii="Times New Roman" w:hAnsi="Times New Roman" w:cs="Times New Roman"/>
          <w:sz w:val="24"/>
          <w:szCs w:val="24"/>
        </w:rPr>
      </w:pPr>
      <w:r w:rsidRPr="007A2FDF">
        <w:rPr>
          <w:rFonts w:ascii="Times New Roman" w:hAnsi="Times New Roman" w:cs="Times New Roman"/>
          <w:sz w:val="24"/>
          <w:szCs w:val="24"/>
        </w:rPr>
        <w:t>c.</w:t>
      </w:r>
      <w:r w:rsidRPr="007A2FDF">
        <w:rPr>
          <w:rFonts w:ascii="Times New Roman" w:hAnsi="Times New Roman" w:cs="Times New Roman"/>
          <w:sz w:val="24"/>
          <w:szCs w:val="24"/>
        </w:rPr>
        <w:tab/>
        <w:t>V případě, že se číslo bankovního účtu uvedené příkazníkem na faktuře nebude k datu úhrady shodovat s číslem bankovního účtu uvedeným v registru, je příkazce oprávněn odvést DPH z uskutečněného zdanitelného plnění přímo příslušnému finančnímu úřadu (správci daně) a příkazní</w:t>
      </w:r>
      <w:r>
        <w:rPr>
          <w:rFonts w:ascii="Times New Roman" w:hAnsi="Times New Roman" w:cs="Times New Roman"/>
          <w:sz w:val="24"/>
          <w:szCs w:val="24"/>
        </w:rPr>
        <w:t>kovi uhradit pouze základ daně.</w:t>
      </w:r>
    </w:p>
    <w:p w:rsidR="007A2FDF" w:rsidRPr="007A2FDF" w:rsidRDefault="007A2FDF" w:rsidP="007A2FDF">
      <w:pPr>
        <w:spacing w:line="240" w:lineRule="auto"/>
        <w:ind w:left="709" w:hanging="709"/>
        <w:jc w:val="both"/>
        <w:rPr>
          <w:rFonts w:ascii="Times New Roman" w:hAnsi="Times New Roman" w:cs="Times New Roman"/>
          <w:sz w:val="24"/>
          <w:szCs w:val="24"/>
        </w:rPr>
      </w:pPr>
      <w:r w:rsidRPr="007A2FDF">
        <w:rPr>
          <w:rFonts w:ascii="Times New Roman" w:hAnsi="Times New Roman" w:cs="Times New Roman"/>
          <w:sz w:val="24"/>
          <w:szCs w:val="24"/>
        </w:rPr>
        <w:t>d.</w:t>
      </w:r>
      <w:r w:rsidRPr="007A2FDF">
        <w:rPr>
          <w:rFonts w:ascii="Times New Roman" w:hAnsi="Times New Roman" w:cs="Times New Roman"/>
          <w:sz w:val="24"/>
          <w:szCs w:val="24"/>
        </w:rPr>
        <w:tab/>
        <w:t>Příkazce odvede částku DPH z uskutečněného zdanitelného plnění přímo příslušnému finančnímu úřadu (správci daně) vždy, když bude tuzemský příkazník požadovat úhradu na číslo bankovního účtu v zahraničí, nebo bude k datu zdanitelného plnění uveden v regi</w:t>
      </w:r>
      <w:r>
        <w:rPr>
          <w:rFonts w:ascii="Times New Roman" w:hAnsi="Times New Roman" w:cs="Times New Roman"/>
          <w:sz w:val="24"/>
          <w:szCs w:val="24"/>
        </w:rPr>
        <w:t xml:space="preserve">stru jako nespolehlivý plátce. </w:t>
      </w:r>
    </w:p>
    <w:p w:rsidR="007A2FDF" w:rsidRPr="007A2FDF" w:rsidRDefault="007A2FDF" w:rsidP="007A2FDF">
      <w:pPr>
        <w:spacing w:line="240" w:lineRule="auto"/>
        <w:ind w:left="709" w:hanging="709"/>
        <w:jc w:val="both"/>
        <w:rPr>
          <w:rFonts w:ascii="Times New Roman" w:hAnsi="Times New Roman" w:cs="Times New Roman"/>
          <w:sz w:val="24"/>
          <w:szCs w:val="24"/>
        </w:rPr>
      </w:pPr>
      <w:r w:rsidRPr="007A2FDF">
        <w:rPr>
          <w:rFonts w:ascii="Times New Roman" w:hAnsi="Times New Roman" w:cs="Times New Roman"/>
          <w:sz w:val="24"/>
          <w:szCs w:val="24"/>
        </w:rPr>
        <w:t>e.</w:t>
      </w:r>
      <w:r w:rsidRPr="007A2FDF">
        <w:rPr>
          <w:rFonts w:ascii="Times New Roman" w:hAnsi="Times New Roman" w:cs="Times New Roman"/>
          <w:sz w:val="24"/>
          <w:szCs w:val="24"/>
        </w:rPr>
        <w:tab/>
        <w:t>Úhradou DPH na účet finančního úřadu se pohledávka příkazníka vůči příkazci v částce uhrazené DPH považuje bez ohledu na další ustanovení smlouvy za uhrazenou. Příkazník neprodleně písemně oznámí, zda takto provedená platba j</w:t>
      </w:r>
      <w:r>
        <w:rPr>
          <w:rFonts w:ascii="Times New Roman" w:hAnsi="Times New Roman" w:cs="Times New Roman"/>
          <w:sz w:val="24"/>
          <w:szCs w:val="24"/>
        </w:rPr>
        <w:t>e evidována jeho správcem daně.</w:t>
      </w:r>
    </w:p>
    <w:p w:rsidR="007A2FDF" w:rsidRP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t>7.</w:t>
      </w:r>
      <w:r w:rsidRPr="007A2FDF">
        <w:rPr>
          <w:rFonts w:ascii="Times New Roman" w:hAnsi="Times New Roman" w:cs="Times New Roman"/>
          <w:sz w:val="24"/>
          <w:szCs w:val="24"/>
        </w:rPr>
        <w:tab/>
        <w:t xml:space="preserve">Příkazník není oprávněn postoupit, dát do zástavy nebo započíst jakékoliv pohledávky plynoucí mu z této smlouvy bez předchozího písemného souhlasu příkazce. </w:t>
      </w:r>
    </w:p>
    <w:p w:rsidR="007A2FDF" w:rsidRPr="007A2FDF" w:rsidRDefault="007A2FDF" w:rsidP="007A2FDF">
      <w:pPr>
        <w:spacing w:line="240" w:lineRule="auto"/>
        <w:jc w:val="both"/>
        <w:rPr>
          <w:rFonts w:ascii="Times New Roman" w:hAnsi="Times New Roman" w:cs="Times New Roman"/>
          <w:sz w:val="24"/>
          <w:szCs w:val="24"/>
        </w:rPr>
      </w:pPr>
    </w:p>
    <w:p w:rsidR="007A2FDF" w:rsidRDefault="007A2FDF" w:rsidP="007A2FDF">
      <w:pPr>
        <w:spacing w:line="240" w:lineRule="auto"/>
        <w:jc w:val="center"/>
        <w:rPr>
          <w:rFonts w:ascii="Times New Roman" w:hAnsi="Times New Roman" w:cs="Times New Roman"/>
          <w:b/>
          <w:sz w:val="24"/>
          <w:szCs w:val="24"/>
        </w:rPr>
      </w:pPr>
      <w:r w:rsidRPr="007A2FDF">
        <w:rPr>
          <w:rFonts w:ascii="Times New Roman" w:hAnsi="Times New Roman" w:cs="Times New Roman"/>
          <w:b/>
          <w:sz w:val="24"/>
          <w:szCs w:val="24"/>
        </w:rPr>
        <w:t xml:space="preserve">V. </w:t>
      </w:r>
    </w:p>
    <w:p w:rsidR="007A2FDF" w:rsidRPr="007A2FDF" w:rsidRDefault="007A2FDF" w:rsidP="007A2FDF">
      <w:pPr>
        <w:spacing w:line="240" w:lineRule="auto"/>
        <w:jc w:val="center"/>
        <w:rPr>
          <w:rFonts w:ascii="Times New Roman" w:hAnsi="Times New Roman" w:cs="Times New Roman"/>
          <w:b/>
          <w:sz w:val="24"/>
          <w:szCs w:val="24"/>
        </w:rPr>
      </w:pPr>
      <w:r w:rsidRPr="007A2FDF">
        <w:rPr>
          <w:rFonts w:ascii="Times New Roman" w:hAnsi="Times New Roman" w:cs="Times New Roman"/>
          <w:b/>
          <w:sz w:val="24"/>
          <w:szCs w:val="24"/>
        </w:rPr>
        <w:t>Doba plnění</w:t>
      </w:r>
    </w:p>
    <w:p w:rsidR="002D45B9"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t>1. Písemný materiál dle čl. II. odst. 5 této smlouvy je příkazník povinen zpracovat a příkazci předat nejpozději do 3</w:t>
      </w:r>
      <w:r>
        <w:rPr>
          <w:rFonts w:ascii="Times New Roman" w:hAnsi="Times New Roman" w:cs="Times New Roman"/>
          <w:sz w:val="24"/>
          <w:szCs w:val="24"/>
        </w:rPr>
        <w:t>0 dnů od uzavření této smlouvy.</w:t>
      </w:r>
    </w:p>
    <w:p w:rsidR="002D45B9" w:rsidRDefault="002D45B9">
      <w:pPr>
        <w:rPr>
          <w:rFonts w:ascii="Times New Roman" w:hAnsi="Times New Roman" w:cs="Times New Roman"/>
          <w:sz w:val="24"/>
          <w:szCs w:val="24"/>
        </w:rPr>
      </w:pPr>
      <w:r>
        <w:rPr>
          <w:rFonts w:ascii="Times New Roman" w:hAnsi="Times New Roman" w:cs="Times New Roman"/>
          <w:sz w:val="24"/>
          <w:szCs w:val="24"/>
        </w:rPr>
        <w:br w:type="page"/>
      </w:r>
    </w:p>
    <w:p w:rsidR="007A2FDF" w:rsidRP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lastRenderedPageBreak/>
        <w:t xml:space="preserve">2. Návrh zadávací dokumentace dle čl. II. odst. 2 bod II. je příkazník povinen zpracovat a příkazci předat k vyjádření a odsouhlasení </w:t>
      </w:r>
      <w:r>
        <w:rPr>
          <w:rFonts w:ascii="Times New Roman" w:hAnsi="Times New Roman" w:cs="Times New Roman"/>
          <w:sz w:val="24"/>
          <w:szCs w:val="24"/>
        </w:rPr>
        <w:t xml:space="preserve">do 90 dnů od uzavření smlouvy. </w:t>
      </w:r>
    </w:p>
    <w:p w:rsidR="007A2FDF" w:rsidRP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t xml:space="preserve">3. Příkazník je povinen zajistit úkony nezbytné k zahájení zadávacího řízení bezodkladně po schválení zadávací a </w:t>
      </w:r>
      <w:r>
        <w:rPr>
          <w:rFonts w:ascii="Times New Roman" w:hAnsi="Times New Roman" w:cs="Times New Roman"/>
          <w:sz w:val="24"/>
          <w:szCs w:val="24"/>
        </w:rPr>
        <w:t xml:space="preserve">smluvní dokumentace příkazcem. </w:t>
      </w:r>
    </w:p>
    <w:p w:rsidR="007A2FDF" w:rsidRP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t>4. Další činnosti podle této smlouvy je příkazník povinen činit tak, aby byly dodrženy lhůty stanovené pro příslušné zadávací řízení a jeho ukončení právními předpisy, p</w:t>
      </w:r>
      <w:r>
        <w:rPr>
          <w:rFonts w:ascii="Times New Roman" w:hAnsi="Times New Roman" w:cs="Times New Roman"/>
          <w:sz w:val="24"/>
          <w:szCs w:val="24"/>
        </w:rPr>
        <w:t>řípad</w:t>
      </w:r>
      <w:r w:rsidR="002A7532">
        <w:rPr>
          <w:rFonts w:ascii="Times New Roman" w:hAnsi="Times New Roman" w:cs="Times New Roman"/>
          <w:sz w:val="24"/>
          <w:szCs w:val="24"/>
        </w:rPr>
        <w:t>n</w:t>
      </w:r>
      <w:r>
        <w:rPr>
          <w:rFonts w:ascii="Times New Roman" w:hAnsi="Times New Roman" w:cs="Times New Roman"/>
          <w:sz w:val="24"/>
          <w:szCs w:val="24"/>
        </w:rPr>
        <w:t xml:space="preserve">ě v zadávací dokumentaci. </w:t>
      </w:r>
    </w:p>
    <w:p w:rsidR="007A2FDF" w:rsidRP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t>5. Příkaz příkazníka je splněn v okamžiku splnění všech podmínek a předpokladů pro uzavření smlouvy na plnění veřejné zakázky mezi příkazcem a dodavatelem.</w:t>
      </w:r>
    </w:p>
    <w:p w:rsidR="007A2FDF" w:rsidRDefault="007A2FDF" w:rsidP="007A2FDF">
      <w:pPr>
        <w:spacing w:line="240" w:lineRule="auto"/>
        <w:jc w:val="center"/>
        <w:rPr>
          <w:rFonts w:ascii="Times New Roman" w:hAnsi="Times New Roman" w:cs="Times New Roman"/>
          <w:b/>
          <w:sz w:val="24"/>
          <w:szCs w:val="24"/>
        </w:rPr>
      </w:pPr>
      <w:r w:rsidRPr="007A2FDF">
        <w:rPr>
          <w:rFonts w:ascii="Times New Roman" w:hAnsi="Times New Roman" w:cs="Times New Roman"/>
          <w:b/>
          <w:sz w:val="24"/>
          <w:szCs w:val="24"/>
        </w:rPr>
        <w:t xml:space="preserve">VI. </w:t>
      </w:r>
    </w:p>
    <w:p w:rsidR="007A2FDF" w:rsidRPr="007A2FDF" w:rsidRDefault="007A2FDF" w:rsidP="007A2FDF">
      <w:pPr>
        <w:spacing w:line="240" w:lineRule="auto"/>
        <w:jc w:val="center"/>
        <w:rPr>
          <w:rFonts w:ascii="Times New Roman" w:hAnsi="Times New Roman" w:cs="Times New Roman"/>
          <w:b/>
          <w:sz w:val="24"/>
          <w:szCs w:val="24"/>
        </w:rPr>
      </w:pPr>
      <w:r w:rsidRPr="007A2FDF">
        <w:rPr>
          <w:rFonts w:ascii="Times New Roman" w:hAnsi="Times New Roman" w:cs="Times New Roman"/>
          <w:b/>
          <w:sz w:val="24"/>
          <w:szCs w:val="24"/>
        </w:rPr>
        <w:t>Výpověď, odstoupení od smlouvy a sankce</w:t>
      </w:r>
    </w:p>
    <w:p w:rsidR="007A2FDF" w:rsidRP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t>1.</w:t>
      </w:r>
      <w:r w:rsidRPr="007A2FDF">
        <w:rPr>
          <w:rFonts w:ascii="Times New Roman" w:hAnsi="Times New Roman" w:cs="Times New Roman"/>
          <w:sz w:val="24"/>
          <w:szCs w:val="24"/>
        </w:rPr>
        <w:tab/>
        <w:t>Smluvní strany s ohledem na předmět plnění této smlouvy vylučují možnost výpovědi příkazu příkazníkem dle § 2440 občanského zákoníku.</w:t>
      </w:r>
    </w:p>
    <w:p w:rsidR="007A2FDF" w:rsidRP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t>2.</w:t>
      </w:r>
      <w:r w:rsidRPr="007A2FDF">
        <w:rPr>
          <w:rFonts w:ascii="Times New Roman" w:hAnsi="Times New Roman" w:cs="Times New Roman"/>
          <w:sz w:val="24"/>
          <w:szCs w:val="24"/>
        </w:rPr>
        <w:tab/>
        <w:t>Smluvní strany jsou oprávněny od této smlouvy písemně odstoupit za podmínek dle § 2002 a násl. občanského zákoníku.</w:t>
      </w:r>
    </w:p>
    <w:p w:rsidR="007A2FDF" w:rsidRP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t>3.</w:t>
      </w:r>
      <w:r w:rsidRPr="007A2FDF">
        <w:rPr>
          <w:rFonts w:ascii="Times New Roman" w:hAnsi="Times New Roman" w:cs="Times New Roman"/>
          <w:sz w:val="24"/>
          <w:szCs w:val="24"/>
        </w:rPr>
        <w:tab/>
        <w:t xml:space="preserve">Příkazce je oprávněn příkaz kdykoliv odvolat. V takovém případě bude mít příkazník nárok na poměrnou část odměny, jejíž výše bude určena v návaznosti na rozsah dosud vykonaného části příkazu s přiměřeným použitím pravidel podle čl. IV. odst. 4 </w:t>
      </w:r>
      <w:proofErr w:type="gramStart"/>
      <w:r w:rsidRPr="007A2FDF">
        <w:rPr>
          <w:rFonts w:ascii="Times New Roman" w:hAnsi="Times New Roman" w:cs="Times New Roman"/>
          <w:sz w:val="24"/>
          <w:szCs w:val="24"/>
        </w:rPr>
        <w:t>této</w:t>
      </w:r>
      <w:proofErr w:type="gramEnd"/>
      <w:r w:rsidRPr="007A2FDF">
        <w:rPr>
          <w:rFonts w:ascii="Times New Roman" w:hAnsi="Times New Roman" w:cs="Times New Roman"/>
          <w:sz w:val="24"/>
          <w:szCs w:val="24"/>
        </w:rPr>
        <w:t xml:space="preserve"> smlouvy. </w:t>
      </w:r>
    </w:p>
    <w:p w:rsidR="007A2FDF" w:rsidRPr="007A2FDF" w:rsidRDefault="007A2FDF" w:rsidP="007A2FDF">
      <w:pPr>
        <w:spacing w:line="240" w:lineRule="auto"/>
        <w:jc w:val="both"/>
        <w:rPr>
          <w:rFonts w:ascii="Times New Roman" w:hAnsi="Times New Roman" w:cs="Times New Roman"/>
          <w:sz w:val="24"/>
          <w:szCs w:val="24"/>
        </w:rPr>
      </w:pPr>
    </w:p>
    <w:p w:rsidR="007A2FDF" w:rsidRP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t>4.</w:t>
      </w:r>
      <w:r w:rsidRPr="007A2FDF">
        <w:rPr>
          <w:rFonts w:ascii="Times New Roman" w:hAnsi="Times New Roman" w:cs="Times New Roman"/>
          <w:sz w:val="24"/>
          <w:szCs w:val="24"/>
        </w:rPr>
        <w:tab/>
        <w:t>V případě prodlení příkazce s úhradou odměny či jakékoli její části má příkazník právo požadovat uhrazení zákonného úroku z prodlení ve výši stanovené příslušnými právní předpisy.</w:t>
      </w:r>
    </w:p>
    <w:p w:rsidR="007A2FDF" w:rsidRP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t>5.</w:t>
      </w:r>
      <w:r w:rsidRPr="007A2FDF">
        <w:rPr>
          <w:rFonts w:ascii="Times New Roman" w:hAnsi="Times New Roman" w:cs="Times New Roman"/>
          <w:sz w:val="24"/>
          <w:szCs w:val="24"/>
        </w:rPr>
        <w:tab/>
        <w:t>Příkazník je povinen zaplatit příkazci následující smluvní pokuty:</w:t>
      </w:r>
    </w:p>
    <w:p w:rsidR="007A2FDF" w:rsidRPr="007A2FDF" w:rsidRDefault="007A2FDF" w:rsidP="007A2FDF">
      <w:pPr>
        <w:spacing w:line="240" w:lineRule="auto"/>
        <w:ind w:left="709" w:hanging="709"/>
        <w:jc w:val="both"/>
        <w:rPr>
          <w:rFonts w:ascii="Times New Roman" w:hAnsi="Times New Roman" w:cs="Times New Roman"/>
          <w:sz w:val="24"/>
          <w:szCs w:val="24"/>
        </w:rPr>
      </w:pPr>
      <w:r w:rsidRPr="007A2FDF">
        <w:rPr>
          <w:rFonts w:ascii="Times New Roman" w:hAnsi="Times New Roman" w:cs="Times New Roman"/>
          <w:sz w:val="24"/>
          <w:szCs w:val="24"/>
        </w:rPr>
        <w:t>a)</w:t>
      </w:r>
      <w:r w:rsidRPr="007A2FDF">
        <w:rPr>
          <w:rFonts w:ascii="Times New Roman" w:hAnsi="Times New Roman" w:cs="Times New Roman"/>
          <w:sz w:val="24"/>
          <w:szCs w:val="24"/>
        </w:rPr>
        <w:tab/>
        <w:t>za nedodržení jakéhokoliv termínu plnění dle čl. V. této smlouvy smluvní pokutu ve výši 0,1 % z odměny dle čl. IV. odst. 1 této smlouvy za každý den prodlení,</w:t>
      </w:r>
    </w:p>
    <w:p w:rsidR="007A2FDF" w:rsidRPr="007A2FDF" w:rsidRDefault="007A2FDF" w:rsidP="007A2FDF">
      <w:pPr>
        <w:spacing w:line="240" w:lineRule="auto"/>
        <w:ind w:left="709" w:hanging="709"/>
        <w:jc w:val="both"/>
        <w:rPr>
          <w:rFonts w:ascii="Times New Roman" w:hAnsi="Times New Roman" w:cs="Times New Roman"/>
          <w:sz w:val="24"/>
          <w:szCs w:val="24"/>
        </w:rPr>
      </w:pPr>
      <w:r w:rsidRPr="007A2FDF">
        <w:rPr>
          <w:rFonts w:ascii="Times New Roman" w:hAnsi="Times New Roman" w:cs="Times New Roman"/>
          <w:sz w:val="24"/>
          <w:szCs w:val="24"/>
        </w:rPr>
        <w:t>b)</w:t>
      </w:r>
      <w:r w:rsidRPr="007A2FDF">
        <w:rPr>
          <w:rFonts w:ascii="Times New Roman" w:hAnsi="Times New Roman" w:cs="Times New Roman"/>
          <w:sz w:val="24"/>
          <w:szCs w:val="24"/>
        </w:rPr>
        <w:tab/>
        <w:t xml:space="preserve">v případě nepravdivosti prohlášení uvedeného v čl. VIII. odst. 1 této smlouvy nebo porušení povinnosti dle čl. VII. odst. 1 a odst. 2 </w:t>
      </w:r>
      <w:proofErr w:type="gramStart"/>
      <w:r w:rsidRPr="007A2FDF">
        <w:rPr>
          <w:rFonts w:ascii="Times New Roman" w:hAnsi="Times New Roman" w:cs="Times New Roman"/>
          <w:sz w:val="24"/>
          <w:szCs w:val="24"/>
        </w:rPr>
        <w:t>této</w:t>
      </w:r>
      <w:proofErr w:type="gramEnd"/>
      <w:r w:rsidRPr="007A2FDF">
        <w:rPr>
          <w:rFonts w:ascii="Times New Roman" w:hAnsi="Times New Roman" w:cs="Times New Roman"/>
          <w:sz w:val="24"/>
          <w:szCs w:val="24"/>
        </w:rPr>
        <w:t xml:space="preserve"> smlouvy smluvní pokutu ve výši 20.000,00 Kč za každý jednotlivý případ,</w:t>
      </w:r>
    </w:p>
    <w:p w:rsidR="007A2FDF" w:rsidRPr="007A2FDF" w:rsidRDefault="007A2FDF" w:rsidP="007A2FDF">
      <w:pPr>
        <w:spacing w:line="240" w:lineRule="auto"/>
        <w:ind w:left="709" w:hanging="709"/>
        <w:jc w:val="both"/>
        <w:rPr>
          <w:rFonts w:ascii="Times New Roman" w:hAnsi="Times New Roman" w:cs="Times New Roman"/>
          <w:sz w:val="24"/>
          <w:szCs w:val="24"/>
        </w:rPr>
      </w:pPr>
      <w:r w:rsidRPr="007A2FDF">
        <w:rPr>
          <w:rFonts w:ascii="Times New Roman" w:hAnsi="Times New Roman" w:cs="Times New Roman"/>
          <w:sz w:val="24"/>
          <w:szCs w:val="24"/>
        </w:rPr>
        <w:t>c)</w:t>
      </w:r>
      <w:r w:rsidRPr="007A2FDF">
        <w:rPr>
          <w:rFonts w:ascii="Times New Roman" w:hAnsi="Times New Roman" w:cs="Times New Roman"/>
          <w:sz w:val="24"/>
          <w:szCs w:val="24"/>
        </w:rPr>
        <w:tab/>
        <w:t>za porušení povinnosti dle čl. VI. odst. 7 této smlouvy smluvní pokutu ve výši 0,1 % z odměny dle čl. IV. odst. 1 této smlouvy za každý den prodlení s jejím splněním.</w:t>
      </w:r>
    </w:p>
    <w:p w:rsidR="007A2FDF" w:rsidRP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t>6.</w:t>
      </w:r>
      <w:r w:rsidRPr="007A2FDF">
        <w:rPr>
          <w:rFonts w:ascii="Times New Roman" w:hAnsi="Times New Roman" w:cs="Times New Roman"/>
          <w:sz w:val="24"/>
          <w:szCs w:val="24"/>
        </w:rPr>
        <w:tab/>
        <w:t xml:space="preserve">Uhrazením smluvní pokuty není dotčeno právo příkazníka na náhradu škody v plném rozsahu. Smluvní pokuta se na náhradu škody nezapočítává. </w:t>
      </w:r>
    </w:p>
    <w:p w:rsidR="002D45B9"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t>7.</w:t>
      </w:r>
      <w:r w:rsidRPr="007A2FDF">
        <w:rPr>
          <w:rFonts w:ascii="Times New Roman" w:hAnsi="Times New Roman" w:cs="Times New Roman"/>
          <w:sz w:val="24"/>
          <w:szCs w:val="24"/>
        </w:rPr>
        <w:tab/>
        <w:t xml:space="preserve">Příkazník je povinen být pojištěn bez výluk pro případ odpovědnosti za škodu způsobenou příkazci při výkonu činností příkazníka nebo v souvislosti s ní na pojistnou částku </w:t>
      </w:r>
    </w:p>
    <w:p w:rsidR="002D45B9" w:rsidRDefault="002D45B9">
      <w:pPr>
        <w:rPr>
          <w:rFonts w:ascii="Times New Roman" w:hAnsi="Times New Roman" w:cs="Times New Roman"/>
          <w:sz w:val="24"/>
          <w:szCs w:val="24"/>
        </w:rPr>
      </w:pPr>
      <w:r>
        <w:rPr>
          <w:rFonts w:ascii="Times New Roman" w:hAnsi="Times New Roman" w:cs="Times New Roman"/>
          <w:sz w:val="24"/>
          <w:szCs w:val="24"/>
        </w:rPr>
        <w:br w:type="page"/>
      </w:r>
    </w:p>
    <w:p w:rsidR="007A2FDF" w:rsidRP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lastRenderedPageBreak/>
        <w:t xml:space="preserve">30,000.000,00 Kč. Příkazník je povinen být pojištěn po celou dobu, v rámci níž může být odpovědnost ve smyslu tohoto odstavce smlouvy uplatňována. Na žádost příkazce je příkazník povinen prokázat příkazci plnění této povinnosti. </w:t>
      </w:r>
    </w:p>
    <w:p w:rsidR="007A2FDF" w:rsidRPr="007A2FDF" w:rsidRDefault="007A2FDF" w:rsidP="007A2FDF">
      <w:pPr>
        <w:spacing w:line="240" w:lineRule="auto"/>
        <w:jc w:val="center"/>
        <w:rPr>
          <w:rFonts w:ascii="Times New Roman" w:hAnsi="Times New Roman" w:cs="Times New Roman"/>
          <w:b/>
          <w:sz w:val="24"/>
          <w:szCs w:val="24"/>
        </w:rPr>
      </w:pPr>
    </w:p>
    <w:p w:rsidR="007A2FDF" w:rsidRDefault="007A2FDF" w:rsidP="007A2FDF">
      <w:pPr>
        <w:spacing w:line="240" w:lineRule="auto"/>
        <w:jc w:val="center"/>
        <w:rPr>
          <w:rFonts w:ascii="Times New Roman" w:hAnsi="Times New Roman" w:cs="Times New Roman"/>
          <w:b/>
          <w:sz w:val="24"/>
          <w:szCs w:val="24"/>
        </w:rPr>
      </w:pPr>
      <w:r w:rsidRPr="007A2FDF">
        <w:rPr>
          <w:rFonts w:ascii="Times New Roman" w:hAnsi="Times New Roman" w:cs="Times New Roman"/>
          <w:b/>
          <w:sz w:val="24"/>
          <w:szCs w:val="24"/>
        </w:rPr>
        <w:t xml:space="preserve">VII.  </w:t>
      </w:r>
    </w:p>
    <w:p w:rsidR="007A2FDF" w:rsidRPr="007A2FDF" w:rsidRDefault="007A2FDF" w:rsidP="007A2FDF">
      <w:pPr>
        <w:spacing w:line="240" w:lineRule="auto"/>
        <w:jc w:val="center"/>
        <w:rPr>
          <w:rFonts w:ascii="Times New Roman" w:hAnsi="Times New Roman" w:cs="Times New Roman"/>
          <w:b/>
          <w:sz w:val="24"/>
          <w:szCs w:val="24"/>
        </w:rPr>
      </w:pPr>
      <w:r w:rsidRPr="007A2FDF">
        <w:rPr>
          <w:rFonts w:ascii="Times New Roman" w:hAnsi="Times New Roman" w:cs="Times New Roman"/>
          <w:b/>
          <w:sz w:val="24"/>
          <w:szCs w:val="24"/>
        </w:rPr>
        <w:t>Ochrana důvěrných informací</w:t>
      </w:r>
    </w:p>
    <w:p w:rsidR="007A2FDF" w:rsidRP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t>1.</w:t>
      </w:r>
      <w:r w:rsidRPr="007A2FDF">
        <w:rPr>
          <w:rFonts w:ascii="Times New Roman" w:hAnsi="Times New Roman" w:cs="Times New Roman"/>
          <w:sz w:val="24"/>
          <w:szCs w:val="24"/>
        </w:rPr>
        <w:tab/>
        <w:t>Veškeré podklady a informace, které příkazník obdrží od příkazce v souvislosti s jednáním o uzavření této smlouvy a plněním předmětu smlouvy, může příkazník použít výhradně za účelem splnění předmětu smlouvy. Po skončení plnění předmětu smlouvy předá příkazník příkazci všechny materiály a podklady, které od příkazce v souvislosti s plněním převzal. Příkazník je oprávněn ponechat si kopie těchto materiálů za podmínky dodržení ustanovení tohoto odstavce smlouvy.</w:t>
      </w:r>
    </w:p>
    <w:p w:rsidR="007A2FDF" w:rsidRP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t>2.</w:t>
      </w:r>
      <w:r w:rsidRPr="007A2FDF">
        <w:rPr>
          <w:rFonts w:ascii="Times New Roman" w:hAnsi="Times New Roman" w:cs="Times New Roman"/>
          <w:sz w:val="24"/>
          <w:szCs w:val="24"/>
        </w:rPr>
        <w:tab/>
        <w:t>Příkazník je povinen zachovávat mlčenlivost o všech záležitostech, o nichž se dozvěděl v souvislosti s prováděním předmětných činností.</w:t>
      </w:r>
    </w:p>
    <w:p w:rsidR="007A2FDF" w:rsidRP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t>3.</w:t>
      </w:r>
      <w:r w:rsidRPr="007A2FDF">
        <w:rPr>
          <w:rFonts w:ascii="Times New Roman" w:hAnsi="Times New Roman" w:cs="Times New Roman"/>
          <w:sz w:val="24"/>
          <w:szCs w:val="24"/>
        </w:rPr>
        <w:tab/>
        <w:t>Příkazce tímto uděluje příkazníkovi souhlas se zveřejněním názvu příkazce, jeho sídla a případně názvu ukončeného zadávacího řízení jako své referenční zakázky.</w:t>
      </w:r>
    </w:p>
    <w:p w:rsidR="007A2FDF" w:rsidRP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t>4.</w:t>
      </w:r>
      <w:r w:rsidRPr="007A2FDF">
        <w:rPr>
          <w:rFonts w:ascii="Times New Roman" w:hAnsi="Times New Roman" w:cs="Times New Roman"/>
          <w:sz w:val="24"/>
          <w:szCs w:val="24"/>
        </w:rPr>
        <w:tab/>
        <w:t>V případě, že příkazník bude v rámci své činnosti podle této smlouvy zpracovávat osobní nebo citlivé údaje ve smyslu zák. č. 101/2000 Sb., o ochraně osobních údaj</w:t>
      </w:r>
      <w:r w:rsidR="002A7532">
        <w:rPr>
          <w:rFonts w:ascii="Times New Roman" w:hAnsi="Times New Roman" w:cs="Times New Roman"/>
          <w:sz w:val="24"/>
          <w:szCs w:val="24"/>
        </w:rPr>
        <w:t>ů</w:t>
      </w:r>
      <w:r w:rsidRPr="007A2FDF">
        <w:rPr>
          <w:rFonts w:ascii="Times New Roman" w:hAnsi="Times New Roman" w:cs="Times New Roman"/>
          <w:sz w:val="24"/>
          <w:szCs w:val="24"/>
        </w:rPr>
        <w:t xml:space="preserve">, bude mezi smluvními stranami uzavřena smlouva o zpracování osobních údajů. </w:t>
      </w:r>
    </w:p>
    <w:p w:rsidR="002A7532" w:rsidRPr="007A2FDF" w:rsidRDefault="002A7532" w:rsidP="007A2FDF">
      <w:pPr>
        <w:spacing w:line="240" w:lineRule="auto"/>
        <w:jc w:val="both"/>
        <w:rPr>
          <w:rFonts w:ascii="Times New Roman" w:hAnsi="Times New Roman" w:cs="Times New Roman"/>
          <w:sz w:val="24"/>
          <w:szCs w:val="24"/>
        </w:rPr>
      </w:pPr>
    </w:p>
    <w:p w:rsidR="007A2FDF" w:rsidRDefault="007A2FDF" w:rsidP="007A2FDF">
      <w:pPr>
        <w:spacing w:line="240" w:lineRule="auto"/>
        <w:jc w:val="center"/>
        <w:rPr>
          <w:rFonts w:ascii="Times New Roman" w:hAnsi="Times New Roman" w:cs="Times New Roman"/>
          <w:b/>
          <w:sz w:val="24"/>
          <w:szCs w:val="24"/>
        </w:rPr>
      </w:pPr>
      <w:r w:rsidRPr="007A2FDF">
        <w:rPr>
          <w:rFonts w:ascii="Times New Roman" w:hAnsi="Times New Roman" w:cs="Times New Roman"/>
          <w:b/>
          <w:sz w:val="24"/>
          <w:szCs w:val="24"/>
        </w:rPr>
        <w:t xml:space="preserve">VIII. </w:t>
      </w:r>
    </w:p>
    <w:p w:rsidR="007A2FDF" w:rsidRPr="007A2FDF" w:rsidRDefault="007A2FDF" w:rsidP="007A2FDF">
      <w:pPr>
        <w:spacing w:line="240" w:lineRule="auto"/>
        <w:jc w:val="center"/>
        <w:rPr>
          <w:rFonts w:ascii="Times New Roman" w:hAnsi="Times New Roman" w:cs="Times New Roman"/>
          <w:b/>
          <w:sz w:val="24"/>
          <w:szCs w:val="24"/>
        </w:rPr>
      </w:pPr>
      <w:r w:rsidRPr="007A2FDF">
        <w:rPr>
          <w:rFonts w:ascii="Times New Roman" w:hAnsi="Times New Roman" w:cs="Times New Roman"/>
          <w:b/>
          <w:sz w:val="24"/>
          <w:szCs w:val="24"/>
        </w:rPr>
        <w:t>Zvláštní ujednání</w:t>
      </w:r>
    </w:p>
    <w:p w:rsidR="007A2FDF" w:rsidRP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t>1.</w:t>
      </w:r>
      <w:r w:rsidRPr="007A2FDF">
        <w:rPr>
          <w:rFonts w:ascii="Times New Roman" w:hAnsi="Times New Roman" w:cs="Times New Roman"/>
          <w:sz w:val="24"/>
          <w:szCs w:val="24"/>
        </w:rPr>
        <w:tab/>
        <w:t xml:space="preserve">Příkazník výslovně a čestně prohlašuje, že není ve střetu zájmů ve vztahu k předmětné veřejné zakázce a zadávacímu řízení ve smyslu § 44 ZZVZ. </w:t>
      </w:r>
    </w:p>
    <w:p w:rsidR="007A2FDF" w:rsidRP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t>2.</w:t>
      </w:r>
      <w:r w:rsidRPr="007A2FDF">
        <w:rPr>
          <w:rFonts w:ascii="Times New Roman" w:hAnsi="Times New Roman" w:cs="Times New Roman"/>
          <w:sz w:val="24"/>
          <w:szCs w:val="24"/>
        </w:rPr>
        <w:tab/>
        <w:t>Příkazník je povinen i po splnění jeho povinností dle této smlouvy poskytnout příkazci jeho žádost právní služby v navazujícím procesu přípravy a realizace projektu Domu sociálních služeb Praha 3, přičemž výše hodinové sazby odměny příkazníka za takto poskytnuté právní služby</w:t>
      </w:r>
      <w:r w:rsidR="002A7532">
        <w:rPr>
          <w:rFonts w:ascii="Times New Roman" w:hAnsi="Times New Roman" w:cs="Times New Roman"/>
          <w:sz w:val="24"/>
          <w:szCs w:val="24"/>
        </w:rPr>
        <w:t xml:space="preserve"> nepřekročí</w:t>
      </w:r>
      <w:r w:rsidRPr="007A2FDF">
        <w:rPr>
          <w:rFonts w:ascii="Times New Roman" w:hAnsi="Times New Roman" w:cs="Times New Roman"/>
          <w:sz w:val="24"/>
          <w:szCs w:val="24"/>
        </w:rPr>
        <w:t xml:space="preserve"> částku v místě i čase obvyklou. V takovém případě bude mezi stranami k tomuto účelu uzavřena zvláštní smlouva. Smluvní strany berou na vědomí, že celková výše odměny příkazníka za navazující právní služby podle tohoto odstavce smlouvy nesmí v souhrnu s odměnou dle čl. IV. odst. 1 této smlouvy překročit limit pro zakázku malého rozsahu dle ZZVZ. </w:t>
      </w:r>
    </w:p>
    <w:p w:rsidR="007A2FDF" w:rsidRPr="007A2FDF" w:rsidRDefault="007A2FDF" w:rsidP="007A2FDF">
      <w:pPr>
        <w:spacing w:line="240" w:lineRule="auto"/>
        <w:jc w:val="both"/>
        <w:rPr>
          <w:rFonts w:ascii="Times New Roman" w:hAnsi="Times New Roman" w:cs="Times New Roman"/>
          <w:sz w:val="24"/>
          <w:szCs w:val="24"/>
        </w:rPr>
      </w:pPr>
    </w:p>
    <w:p w:rsidR="007A2FDF" w:rsidRDefault="007A2FDF" w:rsidP="007A2FDF">
      <w:pPr>
        <w:spacing w:line="240" w:lineRule="auto"/>
        <w:jc w:val="center"/>
        <w:rPr>
          <w:rFonts w:ascii="Times New Roman" w:hAnsi="Times New Roman" w:cs="Times New Roman"/>
          <w:b/>
          <w:sz w:val="24"/>
          <w:szCs w:val="24"/>
        </w:rPr>
      </w:pPr>
      <w:r w:rsidRPr="007A2FDF">
        <w:rPr>
          <w:rFonts w:ascii="Times New Roman" w:hAnsi="Times New Roman" w:cs="Times New Roman"/>
          <w:b/>
          <w:sz w:val="24"/>
          <w:szCs w:val="24"/>
        </w:rPr>
        <w:t xml:space="preserve">IX. </w:t>
      </w:r>
    </w:p>
    <w:p w:rsidR="002D45B9" w:rsidRDefault="007A2FDF" w:rsidP="007A2FDF">
      <w:pPr>
        <w:spacing w:line="240" w:lineRule="auto"/>
        <w:jc w:val="center"/>
        <w:rPr>
          <w:rFonts w:ascii="Times New Roman" w:hAnsi="Times New Roman" w:cs="Times New Roman"/>
          <w:b/>
          <w:sz w:val="24"/>
          <w:szCs w:val="24"/>
        </w:rPr>
      </w:pPr>
      <w:r w:rsidRPr="007A2FDF">
        <w:rPr>
          <w:rFonts w:ascii="Times New Roman" w:hAnsi="Times New Roman" w:cs="Times New Roman"/>
          <w:b/>
          <w:sz w:val="24"/>
          <w:szCs w:val="24"/>
        </w:rPr>
        <w:t>Závěrečná ustanovení</w:t>
      </w:r>
    </w:p>
    <w:p w:rsidR="002D45B9" w:rsidRDefault="002D45B9">
      <w:pPr>
        <w:rPr>
          <w:rFonts w:ascii="Times New Roman" w:hAnsi="Times New Roman" w:cs="Times New Roman"/>
          <w:b/>
          <w:sz w:val="24"/>
          <w:szCs w:val="24"/>
        </w:rPr>
      </w:pPr>
      <w:r>
        <w:rPr>
          <w:rFonts w:ascii="Times New Roman" w:hAnsi="Times New Roman" w:cs="Times New Roman"/>
          <w:b/>
          <w:sz w:val="24"/>
          <w:szCs w:val="24"/>
        </w:rPr>
        <w:br w:type="page"/>
      </w:r>
    </w:p>
    <w:p w:rsidR="007A2FDF" w:rsidRP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lastRenderedPageBreak/>
        <w:t>1.</w:t>
      </w:r>
      <w:r w:rsidRPr="007A2FDF">
        <w:rPr>
          <w:rFonts w:ascii="Times New Roman" w:hAnsi="Times New Roman" w:cs="Times New Roman"/>
          <w:sz w:val="24"/>
          <w:szCs w:val="24"/>
        </w:rPr>
        <w:tab/>
        <w:t xml:space="preserve">Přijetí návrhu příkazce na uzavření této smlouvy ze strany příkazníka s dodatky nebo odchylkami dle </w:t>
      </w:r>
      <w:proofErr w:type="spellStart"/>
      <w:r w:rsidRPr="007A2FDF">
        <w:rPr>
          <w:rFonts w:ascii="Times New Roman" w:hAnsi="Times New Roman" w:cs="Times New Roman"/>
          <w:sz w:val="24"/>
          <w:szCs w:val="24"/>
        </w:rPr>
        <w:t>ust</w:t>
      </w:r>
      <w:proofErr w:type="spellEnd"/>
      <w:r w:rsidRPr="007A2FDF">
        <w:rPr>
          <w:rFonts w:ascii="Times New Roman" w:hAnsi="Times New Roman" w:cs="Times New Roman"/>
          <w:sz w:val="24"/>
          <w:szCs w:val="24"/>
        </w:rPr>
        <w:t xml:space="preserve">. § 1740 odst. 3 občanského zákoníku je vyloučeno. Pro účely této smlouvy se nepoužije ustanovení o platnosti potvrzení, které vykazuje odchylky od skutečně ujednaného obsahu smlouvy ve smyslu </w:t>
      </w:r>
      <w:proofErr w:type="spellStart"/>
      <w:r w:rsidRPr="007A2FDF">
        <w:rPr>
          <w:rFonts w:ascii="Times New Roman" w:hAnsi="Times New Roman" w:cs="Times New Roman"/>
          <w:sz w:val="24"/>
          <w:szCs w:val="24"/>
        </w:rPr>
        <w:t>ust</w:t>
      </w:r>
      <w:proofErr w:type="spellEnd"/>
      <w:r w:rsidRPr="007A2FDF">
        <w:rPr>
          <w:rFonts w:ascii="Times New Roman" w:hAnsi="Times New Roman" w:cs="Times New Roman"/>
          <w:sz w:val="24"/>
          <w:szCs w:val="24"/>
        </w:rPr>
        <w:t>. § 1757 o</w:t>
      </w:r>
      <w:r>
        <w:rPr>
          <w:rFonts w:ascii="Times New Roman" w:hAnsi="Times New Roman" w:cs="Times New Roman"/>
          <w:sz w:val="24"/>
          <w:szCs w:val="24"/>
        </w:rPr>
        <w:t>dst. 2 a 3 občanského zákoníku.</w:t>
      </w:r>
    </w:p>
    <w:p w:rsidR="007A2FDF" w:rsidRP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t>2.</w:t>
      </w:r>
      <w:r w:rsidRPr="007A2FDF">
        <w:rPr>
          <w:rFonts w:ascii="Times New Roman" w:hAnsi="Times New Roman" w:cs="Times New Roman"/>
          <w:sz w:val="24"/>
          <w:szCs w:val="24"/>
        </w:rPr>
        <w:tab/>
        <w:t>Žádná část obsahu smlouvy není určena odkazem na obchodní podmínky kterékoliv ze smluvních stran.</w:t>
      </w:r>
    </w:p>
    <w:p w:rsidR="007A2FDF" w:rsidRP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t>3.</w:t>
      </w:r>
      <w:r w:rsidRPr="007A2FDF">
        <w:rPr>
          <w:rFonts w:ascii="Times New Roman" w:hAnsi="Times New Roman" w:cs="Times New Roman"/>
          <w:sz w:val="24"/>
          <w:szCs w:val="24"/>
        </w:rPr>
        <w:tab/>
        <w:t>Smlu</w:t>
      </w:r>
      <w:r w:rsidR="002A7532">
        <w:rPr>
          <w:rFonts w:ascii="Times New Roman" w:hAnsi="Times New Roman" w:cs="Times New Roman"/>
          <w:sz w:val="24"/>
          <w:szCs w:val="24"/>
        </w:rPr>
        <w:t>vní strany konstatují, že tato s</w:t>
      </w:r>
      <w:r w:rsidRPr="007A2FDF">
        <w:rPr>
          <w:rFonts w:ascii="Times New Roman" w:hAnsi="Times New Roman" w:cs="Times New Roman"/>
          <w:sz w:val="24"/>
          <w:szCs w:val="24"/>
        </w:rPr>
        <w:t xml:space="preserve">mlouva není uzavírána adhezním způsobem a </w:t>
      </w:r>
      <w:proofErr w:type="spellStart"/>
      <w:r w:rsidRPr="007A2FDF">
        <w:rPr>
          <w:rFonts w:ascii="Times New Roman" w:hAnsi="Times New Roman" w:cs="Times New Roman"/>
          <w:sz w:val="24"/>
          <w:szCs w:val="24"/>
        </w:rPr>
        <w:t>ust</w:t>
      </w:r>
      <w:proofErr w:type="spellEnd"/>
      <w:r w:rsidRPr="007A2FDF">
        <w:rPr>
          <w:rFonts w:ascii="Times New Roman" w:hAnsi="Times New Roman" w:cs="Times New Roman"/>
          <w:sz w:val="24"/>
          <w:szCs w:val="24"/>
        </w:rPr>
        <w:t xml:space="preserve">. § 1799 a § 1800 </w:t>
      </w:r>
      <w:r w:rsidR="002A7532">
        <w:rPr>
          <w:rFonts w:ascii="Times New Roman" w:hAnsi="Times New Roman" w:cs="Times New Roman"/>
          <w:sz w:val="24"/>
          <w:szCs w:val="24"/>
        </w:rPr>
        <w:t>občanského zákoníku se na tuto s</w:t>
      </w:r>
      <w:r w:rsidRPr="007A2FDF">
        <w:rPr>
          <w:rFonts w:ascii="Times New Roman" w:hAnsi="Times New Roman" w:cs="Times New Roman"/>
          <w:sz w:val="24"/>
          <w:szCs w:val="24"/>
        </w:rPr>
        <w:t>mlouvu proto nepoužije.</w:t>
      </w:r>
    </w:p>
    <w:p w:rsidR="007A2FDF" w:rsidRP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t>4.</w:t>
      </w:r>
      <w:r w:rsidRPr="007A2FDF">
        <w:rPr>
          <w:rFonts w:ascii="Times New Roman" w:hAnsi="Times New Roman" w:cs="Times New Roman"/>
          <w:sz w:val="24"/>
          <w:szCs w:val="24"/>
        </w:rPr>
        <w:tab/>
        <w:t>Smluvní strany prohlašují, že jsou dostatečně srozuměny s obsahem, významem a důsledky ujednání této smlouvy, a že mají dostatečné znalosti a zkušenosti taková ujednání, jejich význam a důsledky posoudit.</w:t>
      </w:r>
    </w:p>
    <w:p w:rsidR="007A2FDF" w:rsidRP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t>5.</w:t>
      </w:r>
      <w:r w:rsidRPr="007A2FDF">
        <w:rPr>
          <w:rFonts w:ascii="Times New Roman" w:hAnsi="Times New Roman" w:cs="Times New Roman"/>
          <w:sz w:val="24"/>
          <w:szCs w:val="24"/>
        </w:rPr>
        <w:tab/>
        <w:t>Tato smlouva může být měněna pouze dohodou stran v písemné formě.</w:t>
      </w:r>
    </w:p>
    <w:p w:rsidR="007A2FDF" w:rsidRP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t>6.</w:t>
      </w:r>
      <w:r w:rsidRPr="007A2FDF">
        <w:rPr>
          <w:rFonts w:ascii="Times New Roman" w:hAnsi="Times New Roman" w:cs="Times New Roman"/>
          <w:sz w:val="24"/>
          <w:szCs w:val="24"/>
        </w:rPr>
        <w:tab/>
        <w:t>Na otázky výslovně neupravené v této smlouvě se přiměřeně použijí ustanovení občanského zákoníku. Pro úpravu otázek neřešených v této smlouvě se vylučuje použití zvyklostí nebo praxe zavedené mezi smluvními stranami.</w:t>
      </w:r>
    </w:p>
    <w:p w:rsidR="007A2FDF" w:rsidRP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t>7.</w:t>
      </w:r>
      <w:r w:rsidRPr="007A2FDF">
        <w:rPr>
          <w:rFonts w:ascii="Times New Roman" w:hAnsi="Times New Roman" w:cs="Times New Roman"/>
          <w:sz w:val="24"/>
          <w:szCs w:val="24"/>
        </w:rPr>
        <w:tab/>
        <w:t>Smlouva je vyhotovena ve 3 stejnopisech s platností originálu, z nichž dva obdrží příkazce a jeden příkazník.</w:t>
      </w:r>
    </w:p>
    <w:p w:rsidR="007A2FDF" w:rsidRP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t>8.</w:t>
      </w:r>
      <w:r w:rsidRPr="007A2FDF">
        <w:rPr>
          <w:rFonts w:ascii="Times New Roman" w:hAnsi="Times New Roman" w:cs="Times New Roman"/>
          <w:sz w:val="24"/>
          <w:szCs w:val="24"/>
        </w:rPr>
        <w:tab/>
        <w:t xml:space="preserve">Adresami pro doručování jsou sídla (místo podnikání) smluvních stran </w:t>
      </w:r>
      <w:r>
        <w:rPr>
          <w:rFonts w:ascii="Times New Roman" w:hAnsi="Times New Roman" w:cs="Times New Roman"/>
          <w:sz w:val="24"/>
          <w:szCs w:val="24"/>
        </w:rPr>
        <w:t>uvedená v záhlaví této smlouvy.</w:t>
      </w:r>
    </w:p>
    <w:p w:rsidR="007A2FDF" w:rsidRPr="007A2FDF" w:rsidRDefault="007A2FDF" w:rsidP="007A2FDF">
      <w:pPr>
        <w:spacing w:line="240" w:lineRule="auto"/>
        <w:jc w:val="both"/>
        <w:rPr>
          <w:rFonts w:ascii="Times New Roman" w:hAnsi="Times New Roman" w:cs="Times New Roman"/>
          <w:sz w:val="24"/>
          <w:szCs w:val="24"/>
        </w:rPr>
      </w:pPr>
      <w:r>
        <w:rPr>
          <w:rFonts w:ascii="Times New Roman" w:hAnsi="Times New Roman" w:cs="Times New Roman"/>
          <w:sz w:val="24"/>
          <w:szCs w:val="24"/>
        </w:rPr>
        <w:t>9</w:t>
      </w:r>
      <w:r w:rsidRPr="007A2FDF">
        <w:rPr>
          <w:rFonts w:ascii="Times New Roman" w:hAnsi="Times New Roman" w:cs="Times New Roman"/>
          <w:sz w:val="24"/>
          <w:szCs w:val="24"/>
        </w:rPr>
        <w:t>.  Smluvní strany výslovně souhlasí s tím, aby tato smlouva byla uvedena v evidenci smluv vedené Městskou částí Praha 3, která je veřejně přístupná a obsahuje údaje o smluvních stranách, předmětu smlouvy, číselné označení této smlouvy a datum jejího podpisu či aby byl celý její obsah příkazcem zveřejněn, zejména v Registru smluv na portálu veřejné správy. Smluvní strany prohlašují, že veškeré informace uvedené v této smlouvě nepovažují za obchodní tajemství ve smyslu § 504, občanského zákoníku a udělují svolení k jejich užití a zveřejnění bez stanovení jakýchkoliv dalších podmínek.</w:t>
      </w:r>
    </w:p>
    <w:p w:rsidR="007A2FDF" w:rsidRDefault="007A2FDF" w:rsidP="007A2FDF">
      <w:pPr>
        <w:spacing w:line="240" w:lineRule="auto"/>
        <w:jc w:val="both"/>
        <w:rPr>
          <w:rFonts w:ascii="Times New Roman" w:hAnsi="Times New Roman" w:cs="Times New Roman"/>
          <w:sz w:val="24"/>
          <w:szCs w:val="24"/>
        </w:rPr>
      </w:pPr>
    </w:p>
    <w:p w:rsidR="002D45B9" w:rsidRDefault="002D45B9" w:rsidP="007A2FDF">
      <w:pPr>
        <w:spacing w:line="240" w:lineRule="auto"/>
        <w:jc w:val="both"/>
        <w:rPr>
          <w:rFonts w:ascii="Times New Roman" w:hAnsi="Times New Roman" w:cs="Times New Roman"/>
          <w:sz w:val="24"/>
          <w:szCs w:val="24"/>
        </w:rPr>
      </w:pPr>
    </w:p>
    <w:p w:rsidR="007A2FDF" w:rsidRP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t>V Praze dne …………2017</w:t>
      </w:r>
      <w:r w:rsidRPr="007A2FDF">
        <w:rPr>
          <w:rFonts w:ascii="Times New Roman" w:hAnsi="Times New Roman" w:cs="Times New Roman"/>
          <w:sz w:val="24"/>
          <w:szCs w:val="24"/>
        </w:rPr>
        <w:tab/>
      </w:r>
      <w:r w:rsidRPr="007A2FDF">
        <w:rPr>
          <w:rFonts w:ascii="Times New Roman" w:hAnsi="Times New Roman" w:cs="Times New Roman"/>
          <w:sz w:val="24"/>
          <w:szCs w:val="24"/>
        </w:rPr>
        <w:tab/>
        <w:t xml:space="preserve">          V Praze dne </w:t>
      </w:r>
      <w:r w:rsidR="002D45B9">
        <w:rPr>
          <w:rFonts w:ascii="Times New Roman" w:hAnsi="Times New Roman" w:cs="Times New Roman"/>
          <w:sz w:val="24"/>
          <w:szCs w:val="24"/>
        </w:rPr>
        <w:t>………….</w:t>
      </w:r>
      <w:bookmarkStart w:id="0" w:name="_GoBack"/>
      <w:bookmarkEnd w:id="0"/>
      <w:r w:rsidRPr="007A2FDF">
        <w:rPr>
          <w:rFonts w:ascii="Times New Roman" w:hAnsi="Times New Roman" w:cs="Times New Roman"/>
          <w:sz w:val="24"/>
          <w:szCs w:val="24"/>
        </w:rPr>
        <w:t>2017</w:t>
      </w:r>
    </w:p>
    <w:p w:rsidR="007A2FDF" w:rsidRPr="007A2FDF" w:rsidRDefault="007A2FDF" w:rsidP="007A2FDF">
      <w:pPr>
        <w:spacing w:line="240" w:lineRule="auto"/>
        <w:jc w:val="both"/>
        <w:rPr>
          <w:rFonts w:ascii="Times New Roman" w:hAnsi="Times New Roman" w:cs="Times New Roman"/>
          <w:sz w:val="24"/>
          <w:szCs w:val="24"/>
        </w:rPr>
      </w:pPr>
    </w:p>
    <w:p w:rsidR="007A2FDF" w:rsidRPr="007A2FDF" w:rsidRDefault="007A2FDF" w:rsidP="007A2FDF">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t>…………………………………</w:t>
      </w:r>
      <w:r w:rsidRPr="007A2FDF">
        <w:rPr>
          <w:rFonts w:ascii="Times New Roman" w:hAnsi="Times New Roman" w:cs="Times New Roman"/>
          <w:sz w:val="24"/>
          <w:szCs w:val="24"/>
        </w:rPr>
        <w:tab/>
        <w:t xml:space="preserve">          ……………………………………..</w:t>
      </w:r>
    </w:p>
    <w:p w:rsidR="007A2FDF" w:rsidRPr="007A2FDF" w:rsidRDefault="007A2FDF" w:rsidP="000F5DB2">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t>Městská část Praha 3</w:t>
      </w:r>
      <w:r w:rsidRPr="007A2FDF">
        <w:rPr>
          <w:rFonts w:ascii="Times New Roman" w:hAnsi="Times New Roman" w:cs="Times New Roman"/>
          <w:sz w:val="24"/>
          <w:szCs w:val="24"/>
        </w:rPr>
        <w:tab/>
      </w:r>
      <w:r w:rsidRPr="007A2FDF">
        <w:rPr>
          <w:rFonts w:ascii="Times New Roman" w:hAnsi="Times New Roman" w:cs="Times New Roman"/>
          <w:sz w:val="24"/>
          <w:szCs w:val="24"/>
        </w:rPr>
        <w:tab/>
      </w:r>
      <w:r w:rsidRPr="007A2FDF">
        <w:rPr>
          <w:rFonts w:ascii="Times New Roman" w:hAnsi="Times New Roman" w:cs="Times New Roman"/>
          <w:sz w:val="24"/>
          <w:szCs w:val="24"/>
        </w:rPr>
        <w:tab/>
      </w:r>
      <w:r w:rsidRPr="007A2FDF">
        <w:rPr>
          <w:rFonts w:ascii="Times New Roman" w:hAnsi="Times New Roman" w:cs="Times New Roman"/>
          <w:sz w:val="24"/>
          <w:szCs w:val="24"/>
        </w:rPr>
        <w:tab/>
      </w:r>
      <w:r w:rsidR="000F5DB2">
        <w:rPr>
          <w:rFonts w:ascii="Times New Roman" w:hAnsi="Times New Roman" w:cs="Times New Roman"/>
          <w:sz w:val="24"/>
          <w:szCs w:val="24"/>
        </w:rPr>
        <w:t>Mgr. Michal Mazel, advokát</w:t>
      </w:r>
    </w:p>
    <w:p w:rsidR="007A2FDF" w:rsidRPr="007A2FDF" w:rsidRDefault="007A2FDF" w:rsidP="000F5DB2">
      <w:pPr>
        <w:spacing w:line="240" w:lineRule="auto"/>
        <w:jc w:val="both"/>
        <w:rPr>
          <w:rFonts w:ascii="Times New Roman" w:hAnsi="Times New Roman" w:cs="Times New Roman"/>
          <w:sz w:val="24"/>
          <w:szCs w:val="24"/>
        </w:rPr>
      </w:pPr>
      <w:r w:rsidRPr="007A2FDF">
        <w:rPr>
          <w:rFonts w:ascii="Times New Roman" w:hAnsi="Times New Roman" w:cs="Times New Roman"/>
          <w:sz w:val="24"/>
          <w:szCs w:val="24"/>
        </w:rPr>
        <w:t xml:space="preserve">Vladislava </w:t>
      </w:r>
      <w:proofErr w:type="spellStart"/>
      <w:r w:rsidRPr="007A2FDF">
        <w:rPr>
          <w:rFonts w:ascii="Times New Roman" w:hAnsi="Times New Roman" w:cs="Times New Roman"/>
          <w:sz w:val="24"/>
          <w:szCs w:val="24"/>
        </w:rPr>
        <w:t>Hujová</w:t>
      </w:r>
      <w:proofErr w:type="spellEnd"/>
      <w:r w:rsidRPr="007A2FDF">
        <w:rPr>
          <w:rFonts w:ascii="Times New Roman" w:hAnsi="Times New Roman" w:cs="Times New Roman"/>
          <w:sz w:val="24"/>
          <w:szCs w:val="24"/>
        </w:rPr>
        <w:t>, starostka</w:t>
      </w:r>
      <w:r w:rsidRPr="007A2FDF">
        <w:rPr>
          <w:rFonts w:ascii="Times New Roman" w:hAnsi="Times New Roman" w:cs="Times New Roman"/>
          <w:sz w:val="24"/>
          <w:szCs w:val="24"/>
        </w:rPr>
        <w:tab/>
      </w:r>
      <w:r w:rsidRPr="007A2FDF">
        <w:rPr>
          <w:rFonts w:ascii="Times New Roman" w:hAnsi="Times New Roman" w:cs="Times New Roman"/>
          <w:sz w:val="24"/>
          <w:szCs w:val="24"/>
        </w:rPr>
        <w:tab/>
      </w:r>
      <w:r w:rsidRPr="007A2FDF">
        <w:rPr>
          <w:rFonts w:ascii="Times New Roman" w:hAnsi="Times New Roman" w:cs="Times New Roman"/>
          <w:sz w:val="24"/>
          <w:szCs w:val="24"/>
        </w:rPr>
        <w:tab/>
      </w:r>
      <w:r w:rsidR="000F5DB2">
        <w:rPr>
          <w:rFonts w:ascii="Times New Roman" w:hAnsi="Times New Roman" w:cs="Times New Roman"/>
          <w:sz w:val="24"/>
          <w:szCs w:val="24"/>
        </w:rPr>
        <w:t>Mgr. Marie Plíšková, advokát</w:t>
      </w:r>
    </w:p>
    <w:p w:rsidR="00C77C7C" w:rsidRDefault="000F5DB2" w:rsidP="000F5DB2">
      <w:pPr>
        <w:spacing w:line="240" w:lineRule="auto"/>
        <w:ind w:left="4245"/>
        <w:rPr>
          <w:rFonts w:ascii="Times New Roman" w:hAnsi="Times New Roman" w:cs="Times New Roman"/>
          <w:sz w:val="24"/>
          <w:szCs w:val="24"/>
        </w:rPr>
      </w:pPr>
      <w:r>
        <w:rPr>
          <w:rFonts w:ascii="Times New Roman" w:hAnsi="Times New Roman" w:cs="Times New Roman"/>
          <w:sz w:val="24"/>
          <w:szCs w:val="24"/>
        </w:rPr>
        <w:t xml:space="preserve">JUDr. Vilém Podešva, LLM, za </w:t>
      </w:r>
      <w:proofErr w:type="gramStart"/>
      <w:r>
        <w:rPr>
          <w:rFonts w:ascii="Times New Roman" w:hAnsi="Times New Roman" w:cs="Times New Roman"/>
          <w:sz w:val="24"/>
          <w:szCs w:val="24"/>
        </w:rPr>
        <w:t>ROWAN</w:t>
      </w:r>
      <w:proofErr w:type="gramEnd"/>
      <w:r>
        <w:rPr>
          <w:rFonts w:ascii="Times New Roman" w:hAnsi="Times New Roman" w:cs="Times New Roman"/>
          <w:sz w:val="24"/>
          <w:szCs w:val="24"/>
        </w:rPr>
        <w:t xml:space="preserve"> LEGAL, advokátní kancelář</w:t>
      </w:r>
    </w:p>
    <w:p w:rsidR="00C77C7C" w:rsidRDefault="00C77C7C">
      <w:pPr>
        <w:rPr>
          <w:rFonts w:ascii="Times New Roman" w:hAnsi="Times New Roman" w:cs="Times New Roman"/>
          <w:sz w:val="24"/>
          <w:szCs w:val="24"/>
        </w:rPr>
      </w:pPr>
      <w:r>
        <w:rPr>
          <w:rFonts w:ascii="Times New Roman" w:hAnsi="Times New Roman" w:cs="Times New Roman"/>
          <w:sz w:val="24"/>
          <w:szCs w:val="24"/>
        </w:rPr>
        <w:br w:type="page"/>
      </w:r>
    </w:p>
    <w:p w:rsidR="00C77C7C" w:rsidRPr="00C77C7C" w:rsidRDefault="00C77C7C" w:rsidP="00C77C7C">
      <w:pPr>
        <w:keepNext/>
        <w:keepLines/>
        <w:spacing w:before="200" w:after="120" w:line="360" w:lineRule="auto"/>
        <w:jc w:val="both"/>
        <w:outlineLvl w:val="1"/>
        <w:rPr>
          <w:rFonts w:ascii="Arial" w:eastAsia="Times New Roman" w:hAnsi="Arial" w:cs="Times New Roman"/>
          <w:b/>
          <w:bCs/>
          <w:color w:val="244061"/>
          <w:sz w:val="24"/>
          <w:szCs w:val="26"/>
          <w:u w:val="single"/>
        </w:rPr>
      </w:pPr>
      <w:bookmarkStart w:id="1" w:name="_Toc439925465"/>
      <w:bookmarkStart w:id="2" w:name="_Toc439949675"/>
      <w:bookmarkStart w:id="3" w:name="_Toc440369717"/>
      <w:bookmarkStart w:id="4" w:name="_Toc440981939"/>
      <w:bookmarkStart w:id="5" w:name="_Toc441153158"/>
      <w:bookmarkStart w:id="6" w:name="_Toc441753571"/>
      <w:bookmarkStart w:id="7" w:name="_Toc442111462"/>
      <w:bookmarkStart w:id="8" w:name="_Toc442285574"/>
      <w:bookmarkStart w:id="9" w:name="_Toc464460303"/>
      <w:r w:rsidRPr="00C77C7C">
        <w:rPr>
          <w:rFonts w:ascii="Arial" w:eastAsia="Times New Roman" w:hAnsi="Arial" w:cs="Times New Roman"/>
          <w:b/>
          <w:bCs/>
          <w:color w:val="244061"/>
          <w:sz w:val="24"/>
          <w:szCs w:val="26"/>
          <w:u w:val="single"/>
        </w:rPr>
        <w:lastRenderedPageBreak/>
        <w:t>Příloha č. 1 Podklad pro výběr administrátora zakázky</w:t>
      </w:r>
    </w:p>
    <w:p w:rsidR="00C77C7C" w:rsidRPr="00C77C7C" w:rsidRDefault="00C77C7C" w:rsidP="00C77C7C">
      <w:pPr>
        <w:spacing w:after="0" w:line="360" w:lineRule="auto"/>
        <w:jc w:val="both"/>
        <w:rPr>
          <w:rFonts w:ascii="Arial" w:eastAsia="Calibri" w:hAnsi="Arial" w:cs="Times New Roman"/>
          <w:sz w:val="20"/>
        </w:rPr>
      </w:pPr>
    </w:p>
    <w:p w:rsidR="00C77C7C" w:rsidRPr="00C77C7C" w:rsidRDefault="00C77C7C" w:rsidP="00C77C7C">
      <w:pPr>
        <w:keepNext/>
        <w:keepLines/>
        <w:spacing w:before="200" w:after="0" w:line="360" w:lineRule="auto"/>
        <w:jc w:val="both"/>
        <w:outlineLvl w:val="1"/>
        <w:rPr>
          <w:rFonts w:ascii="Arial" w:eastAsia="Times New Roman" w:hAnsi="Arial" w:cs="Times New Roman"/>
          <w:b/>
          <w:bCs/>
          <w:color w:val="244061"/>
          <w:sz w:val="24"/>
          <w:szCs w:val="26"/>
        </w:rPr>
      </w:pPr>
      <w:r w:rsidRPr="00C77C7C">
        <w:rPr>
          <w:rFonts w:ascii="Arial" w:eastAsia="Times New Roman" w:hAnsi="Arial" w:cs="Times New Roman"/>
          <w:b/>
          <w:bCs/>
          <w:color w:val="244061"/>
          <w:sz w:val="24"/>
          <w:szCs w:val="26"/>
        </w:rPr>
        <w:t>Dům sociálních služeb Praha 3</w:t>
      </w:r>
      <w:bookmarkEnd w:id="1"/>
      <w:bookmarkEnd w:id="2"/>
      <w:bookmarkEnd w:id="3"/>
      <w:bookmarkEnd w:id="4"/>
      <w:bookmarkEnd w:id="5"/>
      <w:bookmarkEnd w:id="6"/>
      <w:bookmarkEnd w:id="7"/>
      <w:bookmarkEnd w:id="8"/>
      <w:bookmarkEnd w:id="9"/>
    </w:p>
    <w:p w:rsidR="00C77C7C" w:rsidRPr="00C77C7C" w:rsidRDefault="00C77C7C" w:rsidP="00C77C7C">
      <w:pPr>
        <w:spacing w:after="120" w:line="360" w:lineRule="auto"/>
        <w:jc w:val="both"/>
        <w:rPr>
          <w:rFonts w:ascii="Arial" w:eastAsia="Calibri" w:hAnsi="Arial" w:cs="Times New Roman"/>
          <w:sz w:val="20"/>
          <w:szCs w:val="20"/>
        </w:rPr>
      </w:pPr>
      <w:r w:rsidRPr="00C77C7C">
        <w:rPr>
          <w:rFonts w:ascii="Arial" w:eastAsia="Calibri" w:hAnsi="Arial" w:cs="Times New Roman"/>
          <w:sz w:val="20"/>
          <w:szCs w:val="20"/>
        </w:rPr>
        <w:t>Podklad pro výběr poradce zodpovědného za přípravu a realizaci výběrového řízení na provozovatele = „administrátora“ zakázky</w:t>
      </w:r>
    </w:p>
    <w:p w:rsidR="00C77C7C" w:rsidRPr="00C77C7C" w:rsidRDefault="00C77C7C" w:rsidP="00C77C7C">
      <w:pPr>
        <w:keepNext/>
        <w:keepLines/>
        <w:spacing w:after="0" w:line="360" w:lineRule="auto"/>
        <w:jc w:val="both"/>
        <w:outlineLvl w:val="1"/>
        <w:rPr>
          <w:rFonts w:ascii="Arial" w:eastAsia="Times New Roman" w:hAnsi="Arial" w:cs="Times New Roman"/>
          <w:b/>
          <w:bCs/>
          <w:color w:val="244061"/>
          <w:sz w:val="24"/>
          <w:szCs w:val="26"/>
        </w:rPr>
      </w:pPr>
      <w:bookmarkStart w:id="10" w:name="_Toc464460304"/>
    </w:p>
    <w:p w:rsidR="00C77C7C" w:rsidRPr="00C77C7C" w:rsidRDefault="00C77C7C" w:rsidP="00C77C7C">
      <w:pPr>
        <w:keepNext/>
        <w:keepLines/>
        <w:spacing w:after="0" w:line="360" w:lineRule="auto"/>
        <w:jc w:val="both"/>
        <w:outlineLvl w:val="1"/>
        <w:rPr>
          <w:rFonts w:ascii="Arial" w:eastAsia="Times New Roman" w:hAnsi="Arial" w:cs="Times New Roman"/>
          <w:b/>
          <w:bCs/>
          <w:color w:val="244061"/>
          <w:sz w:val="24"/>
          <w:szCs w:val="26"/>
        </w:rPr>
      </w:pPr>
      <w:r w:rsidRPr="00C77C7C">
        <w:rPr>
          <w:rFonts w:ascii="Arial" w:eastAsia="Times New Roman" w:hAnsi="Arial" w:cs="Times New Roman"/>
          <w:b/>
          <w:bCs/>
          <w:color w:val="244061"/>
          <w:sz w:val="24"/>
          <w:szCs w:val="26"/>
        </w:rPr>
        <w:t>Úvod</w:t>
      </w:r>
      <w:bookmarkEnd w:id="10"/>
    </w:p>
    <w:p w:rsidR="00C77C7C" w:rsidRPr="00C77C7C" w:rsidRDefault="00C77C7C" w:rsidP="00C77C7C">
      <w:pPr>
        <w:spacing w:after="0" w:line="360" w:lineRule="auto"/>
        <w:jc w:val="both"/>
        <w:rPr>
          <w:rFonts w:ascii="Arial" w:eastAsia="Calibri" w:hAnsi="Arial" w:cs="Times New Roman"/>
          <w:sz w:val="20"/>
        </w:rPr>
      </w:pPr>
      <w:r w:rsidRPr="00C77C7C">
        <w:rPr>
          <w:rFonts w:ascii="Arial" w:eastAsia="Calibri" w:hAnsi="Arial" w:cs="Times New Roman"/>
          <w:sz w:val="20"/>
        </w:rPr>
        <w:t xml:space="preserve">Dlouhodobým cílem městské části Praha 3 (dále též MČ Praha 3) je v návaznosti na Komunitní plán rozvoje sociálních a návazných služeb na území městské části Praha 3 na období 2015 – 2019 vytvořit odpovídající nabídku pobytových a ambulantních sociálních služeb pro své občany. Za tímto účelem byla v průběhu jara 2016 vypracována Českou spořitelnou, a.s. komplexní Studie proveditelnosti. Studie se zaměřuje na vyhodnocení potřebnosti a dlouhodobé finanční udržitelnosti nového Domu sociálních služeb Praha 3 a funkce stávajících dvou objektů, které budou jako celek tří objektů poskytovat pobytové a ambulantní sociální služby poskytované dle zákona č. 108/2006 Sb., o sociálních službách. Rozsah poskytovaných služeb zahrnuje domov pro seniory, domov se zvláštním režimem, denní stacionář a sociální poradenství – hlavní cílovou skupinu tvoří již nesoběstační senioři. </w:t>
      </w:r>
    </w:p>
    <w:p w:rsidR="00C77C7C" w:rsidRPr="00C77C7C" w:rsidRDefault="00C77C7C" w:rsidP="00C77C7C">
      <w:pPr>
        <w:spacing w:after="120" w:line="360" w:lineRule="auto"/>
        <w:jc w:val="both"/>
        <w:rPr>
          <w:rFonts w:ascii="Arial" w:eastAsia="Calibri" w:hAnsi="Arial" w:cs="Times New Roman"/>
          <w:sz w:val="20"/>
        </w:rPr>
      </w:pPr>
      <w:r w:rsidRPr="00C77C7C">
        <w:rPr>
          <w:rFonts w:ascii="Arial" w:eastAsia="Calibri" w:hAnsi="Arial" w:cs="Times New Roman"/>
          <w:sz w:val="20"/>
        </w:rPr>
        <w:t xml:space="preserve">Z hlediska ekonomiky provozu je klíčové zařazení poskytovaných sociálních služeb MČ Praha 3 do krajské sítě sociálních služeb, o kterém rozhoduje Magistrát hlavního města Prahy a které je nutnou podmínkou pro získání provozních dotací. Z tohoto důvodu je důležité se zaměřit na Střednědobý plán rozvoje sociálních služeb na území hlavního města Prahy na období 2016 – 2018, který mimo jiné obsahuje stanoviska hlavního města Prahy k potřebnosti jednotlivých sociálních služeb. Do výběrového řízení na budoucího provozovatele by se měly kvalifikovat pouze renomované společnosti, které disponují týmem odborníků se zkušenostmi s přípravou a realizací rozsahem podobných projektů, ale zejména aktivním provozováním vlastní sítě pobytových zařízení pro seniory. </w:t>
      </w:r>
    </w:p>
    <w:p w:rsidR="00C77C7C" w:rsidRPr="00C77C7C" w:rsidRDefault="00C77C7C" w:rsidP="00C77C7C">
      <w:pPr>
        <w:spacing w:after="120" w:line="360" w:lineRule="auto"/>
        <w:jc w:val="both"/>
        <w:rPr>
          <w:rFonts w:ascii="Arial" w:eastAsia="Calibri" w:hAnsi="Arial" w:cs="Times New Roman"/>
          <w:sz w:val="20"/>
        </w:rPr>
      </w:pPr>
    </w:p>
    <w:p w:rsidR="00C77C7C" w:rsidRPr="00C77C7C" w:rsidRDefault="00C77C7C" w:rsidP="00C77C7C">
      <w:pPr>
        <w:keepNext/>
        <w:keepLines/>
        <w:spacing w:after="0" w:line="360" w:lineRule="auto"/>
        <w:jc w:val="both"/>
        <w:outlineLvl w:val="1"/>
        <w:rPr>
          <w:rFonts w:ascii="Arial" w:eastAsia="Times New Roman" w:hAnsi="Arial" w:cs="Times New Roman"/>
          <w:b/>
          <w:bCs/>
          <w:color w:val="244061"/>
          <w:sz w:val="24"/>
          <w:szCs w:val="26"/>
        </w:rPr>
      </w:pPr>
      <w:bookmarkStart w:id="11" w:name="_Toc464460305"/>
      <w:r w:rsidRPr="00C77C7C">
        <w:rPr>
          <w:rFonts w:ascii="Arial" w:eastAsia="Times New Roman" w:hAnsi="Arial" w:cs="Times New Roman"/>
          <w:b/>
          <w:bCs/>
          <w:color w:val="244061"/>
          <w:sz w:val="24"/>
          <w:szCs w:val="26"/>
        </w:rPr>
        <w:t>Harmonogram</w:t>
      </w:r>
      <w:bookmarkEnd w:id="11"/>
    </w:p>
    <w:p w:rsidR="00C77C7C" w:rsidRPr="00C77C7C" w:rsidRDefault="00C77C7C" w:rsidP="00C77C7C">
      <w:pPr>
        <w:spacing w:after="60" w:line="360" w:lineRule="auto"/>
        <w:jc w:val="both"/>
        <w:rPr>
          <w:rFonts w:ascii="Arial" w:eastAsia="Calibri" w:hAnsi="Arial" w:cs="Times New Roman"/>
          <w:sz w:val="20"/>
        </w:rPr>
      </w:pPr>
      <w:r w:rsidRPr="00C77C7C">
        <w:rPr>
          <w:rFonts w:ascii="Arial" w:eastAsia="Calibri" w:hAnsi="Arial" w:cs="Times New Roman"/>
          <w:sz w:val="20"/>
        </w:rPr>
        <w:t>Další kroky v rámci projektu Centra sociálních služeb Praha 3 zahrnují:</w:t>
      </w:r>
    </w:p>
    <w:p w:rsidR="00C77C7C" w:rsidRPr="00C77C7C" w:rsidRDefault="00C77C7C" w:rsidP="00C77C7C">
      <w:pPr>
        <w:numPr>
          <w:ilvl w:val="0"/>
          <w:numId w:val="4"/>
        </w:numPr>
        <w:spacing w:after="120" w:line="360" w:lineRule="auto"/>
        <w:contextualSpacing/>
        <w:jc w:val="both"/>
        <w:rPr>
          <w:rFonts w:ascii="Arial" w:eastAsia="Calibri" w:hAnsi="Arial" w:cs="Times New Roman"/>
          <w:sz w:val="20"/>
        </w:rPr>
      </w:pPr>
      <w:r w:rsidRPr="00C77C7C">
        <w:rPr>
          <w:rFonts w:ascii="Arial" w:eastAsia="Calibri" w:hAnsi="Arial" w:cs="Times New Roman"/>
          <w:sz w:val="20"/>
        </w:rPr>
        <w:t xml:space="preserve">Výběrové řízení na administrátora zakázky  </w:t>
      </w:r>
      <w:r w:rsidRPr="00C77C7C">
        <w:rPr>
          <w:rFonts w:ascii="Arial" w:eastAsia="Calibri" w:hAnsi="Arial" w:cs="Times New Roman"/>
          <w:sz w:val="20"/>
        </w:rPr>
        <w:tab/>
      </w:r>
      <w:r w:rsidRPr="00C77C7C">
        <w:rPr>
          <w:rFonts w:ascii="Arial" w:eastAsia="Calibri" w:hAnsi="Arial" w:cs="Times New Roman"/>
          <w:sz w:val="20"/>
        </w:rPr>
        <w:tab/>
      </w:r>
      <w:r w:rsidRPr="00C77C7C">
        <w:rPr>
          <w:rFonts w:ascii="Arial" w:eastAsia="Calibri" w:hAnsi="Arial" w:cs="Times New Roman"/>
          <w:sz w:val="20"/>
        </w:rPr>
        <w:tab/>
      </w:r>
      <w:r w:rsidRPr="00C77C7C">
        <w:rPr>
          <w:rFonts w:ascii="Arial" w:eastAsia="Calibri" w:hAnsi="Arial" w:cs="Times New Roman"/>
          <w:sz w:val="20"/>
        </w:rPr>
        <w:tab/>
        <w:t>04.2017 – 0</w:t>
      </w:r>
      <w:r w:rsidR="00F40240">
        <w:rPr>
          <w:rFonts w:ascii="Arial" w:eastAsia="Calibri" w:hAnsi="Arial" w:cs="Times New Roman"/>
          <w:sz w:val="20"/>
        </w:rPr>
        <w:t>7</w:t>
      </w:r>
      <w:r w:rsidRPr="00C77C7C">
        <w:rPr>
          <w:rFonts w:ascii="Arial" w:eastAsia="Calibri" w:hAnsi="Arial" w:cs="Times New Roman"/>
          <w:sz w:val="20"/>
        </w:rPr>
        <w:t>.2017</w:t>
      </w:r>
    </w:p>
    <w:p w:rsidR="00C77C7C" w:rsidRPr="00C77C7C" w:rsidRDefault="00C77C7C" w:rsidP="00C77C7C">
      <w:pPr>
        <w:numPr>
          <w:ilvl w:val="0"/>
          <w:numId w:val="4"/>
        </w:numPr>
        <w:spacing w:after="120" w:line="360" w:lineRule="auto"/>
        <w:contextualSpacing/>
        <w:jc w:val="both"/>
        <w:rPr>
          <w:rFonts w:ascii="Arial" w:eastAsia="Calibri" w:hAnsi="Arial" w:cs="Times New Roman"/>
          <w:sz w:val="20"/>
        </w:rPr>
      </w:pPr>
      <w:r w:rsidRPr="00C77C7C">
        <w:rPr>
          <w:rFonts w:ascii="Arial" w:eastAsia="Calibri" w:hAnsi="Arial" w:cs="Times New Roman"/>
          <w:sz w:val="20"/>
        </w:rPr>
        <w:t xml:space="preserve">Příprava zadávací dokumentace </w:t>
      </w:r>
      <w:r w:rsidR="003E6271">
        <w:rPr>
          <w:rFonts w:ascii="Arial" w:eastAsia="Calibri" w:hAnsi="Arial" w:cs="Times New Roman"/>
          <w:sz w:val="20"/>
        </w:rPr>
        <w:t>pro výběr</w:t>
      </w:r>
      <w:r w:rsidRPr="00C77C7C">
        <w:rPr>
          <w:rFonts w:ascii="Arial" w:eastAsia="Calibri" w:hAnsi="Arial" w:cs="Times New Roman"/>
          <w:sz w:val="20"/>
        </w:rPr>
        <w:t xml:space="preserve"> budoucího provozovatele</w:t>
      </w:r>
      <w:r w:rsidRPr="00C77C7C">
        <w:rPr>
          <w:rFonts w:ascii="Arial" w:eastAsia="Calibri" w:hAnsi="Arial" w:cs="Times New Roman"/>
          <w:sz w:val="20"/>
        </w:rPr>
        <w:tab/>
        <w:t>0</w:t>
      </w:r>
      <w:r w:rsidR="00F40240">
        <w:rPr>
          <w:rFonts w:ascii="Arial" w:eastAsia="Calibri" w:hAnsi="Arial" w:cs="Times New Roman"/>
          <w:sz w:val="20"/>
        </w:rPr>
        <w:t>8</w:t>
      </w:r>
      <w:r w:rsidRPr="00C77C7C">
        <w:rPr>
          <w:rFonts w:ascii="Arial" w:eastAsia="Calibri" w:hAnsi="Arial" w:cs="Times New Roman"/>
          <w:sz w:val="20"/>
        </w:rPr>
        <w:t xml:space="preserve">.2017 – </w:t>
      </w:r>
      <w:r w:rsidR="00F40240">
        <w:rPr>
          <w:rFonts w:ascii="Arial" w:eastAsia="Calibri" w:hAnsi="Arial" w:cs="Times New Roman"/>
          <w:sz w:val="20"/>
        </w:rPr>
        <w:t>11</w:t>
      </w:r>
      <w:r w:rsidRPr="00C77C7C">
        <w:rPr>
          <w:rFonts w:ascii="Arial" w:eastAsia="Calibri" w:hAnsi="Arial" w:cs="Times New Roman"/>
          <w:sz w:val="20"/>
        </w:rPr>
        <w:t>.2017</w:t>
      </w:r>
    </w:p>
    <w:p w:rsidR="00C77C7C" w:rsidRPr="00C77C7C" w:rsidRDefault="003A7E00" w:rsidP="003A7E00">
      <w:pPr>
        <w:numPr>
          <w:ilvl w:val="0"/>
          <w:numId w:val="4"/>
        </w:numPr>
        <w:spacing w:after="120" w:line="360" w:lineRule="auto"/>
        <w:contextualSpacing/>
        <w:jc w:val="both"/>
        <w:rPr>
          <w:rFonts w:ascii="Arial" w:eastAsia="Calibri" w:hAnsi="Arial" w:cs="Times New Roman"/>
          <w:sz w:val="20"/>
        </w:rPr>
      </w:pPr>
      <w:r>
        <w:rPr>
          <w:rFonts w:ascii="Arial" w:eastAsia="Calibri" w:hAnsi="Arial" w:cs="Times New Roman"/>
          <w:sz w:val="20"/>
        </w:rPr>
        <w:t xml:space="preserve">Zadávací </w:t>
      </w:r>
      <w:r w:rsidR="00C77C7C" w:rsidRPr="00C77C7C">
        <w:rPr>
          <w:rFonts w:ascii="Arial" w:eastAsia="Calibri" w:hAnsi="Arial" w:cs="Times New Roman"/>
          <w:sz w:val="20"/>
        </w:rPr>
        <w:t>řízení na provozovatele</w:t>
      </w:r>
      <w:r w:rsidR="00C77C7C" w:rsidRPr="00C77C7C">
        <w:rPr>
          <w:rFonts w:ascii="Arial" w:eastAsia="Calibri" w:hAnsi="Arial" w:cs="Times New Roman"/>
          <w:sz w:val="20"/>
        </w:rPr>
        <w:tab/>
      </w:r>
      <w:r w:rsidR="00C77C7C" w:rsidRPr="00C77C7C">
        <w:rPr>
          <w:rFonts w:ascii="Arial" w:eastAsia="Calibri" w:hAnsi="Arial" w:cs="Times New Roman"/>
          <w:sz w:val="20"/>
        </w:rPr>
        <w:tab/>
      </w:r>
      <w:r w:rsidR="00C77C7C" w:rsidRPr="00C77C7C">
        <w:rPr>
          <w:rFonts w:ascii="Arial" w:eastAsia="Calibri" w:hAnsi="Arial" w:cs="Times New Roman"/>
          <w:sz w:val="20"/>
        </w:rPr>
        <w:tab/>
      </w:r>
      <w:r w:rsidR="00C77C7C" w:rsidRPr="00C77C7C">
        <w:rPr>
          <w:rFonts w:ascii="Arial" w:eastAsia="Calibri" w:hAnsi="Arial" w:cs="Times New Roman"/>
          <w:sz w:val="20"/>
        </w:rPr>
        <w:tab/>
      </w:r>
    </w:p>
    <w:p w:rsidR="00C77C7C" w:rsidRPr="00C77C7C" w:rsidRDefault="00C77C7C" w:rsidP="00C77C7C">
      <w:pPr>
        <w:numPr>
          <w:ilvl w:val="1"/>
          <w:numId w:val="6"/>
        </w:numPr>
        <w:spacing w:after="120" w:line="360" w:lineRule="auto"/>
        <w:contextualSpacing/>
        <w:jc w:val="both"/>
        <w:rPr>
          <w:rFonts w:ascii="Arial" w:eastAsia="Calibri" w:hAnsi="Arial" w:cs="Times New Roman"/>
          <w:sz w:val="20"/>
        </w:rPr>
      </w:pPr>
      <w:r w:rsidRPr="00C77C7C">
        <w:rPr>
          <w:rFonts w:ascii="Arial" w:eastAsia="Calibri" w:hAnsi="Arial" w:cs="Times New Roman"/>
          <w:sz w:val="20"/>
        </w:rPr>
        <w:t>Kvalifikace uchazečů</w:t>
      </w:r>
      <w:r w:rsidRPr="00C77C7C">
        <w:rPr>
          <w:rFonts w:ascii="Arial" w:eastAsia="Calibri" w:hAnsi="Arial" w:cs="Times New Roman"/>
          <w:sz w:val="20"/>
        </w:rPr>
        <w:tab/>
      </w:r>
      <w:r w:rsidRPr="00C77C7C">
        <w:rPr>
          <w:rFonts w:ascii="Arial" w:eastAsia="Calibri" w:hAnsi="Arial" w:cs="Times New Roman"/>
          <w:sz w:val="20"/>
        </w:rPr>
        <w:tab/>
      </w:r>
      <w:r w:rsidRPr="00C77C7C">
        <w:rPr>
          <w:rFonts w:ascii="Arial" w:eastAsia="Calibri" w:hAnsi="Arial" w:cs="Times New Roman"/>
          <w:sz w:val="20"/>
        </w:rPr>
        <w:tab/>
      </w:r>
      <w:r w:rsidRPr="00C77C7C">
        <w:rPr>
          <w:rFonts w:ascii="Arial" w:eastAsia="Calibri" w:hAnsi="Arial" w:cs="Times New Roman"/>
          <w:sz w:val="20"/>
        </w:rPr>
        <w:tab/>
      </w:r>
      <w:r w:rsidRPr="00C77C7C">
        <w:rPr>
          <w:rFonts w:ascii="Arial" w:eastAsia="Calibri" w:hAnsi="Arial" w:cs="Times New Roman"/>
          <w:sz w:val="20"/>
        </w:rPr>
        <w:tab/>
      </w:r>
      <w:r w:rsidRPr="00C77C7C">
        <w:rPr>
          <w:rFonts w:ascii="Arial" w:eastAsia="Calibri" w:hAnsi="Arial" w:cs="Times New Roman"/>
          <w:sz w:val="20"/>
        </w:rPr>
        <w:tab/>
      </w:r>
      <w:r w:rsidR="00F40240">
        <w:rPr>
          <w:rFonts w:ascii="Arial" w:eastAsia="Calibri" w:hAnsi="Arial" w:cs="Times New Roman"/>
          <w:sz w:val="20"/>
        </w:rPr>
        <w:t>12</w:t>
      </w:r>
      <w:r w:rsidRPr="00C77C7C">
        <w:rPr>
          <w:rFonts w:ascii="Arial" w:eastAsia="Calibri" w:hAnsi="Arial" w:cs="Times New Roman"/>
          <w:sz w:val="20"/>
        </w:rPr>
        <w:t xml:space="preserve">.2017 – </w:t>
      </w:r>
      <w:r w:rsidR="00F40240">
        <w:rPr>
          <w:rFonts w:ascii="Arial" w:eastAsia="Calibri" w:hAnsi="Arial" w:cs="Times New Roman"/>
          <w:sz w:val="20"/>
        </w:rPr>
        <w:t>2</w:t>
      </w:r>
      <w:r w:rsidRPr="00C77C7C">
        <w:rPr>
          <w:rFonts w:ascii="Arial" w:eastAsia="Calibri" w:hAnsi="Arial" w:cs="Times New Roman"/>
          <w:sz w:val="20"/>
        </w:rPr>
        <w:t>.201</w:t>
      </w:r>
      <w:r w:rsidR="00F40240">
        <w:rPr>
          <w:rFonts w:ascii="Arial" w:eastAsia="Calibri" w:hAnsi="Arial" w:cs="Times New Roman"/>
          <w:sz w:val="20"/>
        </w:rPr>
        <w:t>8</w:t>
      </w:r>
    </w:p>
    <w:p w:rsidR="00C77C7C" w:rsidRPr="00C77C7C" w:rsidRDefault="00C77C7C" w:rsidP="00C77C7C">
      <w:pPr>
        <w:numPr>
          <w:ilvl w:val="1"/>
          <w:numId w:val="6"/>
        </w:numPr>
        <w:spacing w:after="120" w:line="360" w:lineRule="auto"/>
        <w:contextualSpacing/>
        <w:jc w:val="both"/>
        <w:rPr>
          <w:rFonts w:ascii="Arial" w:eastAsia="Calibri" w:hAnsi="Arial" w:cs="Times New Roman"/>
          <w:sz w:val="20"/>
        </w:rPr>
      </w:pPr>
      <w:r w:rsidRPr="00C77C7C">
        <w:rPr>
          <w:rFonts w:ascii="Arial" w:eastAsia="Calibri" w:hAnsi="Arial" w:cs="Times New Roman"/>
          <w:sz w:val="20"/>
        </w:rPr>
        <w:t>Dialog s kvalifikovanými uchazeči</w:t>
      </w:r>
      <w:r w:rsidRPr="00C77C7C">
        <w:rPr>
          <w:rFonts w:ascii="Arial" w:eastAsia="Calibri" w:hAnsi="Arial" w:cs="Times New Roman"/>
          <w:sz w:val="20"/>
        </w:rPr>
        <w:tab/>
      </w:r>
      <w:r w:rsidRPr="00C77C7C">
        <w:rPr>
          <w:rFonts w:ascii="Arial" w:eastAsia="Calibri" w:hAnsi="Arial" w:cs="Times New Roman"/>
          <w:sz w:val="20"/>
        </w:rPr>
        <w:tab/>
      </w:r>
      <w:r w:rsidRPr="00C77C7C">
        <w:rPr>
          <w:rFonts w:ascii="Arial" w:eastAsia="Calibri" w:hAnsi="Arial" w:cs="Times New Roman"/>
          <w:sz w:val="20"/>
        </w:rPr>
        <w:tab/>
      </w:r>
      <w:r w:rsidRPr="00C77C7C">
        <w:rPr>
          <w:rFonts w:ascii="Arial" w:eastAsia="Calibri" w:hAnsi="Arial" w:cs="Times New Roman"/>
          <w:sz w:val="20"/>
        </w:rPr>
        <w:tab/>
      </w:r>
      <w:r w:rsidR="005A30C3">
        <w:rPr>
          <w:rFonts w:ascii="Arial" w:eastAsia="Calibri" w:hAnsi="Arial" w:cs="Times New Roman"/>
          <w:sz w:val="20"/>
        </w:rPr>
        <w:t>3</w:t>
      </w:r>
      <w:r w:rsidRPr="00C77C7C">
        <w:rPr>
          <w:rFonts w:ascii="Arial" w:eastAsia="Calibri" w:hAnsi="Arial" w:cs="Times New Roman"/>
          <w:sz w:val="20"/>
        </w:rPr>
        <w:t>.201</w:t>
      </w:r>
      <w:r w:rsidR="00F40240">
        <w:rPr>
          <w:rFonts w:ascii="Arial" w:eastAsia="Calibri" w:hAnsi="Arial" w:cs="Times New Roman"/>
          <w:sz w:val="20"/>
        </w:rPr>
        <w:t>8</w:t>
      </w:r>
      <w:r w:rsidRPr="00C77C7C">
        <w:rPr>
          <w:rFonts w:ascii="Arial" w:eastAsia="Calibri" w:hAnsi="Arial" w:cs="Times New Roman"/>
          <w:sz w:val="20"/>
        </w:rPr>
        <w:t xml:space="preserve"> – </w:t>
      </w:r>
      <w:r w:rsidR="00F40240">
        <w:rPr>
          <w:rFonts w:ascii="Arial" w:eastAsia="Calibri" w:hAnsi="Arial" w:cs="Times New Roman"/>
          <w:sz w:val="20"/>
        </w:rPr>
        <w:t>5</w:t>
      </w:r>
      <w:r w:rsidRPr="00C77C7C">
        <w:rPr>
          <w:rFonts w:ascii="Arial" w:eastAsia="Calibri" w:hAnsi="Arial" w:cs="Times New Roman"/>
          <w:sz w:val="20"/>
        </w:rPr>
        <w:t>.201</w:t>
      </w:r>
      <w:r w:rsidR="00F40240">
        <w:rPr>
          <w:rFonts w:ascii="Arial" w:eastAsia="Calibri" w:hAnsi="Arial" w:cs="Times New Roman"/>
          <w:sz w:val="20"/>
        </w:rPr>
        <w:t>8</w:t>
      </w:r>
    </w:p>
    <w:p w:rsidR="00C77C7C" w:rsidRPr="00C77C7C" w:rsidRDefault="00C77C7C" w:rsidP="00C77C7C">
      <w:pPr>
        <w:numPr>
          <w:ilvl w:val="1"/>
          <w:numId w:val="6"/>
        </w:numPr>
        <w:spacing w:after="120" w:line="360" w:lineRule="auto"/>
        <w:contextualSpacing/>
        <w:jc w:val="both"/>
        <w:rPr>
          <w:rFonts w:ascii="Arial" w:eastAsia="Calibri" w:hAnsi="Arial" w:cs="Times New Roman"/>
          <w:sz w:val="20"/>
        </w:rPr>
      </w:pPr>
      <w:r w:rsidRPr="00C77C7C">
        <w:rPr>
          <w:rFonts w:ascii="Arial" w:eastAsia="Calibri" w:hAnsi="Arial" w:cs="Times New Roman"/>
          <w:sz w:val="20"/>
        </w:rPr>
        <w:t>Výzva k podání finálních nabídek</w:t>
      </w:r>
      <w:r w:rsidRPr="00C77C7C">
        <w:rPr>
          <w:rFonts w:ascii="Arial" w:eastAsia="Calibri" w:hAnsi="Arial" w:cs="Times New Roman"/>
          <w:sz w:val="20"/>
        </w:rPr>
        <w:tab/>
      </w:r>
      <w:r w:rsidRPr="00C77C7C">
        <w:rPr>
          <w:rFonts w:ascii="Arial" w:eastAsia="Calibri" w:hAnsi="Arial" w:cs="Times New Roman"/>
          <w:sz w:val="20"/>
        </w:rPr>
        <w:tab/>
      </w:r>
      <w:r w:rsidRPr="00C77C7C">
        <w:rPr>
          <w:rFonts w:ascii="Arial" w:eastAsia="Calibri" w:hAnsi="Arial" w:cs="Times New Roman"/>
          <w:sz w:val="20"/>
        </w:rPr>
        <w:tab/>
      </w:r>
      <w:r w:rsidRPr="00C77C7C">
        <w:rPr>
          <w:rFonts w:ascii="Arial" w:eastAsia="Calibri" w:hAnsi="Arial" w:cs="Times New Roman"/>
          <w:sz w:val="20"/>
        </w:rPr>
        <w:tab/>
      </w:r>
      <w:r w:rsidR="005A30C3">
        <w:rPr>
          <w:rFonts w:ascii="Arial" w:eastAsia="Calibri" w:hAnsi="Arial" w:cs="Times New Roman"/>
          <w:sz w:val="20"/>
        </w:rPr>
        <w:t>6</w:t>
      </w:r>
      <w:r w:rsidRPr="00C77C7C">
        <w:rPr>
          <w:rFonts w:ascii="Arial" w:eastAsia="Calibri" w:hAnsi="Arial" w:cs="Times New Roman"/>
          <w:sz w:val="20"/>
        </w:rPr>
        <w:t>.201</w:t>
      </w:r>
      <w:r w:rsidR="00F40240">
        <w:rPr>
          <w:rFonts w:ascii="Arial" w:eastAsia="Calibri" w:hAnsi="Arial" w:cs="Times New Roman"/>
          <w:sz w:val="20"/>
        </w:rPr>
        <w:t>8</w:t>
      </w:r>
    </w:p>
    <w:p w:rsidR="002A019D" w:rsidRDefault="00C77C7C" w:rsidP="002A019D">
      <w:pPr>
        <w:numPr>
          <w:ilvl w:val="1"/>
          <w:numId w:val="6"/>
        </w:numPr>
        <w:spacing w:after="120" w:line="360" w:lineRule="auto"/>
        <w:contextualSpacing/>
        <w:jc w:val="both"/>
        <w:rPr>
          <w:rFonts w:ascii="Arial" w:eastAsia="Calibri" w:hAnsi="Arial" w:cs="Times New Roman"/>
          <w:sz w:val="20"/>
        </w:rPr>
      </w:pPr>
      <w:r w:rsidRPr="00C77C7C">
        <w:rPr>
          <w:rFonts w:ascii="Arial" w:eastAsia="Calibri" w:hAnsi="Arial" w:cs="Times New Roman"/>
          <w:sz w:val="20"/>
        </w:rPr>
        <w:t>Vyhodnocení nabídek a vyhlášení vítěze</w:t>
      </w:r>
      <w:r w:rsidRPr="00C77C7C">
        <w:rPr>
          <w:rFonts w:ascii="Arial" w:eastAsia="Calibri" w:hAnsi="Arial" w:cs="Times New Roman"/>
          <w:sz w:val="20"/>
        </w:rPr>
        <w:tab/>
      </w:r>
      <w:r w:rsidRPr="00C77C7C">
        <w:rPr>
          <w:rFonts w:ascii="Arial" w:eastAsia="Calibri" w:hAnsi="Arial" w:cs="Times New Roman"/>
          <w:sz w:val="20"/>
        </w:rPr>
        <w:tab/>
      </w:r>
      <w:r w:rsidRPr="00C77C7C">
        <w:rPr>
          <w:rFonts w:ascii="Arial" w:eastAsia="Calibri" w:hAnsi="Arial" w:cs="Times New Roman"/>
          <w:sz w:val="20"/>
        </w:rPr>
        <w:tab/>
      </w:r>
      <w:r w:rsidR="003A7E00">
        <w:rPr>
          <w:rFonts w:ascii="Arial" w:eastAsia="Calibri" w:hAnsi="Arial" w:cs="Times New Roman"/>
          <w:sz w:val="20"/>
        </w:rPr>
        <w:t>9</w:t>
      </w:r>
      <w:r w:rsidRPr="00C77C7C">
        <w:rPr>
          <w:rFonts w:ascii="Arial" w:eastAsia="Calibri" w:hAnsi="Arial" w:cs="Times New Roman"/>
          <w:sz w:val="20"/>
        </w:rPr>
        <w:t>.2018</w:t>
      </w:r>
    </w:p>
    <w:p w:rsidR="00D32600" w:rsidRDefault="00D32600" w:rsidP="00D32600">
      <w:pPr>
        <w:spacing w:after="120" w:line="360" w:lineRule="auto"/>
        <w:jc w:val="both"/>
        <w:rPr>
          <w:rFonts w:ascii="Arial" w:eastAsia="Calibri" w:hAnsi="Arial" w:cs="Times New Roman"/>
          <w:sz w:val="20"/>
        </w:rPr>
      </w:pPr>
    </w:p>
    <w:p w:rsidR="002A019D" w:rsidRPr="002A019D" w:rsidRDefault="002A019D" w:rsidP="00D32600">
      <w:pPr>
        <w:spacing w:after="120" w:line="360" w:lineRule="auto"/>
        <w:jc w:val="both"/>
        <w:rPr>
          <w:rFonts w:ascii="Arial" w:eastAsia="Calibri" w:hAnsi="Arial" w:cs="Times New Roman"/>
          <w:sz w:val="20"/>
        </w:rPr>
      </w:pPr>
      <w:r w:rsidRPr="00D32600">
        <w:rPr>
          <w:rFonts w:ascii="Arial" w:eastAsia="Calibri" w:hAnsi="Arial" w:cs="Times New Roman"/>
          <w:sz w:val="20"/>
        </w:rPr>
        <w:t>Harmonogram</w:t>
      </w:r>
      <w:r w:rsidR="00640C39" w:rsidRPr="00D32600">
        <w:rPr>
          <w:rFonts w:ascii="Arial" w:eastAsia="Calibri" w:hAnsi="Arial" w:cs="Times New Roman"/>
          <w:sz w:val="20"/>
        </w:rPr>
        <w:t xml:space="preserve"> je orientační a</w:t>
      </w:r>
      <w:r w:rsidRPr="00D32600">
        <w:rPr>
          <w:rFonts w:ascii="Arial" w:eastAsia="Calibri" w:hAnsi="Arial" w:cs="Times New Roman"/>
          <w:sz w:val="20"/>
        </w:rPr>
        <w:t xml:space="preserve"> může být měněn s ohledem na průběh</w:t>
      </w:r>
      <w:r w:rsidR="00640C39" w:rsidRPr="00D32600">
        <w:rPr>
          <w:rFonts w:ascii="Arial" w:eastAsia="Calibri" w:hAnsi="Arial" w:cs="Times New Roman"/>
          <w:sz w:val="20"/>
        </w:rPr>
        <w:t xml:space="preserve"> a složitost</w:t>
      </w:r>
      <w:r w:rsidRPr="00D32600">
        <w:rPr>
          <w:rFonts w:ascii="Arial" w:eastAsia="Calibri" w:hAnsi="Arial" w:cs="Times New Roman"/>
          <w:sz w:val="20"/>
        </w:rPr>
        <w:t xml:space="preserve"> zadávacího řízení dohodou smluvních stran. Příkazník neodpovídá za časový posun v harmonogramu způsobenou vlivem </w:t>
      </w:r>
      <w:r w:rsidRPr="00D32600">
        <w:rPr>
          <w:rFonts w:ascii="Arial" w:eastAsia="Calibri" w:hAnsi="Arial" w:cs="Times New Roman"/>
          <w:sz w:val="20"/>
        </w:rPr>
        <w:lastRenderedPageBreak/>
        <w:t xml:space="preserve">okolností mimo jeho kontrolu, např. </w:t>
      </w:r>
      <w:r w:rsidR="00640C39" w:rsidRPr="00D32600">
        <w:rPr>
          <w:rFonts w:ascii="Arial" w:eastAsia="Calibri" w:hAnsi="Arial" w:cs="Times New Roman"/>
          <w:sz w:val="20"/>
        </w:rPr>
        <w:t>v důsledku řízení o námitkách, řízení před ÚOHS, nedostatkem součinnosti ze strany příkazce pro naplnění účelu smlouvy</w:t>
      </w:r>
      <w:r w:rsidR="004C06C2" w:rsidRPr="00D32600">
        <w:rPr>
          <w:rFonts w:ascii="Arial" w:eastAsia="Calibri" w:hAnsi="Arial" w:cs="Times New Roman"/>
          <w:sz w:val="20"/>
        </w:rPr>
        <w:t>, vyššího</w:t>
      </w:r>
      <w:r w:rsidR="00A1552C" w:rsidRPr="00D32600">
        <w:rPr>
          <w:rFonts w:ascii="Arial" w:eastAsia="Calibri" w:hAnsi="Arial" w:cs="Times New Roman"/>
          <w:sz w:val="20"/>
        </w:rPr>
        <w:t xml:space="preserve"> počtu účastníků se kterými je veden soutěžní dialog</w:t>
      </w:r>
      <w:r w:rsidR="004C06C2" w:rsidRPr="00D32600">
        <w:rPr>
          <w:rFonts w:ascii="Arial" w:eastAsia="Calibri" w:hAnsi="Arial" w:cs="Times New Roman"/>
          <w:sz w:val="20"/>
        </w:rPr>
        <w:t xml:space="preserve">, v důsledku změn/doplnění </w:t>
      </w:r>
      <w:r w:rsidR="000B15A4" w:rsidRPr="00D32600">
        <w:rPr>
          <w:rFonts w:ascii="Arial" w:eastAsia="Calibri" w:hAnsi="Arial" w:cs="Times New Roman"/>
          <w:sz w:val="20"/>
        </w:rPr>
        <w:t>zadávacích podmínek</w:t>
      </w:r>
      <w:r w:rsidR="004C06C2" w:rsidRPr="00D32600">
        <w:rPr>
          <w:rFonts w:ascii="Arial" w:eastAsia="Calibri" w:hAnsi="Arial" w:cs="Times New Roman"/>
          <w:sz w:val="20"/>
        </w:rPr>
        <w:t xml:space="preserve"> požadovaných</w:t>
      </w:r>
      <w:r w:rsidR="000B15A4" w:rsidRPr="00D32600">
        <w:rPr>
          <w:rFonts w:ascii="Arial" w:eastAsia="Calibri" w:hAnsi="Arial" w:cs="Times New Roman"/>
          <w:sz w:val="20"/>
        </w:rPr>
        <w:t>/vyvolaných</w:t>
      </w:r>
      <w:r w:rsidR="004C06C2" w:rsidRPr="00D32600">
        <w:rPr>
          <w:rFonts w:ascii="Arial" w:eastAsia="Calibri" w:hAnsi="Arial" w:cs="Times New Roman"/>
          <w:sz w:val="20"/>
        </w:rPr>
        <w:t xml:space="preserve"> účastníky nebo zadavatelem</w:t>
      </w:r>
      <w:r w:rsidR="00640C39" w:rsidRPr="00D32600">
        <w:rPr>
          <w:rFonts w:ascii="Arial" w:eastAsia="Calibri" w:hAnsi="Arial" w:cs="Times New Roman"/>
          <w:sz w:val="20"/>
        </w:rPr>
        <w:t>.</w:t>
      </w:r>
    </w:p>
    <w:p w:rsidR="00C77C7C" w:rsidRPr="00C77C7C" w:rsidRDefault="00C77C7C" w:rsidP="00C77C7C">
      <w:pPr>
        <w:keepNext/>
        <w:keepLines/>
        <w:spacing w:after="0" w:line="360" w:lineRule="auto"/>
        <w:jc w:val="both"/>
        <w:outlineLvl w:val="1"/>
        <w:rPr>
          <w:rFonts w:ascii="Arial" w:eastAsia="Times New Roman" w:hAnsi="Arial" w:cs="Times New Roman"/>
          <w:b/>
          <w:bCs/>
          <w:color w:val="244061"/>
          <w:sz w:val="24"/>
          <w:szCs w:val="26"/>
        </w:rPr>
      </w:pPr>
      <w:bookmarkStart w:id="12" w:name="_Toc464460306"/>
    </w:p>
    <w:p w:rsidR="00C77C7C" w:rsidRPr="00C77C7C" w:rsidRDefault="00C77C7C" w:rsidP="00C77C7C">
      <w:pPr>
        <w:keepNext/>
        <w:keepLines/>
        <w:spacing w:after="0" w:line="360" w:lineRule="auto"/>
        <w:jc w:val="both"/>
        <w:outlineLvl w:val="1"/>
        <w:rPr>
          <w:rFonts w:ascii="Arial" w:eastAsia="Times New Roman" w:hAnsi="Arial" w:cs="Times New Roman"/>
          <w:b/>
          <w:bCs/>
          <w:color w:val="244061"/>
          <w:sz w:val="24"/>
          <w:szCs w:val="26"/>
        </w:rPr>
      </w:pPr>
      <w:r w:rsidRPr="00C77C7C">
        <w:rPr>
          <w:rFonts w:ascii="Arial" w:eastAsia="Times New Roman" w:hAnsi="Arial" w:cs="Times New Roman"/>
          <w:b/>
          <w:bCs/>
          <w:color w:val="244061"/>
          <w:sz w:val="24"/>
          <w:szCs w:val="26"/>
        </w:rPr>
        <w:t>Rozsah činností administrátora</w:t>
      </w:r>
      <w:bookmarkEnd w:id="12"/>
    </w:p>
    <w:p w:rsidR="00C77C7C" w:rsidRPr="00C77C7C" w:rsidRDefault="00C77C7C" w:rsidP="00C77C7C">
      <w:pPr>
        <w:spacing w:after="120" w:line="360" w:lineRule="auto"/>
        <w:jc w:val="both"/>
        <w:rPr>
          <w:rFonts w:ascii="Arial" w:eastAsia="Calibri" w:hAnsi="Arial" w:cs="Times New Roman"/>
          <w:sz w:val="20"/>
        </w:rPr>
      </w:pPr>
      <w:r w:rsidRPr="00C77C7C">
        <w:rPr>
          <w:rFonts w:ascii="Arial" w:eastAsia="Calibri" w:hAnsi="Arial" w:cs="Times New Roman"/>
          <w:sz w:val="20"/>
        </w:rPr>
        <w:t xml:space="preserve">Za účelem plnění rozsahu činností administrátora zakázky bude nutné upravit základní práva a povinnosti ve Smlouvě, která bude obsahovat následující základní vymezení činností. Pro vyloučení pochybností se uvádí, že administrátor bude mít na starosti </w:t>
      </w:r>
      <w:r w:rsidRPr="00C77C7C">
        <w:rPr>
          <w:rFonts w:ascii="Arial" w:eastAsia="Calibri" w:hAnsi="Arial" w:cs="Times New Roman"/>
          <w:sz w:val="20"/>
          <w:u w:val="single"/>
        </w:rPr>
        <w:t>veškeré procesní úkony</w:t>
      </w:r>
      <w:r w:rsidRPr="00C77C7C">
        <w:rPr>
          <w:rFonts w:ascii="Arial" w:eastAsia="Calibri" w:hAnsi="Arial" w:cs="Times New Roman"/>
          <w:sz w:val="20"/>
        </w:rPr>
        <w:t xml:space="preserve"> související s přípravou, realizací a vyhodnocením závěrů výběrového řízení. Nedílnou součástí činností administrátora bude i realizace zápisů z interních i externích jednání s uchazeči, kompletace všech podkladů pro případné členy komisí, argumentace proti námitkám uchazečů či případné přípravě podkladů pro přezkoumání ÚHOS, podkladů pro stanovisko Ministerstva financí České republiky a veškeré nezbytné úkony obsahující komplexní řešení administrace této zakázky. </w:t>
      </w:r>
    </w:p>
    <w:p w:rsidR="00C77C7C" w:rsidRPr="00C77C7C" w:rsidRDefault="00C77C7C" w:rsidP="00C77C7C">
      <w:pPr>
        <w:spacing w:after="0" w:line="360" w:lineRule="auto"/>
        <w:jc w:val="both"/>
        <w:rPr>
          <w:rFonts w:ascii="Arial" w:eastAsia="Calibri" w:hAnsi="Arial" w:cs="Times New Roman"/>
          <w:sz w:val="20"/>
        </w:rPr>
      </w:pPr>
      <w:r w:rsidRPr="00C77C7C">
        <w:rPr>
          <w:rFonts w:ascii="Arial" w:eastAsia="Calibri" w:hAnsi="Arial" w:cs="Times New Roman"/>
          <w:sz w:val="20"/>
        </w:rPr>
        <w:t>Etapa 1: Strategie transakce</w:t>
      </w:r>
    </w:p>
    <w:p w:rsidR="00C77C7C" w:rsidRPr="00C77C7C" w:rsidRDefault="00C77C7C" w:rsidP="00C77C7C">
      <w:pPr>
        <w:numPr>
          <w:ilvl w:val="0"/>
          <w:numId w:val="7"/>
        </w:numPr>
        <w:spacing w:after="120" w:line="360" w:lineRule="auto"/>
        <w:contextualSpacing/>
        <w:jc w:val="both"/>
        <w:rPr>
          <w:rFonts w:ascii="Arial" w:eastAsia="Calibri" w:hAnsi="Arial" w:cs="Times New Roman"/>
          <w:sz w:val="20"/>
        </w:rPr>
      </w:pPr>
      <w:r w:rsidRPr="00C77C7C">
        <w:rPr>
          <w:rFonts w:ascii="Arial" w:eastAsia="Calibri" w:hAnsi="Arial" w:cs="Times New Roman"/>
          <w:sz w:val="20"/>
        </w:rPr>
        <w:t xml:space="preserve">Prověření hlavních parametrů transakce; </w:t>
      </w:r>
    </w:p>
    <w:p w:rsidR="00C77C7C" w:rsidRPr="00C77C7C" w:rsidRDefault="00C77C7C" w:rsidP="00C77C7C">
      <w:pPr>
        <w:numPr>
          <w:ilvl w:val="0"/>
          <w:numId w:val="7"/>
        </w:numPr>
        <w:spacing w:after="120" w:line="360" w:lineRule="auto"/>
        <w:contextualSpacing/>
        <w:jc w:val="both"/>
        <w:rPr>
          <w:rFonts w:ascii="Arial" w:eastAsia="Calibri" w:hAnsi="Arial" w:cs="Times New Roman"/>
          <w:sz w:val="20"/>
        </w:rPr>
      </w:pPr>
      <w:r w:rsidRPr="00C77C7C">
        <w:rPr>
          <w:rFonts w:ascii="Arial" w:eastAsia="Calibri" w:hAnsi="Arial" w:cs="Times New Roman"/>
          <w:sz w:val="20"/>
        </w:rPr>
        <w:t>Prověření závazků a překážek realizace a omezení ve vztahu k budoucímu využití;</w:t>
      </w:r>
    </w:p>
    <w:p w:rsidR="00C77C7C" w:rsidRPr="00C77C7C" w:rsidRDefault="00C77C7C" w:rsidP="00C77C7C">
      <w:pPr>
        <w:numPr>
          <w:ilvl w:val="0"/>
          <w:numId w:val="7"/>
        </w:numPr>
        <w:spacing w:after="120" w:line="360" w:lineRule="auto"/>
        <w:contextualSpacing/>
        <w:jc w:val="both"/>
        <w:rPr>
          <w:rFonts w:ascii="Arial" w:eastAsia="Calibri" w:hAnsi="Arial" w:cs="Times New Roman"/>
          <w:sz w:val="20"/>
        </w:rPr>
      </w:pPr>
      <w:r w:rsidRPr="00C77C7C">
        <w:rPr>
          <w:rFonts w:ascii="Arial" w:eastAsia="Calibri" w:hAnsi="Arial" w:cs="Times New Roman"/>
          <w:sz w:val="20"/>
        </w:rPr>
        <w:t>Stanovení strategie transakce, doporučení konkrétního způsobu realizace, formy dialogu s uchazeči a harmonogramu.</w:t>
      </w:r>
    </w:p>
    <w:p w:rsidR="00C77C7C" w:rsidRPr="00C77C7C" w:rsidRDefault="00C77C7C" w:rsidP="00C77C7C">
      <w:pPr>
        <w:spacing w:after="0" w:line="360" w:lineRule="auto"/>
        <w:jc w:val="both"/>
        <w:rPr>
          <w:rFonts w:ascii="Arial" w:eastAsia="Calibri" w:hAnsi="Arial" w:cs="Times New Roman"/>
          <w:sz w:val="20"/>
        </w:rPr>
      </w:pPr>
      <w:r w:rsidRPr="00C77C7C">
        <w:rPr>
          <w:rFonts w:ascii="Arial" w:eastAsia="Calibri" w:hAnsi="Arial" w:cs="Times New Roman"/>
          <w:sz w:val="20"/>
        </w:rPr>
        <w:t>Etapa 2: Příprava dokumentace</w:t>
      </w:r>
    </w:p>
    <w:p w:rsidR="00C77C7C" w:rsidRPr="00C77C7C" w:rsidRDefault="00C77C7C" w:rsidP="00C77C7C">
      <w:pPr>
        <w:numPr>
          <w:ilvl w:val="0"/>
          <w:numId w:val="8"/>
        </w:numPr>
        <w:spacing w:after="120" w:line="360" w:lineRule="auto"/>
        <w:contextualSpacing/>
        <w:jc w:val="both"/>
        <w:rPr>
          <w:rFonts w:ascii="Arial" w:eastAsia="Calibri" w:hAnsi="Arial" w:cs="Times New Roman"/>
          <w:sz w:val="20"/>
        </w:rPr>
      </w:pPr>
      <w:r w:rsidRPr="00C77C7C">
        <w:rPr>
          <w:rFonts w:ascii="Arial" w:eastAsia="Calibri" w:hAnsi="Arial" w:cs="Times New Roman"/>
          <w:sz w:val="20"/>
        </w:rPr>
        <w:t xml:space="preserve">Návrh smluvní dokumentace; </w:t>
      </w:r>
    </w:p>
    <w:p w:rsidR="00C77C7C" w:rsidRPr="00C77C7C" w:rsidRDefault="00C77C7C" w:rsidP="00C77C7C">
      <w:pPr>
        <w:numPr>
          <w:ilvl w:val="0"/>
          <w:numId w:val="8"/>
        </w:numPr>
        <w:spacing w:after="120" w:line="360" w:lineRule="auto"/>
        <w:contextualSpacing/>
        <w:jc w:val="both"/>
        <w:rPr>
          <w:rFonts w:ascii="Arial" w:eastAsia="Calibri" w:hAnsi="Arial" w:cs="Times New Roman"/>
          <w:sz w:val="20"/>
        </w:rPr>
      </w:pPr>
      <w:r w:rsidRPr="00C77C7C">
        <w:rPr>
          <w:rFonts w:ascii="Arial" w:eastAsia="Calibri" w:hAnsi="Arial" w:cs="Times New Roman"/>
          <w:sz w:val="20"/>
        </w:rPr>
        <w:t xml:space="preserve">Návrh kvalifikační dokumentace. </w:t>
      </w:r>
    </w:p>
    <w:p w:rsidR="00C77C7C" w:rsidRPr="00C77C7C" w:rsidRDefault="00C77C7C" w:rsidP="00C77C7C">
      <w:pPr>
        <w:spacing w:after="0" w:line="360" w:lineRule="auto"/>
        <w:jc w:val="both"/>
        <w:rPr>
          <w:rFonts w:ascii="Arial" w:eastAsia="Calibri" w:hAnsi="Arial" w:cs="Times New Roman"/>
          <w:sz w:val="20"/>
        </w:rPr>
      </w:pPr>
      <w:r w:rsidRPr="00C77C7C">
        <w:rPr>
          <w:rFonts w:ascii="Arial" w:eastAsia="Calibri" w:hAnsi="Arial" w:cs="Times New Roman"/>
          <w:sz w:val="20"/>
        </w:rPr>
        <w:t>Etapa 3: Výběrové řízení</w:t>
      </w:r>
    </w:p>
    <w:p w:rsidR="00C77C7C" w:rsidRPr="00C77C7C" w:rsidRDefault="00C77C7C" w:rsidP="00C77C7C">
      <w:pPr>
        <w:numPr>
          <w:ilvl w:val="0"/>
          <w:numId w:val="9"/>
        </w:numPr>
        <w:spacing w:after="120" w:line="360" w:lineRule="auto"/>
        <w:contextualSpacing/>
        <w:jc w:val="both"/>
        <w:rPr>
          <w:rFonts w:ascii="Arial" w:eastAsia="Calibri" w:hAnsi="Arial" w:cs="Times New Roman"/>
          <w:sz w:val="20"/>
        </w:rPr>
      </w:pPr>
      <w:r w:rsidRPr="00C77C7C">
        <w:rPr>
          <w:rFonts w:ascii="Arial" w:eastAsia="Calibri" w:hAnsi="Arial" w:cs="Times New Roman"/>
          <w:sz w:val="20"/>
        </w:rPr>
        <w:t>Kvalifikace oslovených uchazečů;</w:t>
      </w:r>
    </w:p>
    <w:p w:rsidR="00C77C7C" w:rsidRPr="00C77C7C" w:rsidRDefault="00C77C7C" w:rsidP="00C77C7C">
      <w:pPr>
        <w:numPr>
          <w:ilvl w:val="0"/>
          <w:numId w:val="9"/>
        </w:numPr>
        <w:spacing w:after="120" w:line="360" w:lineRule="auto"/>
        <w:contextualSpacing/>
        <w:jc w:val="both"/>
        <w:rPr>
          <w:rFonts w:ascii="Arial" w:eastAsia="Calibri" w:hAnsi="Arial" w:cs="Times New Roman"/>
          <w:sz w:val="20"/>
        </w:rPr>
      </w:pPr>
      <w:r w:rsidRPr="00C77C7C">
        <w:rPr>
          <w:rFonts w:ascii="Arial" w:eastAsia="Calibri" w:hAnsi="Arial" w:cs="Times New Roman"/>
          <w:sz w:val="20"/>
        </w:rPr>
        <w:t>Diskuze nad smluvními parametry (návrhem smluvní dokumentace) formou dialogu s uchazeči (očekáváme rozsah 2 – 3 kol jednání s každým z uchazečů);</w:t>
      </w:r>
    </w:p>
    <w:p w:rsidR="00C77C7C" w:rsidRPr="00C77C7C" w:rsidRDefault="00C77C7C" w:rsidP="00C77C7C">
      <w:pPr>
        <w:numPr>
          <w:ilvl w:val="0"/>
          <w:numId w:val="9"/>
        </w:numPr>
        <w:spacing w:after="120" w:line="360" w:lineRule="auto"/>
        <w:contextualSpacing/>
        <w:jc w:val="both"/>
        <w:rPr>
          <w:rFonts w:ascii="Arial" w:eastAsia="Calibri" w:hAnsi="Arial" w:cs="Times New Roman"/>
          <w:sz w:val="20"/>
        </w:rPr>
      </w:pPr>
      <w:r w:rsidRPr="00C77C7C">
        <w:rPr>
          <w:rFonts w:ascii="Arial" w:eastAsia="Calibri" w:hAnsi="Arial" w:cs="Times New Roman"/>
          <w:sz w:val="20"/>
        </w:rPr>
        <w:t>Výzva k podání nabídek, hodnocení nabídek;</w:t>
      </w:r>
    </w:p>
    <w:p w:rsidR="00C77C7C" w:rsidRPr="00C77C7C" w:rsidRDefault="00C77C7C" w:rsidP="00C77C7C">
      <w:pPr>
        <w:numPr>
          <w:ilvl w:val="0"/>
          <w:numId w:val="9"/>
        </w:numPr>
        <w:spacing w:after="120" w:line="360" w:lineRule="auto"/>
        <w:contextualSpacing/>
        <w:jc w:val="both"/>
        <w:rPr>
          <w:rFonts w:ascii="Arial" w:eastAsia="Calibri" w:hAnsi="Arial" w:cs="Times New Roman"/>
          <w:sz w:val="20"/>
        </w:rPr>
      </w:pPr>
      <w:r w:rsidRPr="00C77C7C">
        <w:rPr>
          <w:rFonts w:ascii="Arial" w:eastAsia="Calibri" w:hAnsi="Arial" w:cs="Times New Roman"/>
          <w:sz w:val="20"/>
        </w:rPr>
        <w:t>Asistence s podpisem smluvní dokumentace.</w:t>
      </w:r>
    </w:p>
    <w:p w:rsidR="00C77C7C" w:rsidRPr="00C77C7C" w:rsidRDefault="00C77C7C" w:rsidP="00C77C7C">
      <w:pPr>
        <w:spacing w:after="120" w:line="360" w:lineRule="auto"/>
        <w:jc w:val="both"/>
        <w:rPr>
          <w:rFonts w:ascii="Arial" w:eastAsia="Calibri" w:hAnsi="Arial" w:cs="Times New Roman"/>
          <w:sz w:val="20"/>
        </w:rPr>
      </w:pPr>
    </w:p>
    <w:p w:rsidR="00C77C7C" w:rsidRPr="00C77C7C" w:rsidRDefault="00C77C7C" w:rsidP="00C77C7C">
      <w:pPr>
        <w:keepNext/>
        <w:keepLines/>
        <w:spacing w:after="0" w:line="360" w:lineRule="auto"/>
        <w:jc w:val="both"/>
        <w:outlineLvl w:val="1"/>
        <w:rPr>
          <w:rFonts w:ascii="Arial" w:eastAsia="Times New Roman" w:hAnsi="Arial" w:cs="Times New Roman"/>
          <w:b/>
          <w:bCs/>
          <w:color w:val="244061"/>
          <w:sz w:val="24"/>
          <w:szCs w:val="26"/>
        </w:rPr>
      </w:pPr>
      <w:r w:rsidRPr="00C77C7C">
        <w:rPr>
          <w:rFonts w:ascii="Arial" w:eastAsia="Times New Roman" w:hAnsi="Arial" w:cs="Times New Roman"/>
          <w:b/>
          <w:bCs/>
          <w:color w:val="244061"/>
          <w:sz w:val="24"/>
          <w:szCs w:val="26"/>
        </w:rPr>
        <w:t xml:space="preserve">Představení zvažovaného způsobu výběru dodavatele </w:t>
      </w:r>
    </w:p>
    <w:p w:rsidR="00C77C7C" w:rsidRPr="00C77C7C" w:rsidRDefault="00C77C7C" w:rsidP="00C77C7C">
      <w:pPr>
        <w:spacing w:after="0" w:line="360" w:lineRule="auto"/>
        <w:jc w:val="both"/>
        <w:rPr>
          <w:rFonts w:ascii="Arial" w:eastAsia="Calibri" w:hAnsi="Arial" w:cs="Times New Roman"/>
          <w:sz w:val="20"/>
        </w:rPr>
      </w:pPr>
      <w:r w:rsidRPr="00C77C7C">
        <w:rPr>
          <w:rFonts w:ascii="Arial" w:eastAsia="Calibri" w:hAnsi="Arial" w:cs="Times New Roman"/>
          <w:sz w:val="20"/>
        </w:rPr>
        <w:t>Základním prvkem smluvního vztahu mezi MČ Praha 3 a budoucím Koncesionářem v realizační fázi projektu bude:</w:t>
      </w:r>
    </w:p>
    <w:p w:rsidR="00C77C7C" w:rsidRPr="00C77C7C" w:rsidRDefault="00C77C7C" w:rsidP="00C77C7C">
      <w:pPr>
        <w:numPr>
          <w:ilvl w:val="0"/>
          <w:numId w:val="5"/>
        </w:numPr>
        <w:spacing w:after="0" w:line="360" w:lineRule="auto"/>
        <w:jc w:val="both"/>
        <w:rPr>
          <w:rFonts w:ascii="Arial" w:eastAsia="Calibri" w:hAnsi="Arial" w:cs="Times New Roman"/>
          <w:sz w:val="20"/>
        </w:rPr>
      </w:pPr>
      <w:r w:rsidRPr="00C77C7C">
        <w:rPr>
          <w:rFonts w:ascii="Arial" w:eastAsia="Calibri" w:hAnsi="Arial" w:cs="Times New Roman"/>
          <w:sz w:val="20"/>
        </w:rPr>
        <w:t>Pacht tří objektů vlastněných MČ;</w:t>
      </w:r>
    </w:p>
    <w:p w:rsidR="00C77C7C" w:rsidRPr="00C77C7C" w:rsidRDefault="00C77C7C" w:rsidP="00C77C7C">
      <w:pPr>
        <w:numPr>
          <w:ilvl w:val="0"/>
          <w:numId w:val="5"/>
        </w:numPr>
        <w:spacing w:after="120" w:line="360" w:lineRule="auto"/>
        <w:jc w:val="both"/>
        <w:rPr>
          <w:rFonts w:ascii="Arial" w:eastAsia="Calibri" w:hAnsi="Arial" w:cs="Times New Roman"/>
          <w:sz w:val="20"/>
        </w:rPr>
      </w:pPr>
      <w:r w:rsidRPr="00C77C7C">
        <w:rPr>
          <w:rFonts w:ascii="Arial" w:eastAsia="Calibri" w:hAnsi="Arial" w:cs="Times New Roman"/>
          <w:sz w:val="20"/>
        </w:rPr>
        <w:t xml:space="preserve">Závazek Koncesionáře vůči MČ využívat předmětné objekty za účelem provozování pobytových sociálních služeb pro seniory po stanovenou dobu. </w:t>
      </w:r>
    </w:p>
    <w:p w:rsidR="00C77C7C" w:rsidRPr="00C77C7C" w:rsidRDefault="00C77C7C" w:rsidP="00C77C7C">
      <w:pPr>
        <w:spacing w:after="120" w:line="360" w:lineRule="auto"/>
        <w:jc w:val="both"/>
        <w:rPr>
          <w:rFonts w:ascii="Arial" w:eastAsia="Calibri" w:hAnsi="Arial" w:cs="Times New Roman"/>
          <w:sz w:val="20"/>
        </w:rPr>
      </w:pPr>
      <w:r w:rsidRPr="00C77C7C">
        <w:rPr>
          <w:rFonts w:ascii="Arial" w:eastAsia="Calibri" w:hAnsi="Arial" w:cs="Times New Roman"/>
          <w:sz w:val="20"/>
        </w:rPr>
        <w:t xml:space="preserve">Z hlediska způsobu výběru dodavatele Projekt zahrnuje dva významné aspekty, konkrétně poskytnutí majetku formou pachtu a závazek poskytovat vybrané sociální služby domova pro seniory v rámci </w:t>
      </w:r>
      <w:r w:rsidRPr="00C77C7C">
        <w:rPr>
          <w:rFonts w:ascii="Arial" w:eastAsia="Calibri" w:hAnsi="Arial" w:cs="Times New Roman"/>
          <w:sz w:val="20"/>
        </w:rPr>
        <w:lastRenderedPageBreak/>
        <w:t>vymezeného způsobu užití objektů. Uložení závazku poskytovat takové služby se řídí právní úpravou zákona o zadávání veřejných zakázek (ZZVZ).</w:t>
      </w:r>
    </w:p>
    <w:p w:rsidR="00C77C7C" w:rsidRPr="00C77C7C" w:rsidRDefault="00C77C7C" w:rsidP="00C77C7C">
      <w:pPr>
        <w:spacing w:after="120" w:line="360" w:lineRule="auto"/>
        <w:jc w:val="both"/>
        <w:rPr>
          <w:rFonts w:ascii="Arial" w:eastAsia="Calibri" w:hAnsi="Arial" w:cs="Times New Roman"/>
          <w:sz w:val="20"/>
        </w:rPr>
      </w:pPr>
      <w:r w:rsidRPr="00C77C7C">
        <w:rPr>
          <w:rFonts w:ascii="Arial" w:eastAsia="Calibri" w:hAnsi="Arial" w:cs="Times New Roman"/>
          <w:sz w:val="20"/>
        </w:rPr>
        <w:t>Jelikož sociální služby coby hlavní předmět činnosti vybraného dodavatele spadají mezi činnosti vymezené v příloze č. 4 ZZVZ, bude výběr dodavatele – Koncesionáře – realizován ve zjednodušeném režimu dle § 129 ZZVZ.</w:t>
      </w:r>
    </w:p>
    <w:p w:rsidR="00C77C7C" w:rsidRPr="00C77C7C" w:rsidRDefault="00C77C7C" w:rsidP="00C77C7C">
      <w:pPr>
        <w:spacing w:after="120" w:line="360" w:lineRule="auto"/>
        <w:jc w:val="both"/>
        <w:rPr>
          <w:rFonts w:ascii="Arial" w:eastAsia="Calibri" w:hAnsi="Arial" w:cs="Times New Roman"/>
          <w:sz w:val="20"/>
        </w:rPr>
      </w:pPr>
      <w:r w:rsidRPr="00C77C7C">
        <w:rPr>
          <w:rFonts w:ascii="Arial" w:eastAsia="Calibri" w:hAnsi="Arial" w:cs="Times New Roman"/>
          <w:sz w:val="20"/>
        </w:rPr>
        <w:t>Podstatou zjednodušeného režimu je, že jeho procesní pravidla stanovuje zásadně zadavatel, který není vázán detailními procedurálními pravidly o jednotlivých zadávacích řízeních, nýbrž zásadně jen základními (společnými) ustanoveními o zadávacích řízeních. Zjednodušený režim udělování koncesí coby legislativní novinka přináší pro zadavatele obecně podstatné procesní usnadnění oproti dřívější právní úpravě koncesního řízení. Prostřednictvím pravidel průběhu koncesního řízení ve zjednodušeném režimu bude zejména odstraněna neúměrná procesní náročnost řízení. Zařazení jednací fáze zaměřené zejména na smluvní podmínky realizace projektu povede k možnosti prodiskutovat možnosti vzájemné spolupráce a nalezení dlouhodobě finančně udržitelného řešení. Před uzavřením smlouvy s vybraným dodavatelem bude třeba vyžádat si stanovisko Ministerstva financí, jemuž ZZVZ dává k zaujetí tohoto stanoviska lhůtu 2 měsíců.</w:t>
      </w:r>
    </w:p>
    <w:p w:rsidR="00C77C7C" w:rsidRPr="00C77C7C" w:rsidRDefault="00C77C7C" w:rsidP="00C77C7C">
      <w:pPr>
        <w:keepNext/>
        <w:spacing w:after="0" w:line="360" w:lineRule="auto"/>
        <w:jc w:val="both"/>
        <w:rPr>
          <w:rFonts w:ascii="Arial" w:eastAsia="Calibri" w:hAnsi="Arial" w:cs="Times New Roman"/>
          <w:sz w:val="20"/>
        </w:rPr>
      </w:pPr>
      <w:r w:rsidRPr="00C77C7C">
        <w:rPr>
          <w:rFonts w:ascii="Arial" w:eastAsia="Calibri" w:hAnsi="Arial" w:cs="Times New Roman"/>
          <w:sz w:val="20"/>
        </w:rPr>
        <w:t>Průběh koncesního řízení je předpokládán v následujících fázích:</w:t>
      </w:r>
    </w:p>
    <w:p w:rsidR="00C77C7C" w:rsidRPr="00C77C7C" w:rsidRDefault="00C77C7C" w:rsidP="00C77C7C">
      <w:pPr>
        <w:numPr>
          <w:ilvl w:val="0"/>
          <w:numId w:val="10"/>
        </w:numPr>
        <w:spacing w:after="0" w:line="360" w:lineRule="auto"/>
        <w:contextualSpacing/>
        <w:jc w:val="both"/>
        <w:rPr>
          <w:rFonts w:ascii="Arial" w:eastAsia="Calibri" w:hAnsi="Arial" w:cs="Times New Roman"/>
          <w:sz w:val="20"/>
        </w:rPr>
      </w:pPr>
      <w:r w:rsidRPr="00C77C7C">
        <w:rPr>
          <w:rFonts w:ascii="Arial" w:eastAsia="Calibri" w:hAnsi="Arial" w:cs="Times New Roman"/>
          <w:i/>
          <w:sz w:val="20"/>
        </w:rPr>
        <w:t>Fáze kvalifikační</w:t>
      </w:r>
      <w:r w:rsidRPr="00C77C7C">
        <w:rPr>
          <w:rFonts w:ascii="Arial" w:eastAsia="Calibri" w:hAnsi="Arial" w:cs="Times New Roman"/>
          <w:sz w:val="20"/>
        </w:rPr>
        <w:t>, jejímž cílem je za pomoci předem definovaných kvalifikačních kritérií a mechanismu snižování počtu účastníků koncesního řízení získat omezený okruh potenciálních dodavatelů, kteří se budou účastnit navazujících fází. Pro účely omezení okruhu kvalifikovaných dodavatelů se v souladu se zákonnými pravidly předpokládá využití kritéria omezení na základě rozsahu předložených referencí tak, aby v navazující fázi bylo jednáno pouze s okruhem nejzkušenějších dodavatelů v segmentu, na nějž je projekt zaměřen;</w:t>
      </w:r>
    </w:p>
    <w:p w:rsidR="00C77C7C" w:rsidRPr="00C77C7C" w:rsidRDefault="00C77C7C" w:rsidP="00C77C7C">
      <w:pPr>
        <w:numPr>
          <w:ilvl w:val="0"/>
          <w:numId w:val="10"/>
        </w:numPr>
        <w:spacing w:after="120" w:line="360" w:lineRule="auto"/>
        <w:contextualSpacing/>
        <w:jc w:val="both"/>
        <w:rPr>
          <w:rFonts w:ascii="Arial" w:eastAsia="Calibri" w:hAnsi="Arial" w:cs="Times New Roman"/>
          <w:sz w:val="20"/>
        </w:rPr>
      </w:pPr>
      <w:r w:rsidRPr="00C77C7C">
        <w:rPr>
          <w:rFonts w:ascii="Arial" w:eastAsia="Calibri" w:hAnsi="Arial" w:cs="Times New Roman"/>
          <w:i/>
          <w:sz w:val="20"/>
        </w:rPr>
        <w:t xml:space="preserve">Fáze jednací, </w:t>
      </w:r>
      <w:r w:rsidRPr="00C77C7C">
        <w:rPr>
          <w:rFonts w:ascii="Arial" w:eastAsia="Calibri" w:hAnsi="Arial" w:cs="Times New Roman"/>
          <w:sz w:val="20"/>
        </w:rPr>
        <w:t>v jejímž průběhu se předpokládá prezentace nabízených řešení kvalifikovaných dodavatelů, vyloučení nevhodných řešení a ujasnění smluvních podmínek, které s ohledem na rozložení nákladů a rizik musí být přizpůsobeny aspektům souvisejícím s reálnými nabízenými řešeními; a</w:t>
      </w:r>
    </w:p>
    <w:p w:rsidR="00C77C7C" w:rsidRPr="00C77C7C" w:rsidRDefault="00C77C7C" w:rsidP="00C77C7C">
      <w:pPr>
        <w:numPr>
          <w:ilvl w:val="0"/>
          <w:numId w:val="10"/>
        </w:numPr>
        <w:spacing w:after="0" w:line="360" w:lineRule="auto"/>
        <w:contextualSpacing/>
        <w:jc w:val="both"/>
        <w:rPr>
          <w:rFonts w:ascii="Arial" w:eastAsia="Calibri" w:hAnsi="Arial" w:cs="Times New Roman"/>
          <w:i/>
          <w:sz w:val="20"/>
        </w:rPr>
      </w:pPr>
      <w:r w:rsidRPr="00C77C7C">
        <w:rPr>
          <w:rFonts w:ascii="Arial" w:eastAsia="Calibri" w:hAnsi="Arial" w:cs="Times New Roman"/>
          <w:i/>
          <w:sz w:val="20"/>
        </w:rPr>
        <w:t xml:space="preserve">Fáze nabídková, </w:t>
      </w:r>
      <w:r w:rsidRPr="00C77C7C">
        <w:rPr>
          <w:rFonts w:ascii="Arial" w:eastAsia="Calibri" w:hAnsi="Arial" w:cs="Times New Roman"/>
          <w:sz w:val="20"/>
        </w:rPr>
        <w:t>jejímž účelem je výběr Koncesionáře na základě předem definovaných kritérií hodnocení, která mohou zahrnovat zejména:</w:t>
      </w:r>
    </w:p>
    <w:p w:rsidR="00C77C7C" w:rsidRPr="00C77C7C" w:rsidRDefault="00C77C7C" w:rsidP="00C77C7C">
      <w:pPr>
        <w:numPr>
          <w:ilvl w:val="0"/>
          <w:numId w:val="11"/>
        </w:numPr>
        <w:spacing w:after="120" w:line="360" w:lineRule="auto"/>
        <w:contextualSpacing/>
        <w:jc w:val="both"/>
        <w:rPr>
          <w:rFonts w:ascii="Arial" w:eastAsia="Calibri" w:hAnsi="Arial" w:cs="Times New Roman"/>
          <w:sz w:val="20"/>
        </w:rPr>
      </w:pPr>
      <w:r w:rsidRPr="00C77C7C">
        <w:rPr>
          <w:rFonts w:ascii="Arial" w:eastAsia="Calibri" w:hAnsi="Arial" w:cs="Times New Roman"/>
          <w:sz w:val="20"/>
        </w:rPr>
        <w:t xml:space="preserve">Výši </w:t>
      </w:r>
      <w:proofErr w:type="spellStart"/>
      <w:r w:rsidRPr="00C77C7C">
        <w:rPr>
          <w:rFonts w:ascii="Arial" w:eastAsia="Calibri" w:hAnsi="Arial" w:cs="Times New Roman"/>
          <w:sz w:val="20"/>
        </w:rPr>
        <w:t>pachtovného</w:t>
      </w:r>
      <w:proofErr w:type="spellEnd"/>
      <w:r w:rsidRPr="00C77C7C">
        <w:rPr>
          <w:rFonts w:ascii="Arial" w:eastAsia="Calibri" w:hAnsi="Arial" w:cs="Times New Roman"/>
          <w:sz w:val="20"/>
        </w:rPr>
        <w:t>;</w:t>
      </w:r>
    </w:p>
    <w:p w:rsidR="00C77C7C" w:rsidRPr="00C77C7C" w:rsidRDefault="00C77C7C" w:rsidP="00C77C7C">
      <w:pPr>
        <w:numPr>
          <w:ilvl w:val="0"/>
          <w:numId w:val="11"/>
        </w:numPr>
        <w:spacing w:after="120" w:line="360" w:lineRule="auto"/>
        <w:contextualSpacing/>
        <w:jc w:val="both"/>
        <w:rPr>
          <w:rFonts w:ascii="Arial" w:eastAsia="Calibri" w:hAnsi="Arial" w:cs="Times New Roman"/>
          <w:sz w:val="20"/>
        </w:rPr>
      </w:pPr>
      <w:r w:rsidRPr="00C77C7C">
        <w:rPr>
          <w:rFonts w:ascii="Arial" w:eastAsia="Calibri" w:hAnsi="Arial" w:cs="Times New Roman"/>
          <w:sz w:val="20"/>
        </w:rPr>
        <w:t>Výši příspěvku zadavatele;</w:t>
      </w:r>
    </w:p>
    <w:p w:rsidR="00C77C7C" w:rsidRPr="00C77C7C" w:rsidRDefault="00C77C7C" w:rsidP="00C77C7C">
      <w:pPr>
        <w:numPr>
          <w:ilvl w:val="0"/>
          <w:numId w:val="11"/>
        </w:numPr>
        <w:spacing w:after="120" w:line="360" w:lineRule="auto"/>
        <w:contextualSpacing/>
        <w:jc w:val="both"/>
        <w:rPr>
          <w:rFonts w:ascii="Arial" w:eastAsia="Calibri" w:hAnsi="Arial" w:cs="Times New Roman"/>
          <w:sz w:val="20"/>
        </w:rPr>
      </w:pPr>
      <w:r w:rsidRPr="00C77C7C">
        <w:rPr>
          <w:rFonts w:ascii="Arial" w:eastAsia="Calibri" w:hAnsi="Arial" w:cs="Times New Roman"/>
          <w:sz w:val="20"/>
        </w:rPr>
        <w:t>Rozsah poskytovaných služeb;</w:t>
      </w:r>
    </w:p>
    <w:p w:rsidR="00C77C7C" w:rsidRPr="00C77C7C" w:rsidRDefault="00C77C7C" w:rsidP="00C77C7C">
      <w:pPr>
        <w:numPr>
          <w:ilvl w:val="0"/>
          <w:numId w:val="11"/>
        </w:numPr>
        <w:spacing w:after="120" w:line="360" w:lineRule="auto"/>
        <w:contextualSpacing/>
        <w:jc w:val="both"/>
        <w:rPr>
          <w:rFonts w:ascii="Arial" w:eastAsia="Calibri" w:hAnsi="Arial" w:cs="Times New Roman"/>
          <w:sz w:val="20"/>
        </w:rPr>
      </w:pPr>
      <w:r w:rsidRPr="00C77C7C">
        <w:rPr>
          <w:rFonts w:ascii="Arial" w:eastAsia="Calibri" w:hAnsi="Arial" w:cs="Times New Roman"/>
          <w:sz w:val="20"/>
        </w:rPr>
        <w:t>Termín zahájení provozu; či</w:t>
      </w:r>
    </w:p>
    <w:p w:rsidR="00C77C7C" w:rsidRPr="00C77C7C" w:rsidRDefault="00C77C7C" w:rsidP="00C77C7C">
      <w:pPr>
        <w:numPr>
          <w:ilvl w:val="0"/>
          <w:numId w:val="11"/>
        </w:numPr>
        <w:spacing w:after="120" w:line="360" w:lineRule="auto"/>
        <w:contextualSpacing/>
        <w:jc w:val="both"/>
        <w:rPr>
          <w:rFonts w:ascii="Arial" w:eastAsia="Calibri" w:hAnsi="Arial" w:cs="Times New Roman"/>
          <w:sz w:val="20"/>
        </w:rPr>
      </w:pPr>
      <w:r w:rsidRPr="00C77C7C">
        <w:rPr>
          <w:rFonts w:ascii="Arial" w:eastAsia="Calibri" w:hAnsi="Arial" w:cs="Times New Roman"/>
          <w:sz w:val="20"/>
        </w:rPr>
        <w:t>Zkušenosti dodavatele.</w:t>
      </w:r>
    </w:p>
    <w:p w:rsidR="00C77C7C" w:rsidRPr="00C77C7C" w:rsidRDefault="00C77C7C" w:rsidP="00C77C7C">
      <w:pPr>
        <w:spacing w:after="120" w:line="360" w:lineRule="auto"/>
        <w:jc w:val="both"/>
        <w:rPr>
          <w:rFonts w:ascii="Arial" w:eastAsia="Calibri" w:hAnsi="Arial" w:cs="Times New Roman"/>
          <w:sz w:val="20"/>
        </w:rPr>
      </w:pPr>
      <w:r w:rsidRPr="00C77C7C">
        <w:rPr>
          <w:rFonts w:ascii="Arial" w:eastAsia="Calibri" w:hAnsi="Arial" w:cs="Times New Roman"/>
          <w:sz w:val="20"/>
        </w:rPr>
        <w:t>Předpokládá se, že pro účely výběru Koncesionáře v koncesním řízení budou definovány základní parametry budoucího smluvního vztahu, založené na následujících principech:</w:t>
      </w:r>
    </w:p>
    <w:p w:rsidR="00C77C7C" w:rsidRPr="00C77C7C" w:rsidRDefault="00C77C7C" w:rsidP="00C77C7C">
      <w:pPr>
        <w:numPr>
          <w:ilvl w:val="0"/>
          <w:numId w:val="12"/>
        </w:numPr>
        <w:spacing w:after="120" w:line="360" w:lineRule="auto"/>
        <w:contextualSpacing/>
        <w:jc w:val="both"/>
        <w:rPr>
          <w:rFonts w:ascii="Arial" w:eastAsia="Calibri" w:hAnsi="Arial" w:cs="Times New Roman"/>
          <w:sz w:val="20"/>
        </w:rPr>
      </w:pPr>
      <w:r w:rsidRPr="00C77C7C">
        <w:rPr>
          <w:rFonts w:ascii="Arial" w:eastAsia="Calibri" w:hAnsi="Arial" w:cs="Times New Roman"/>
          <w:sz w:val="20"/>
        </w:rPr>
        <w:t>Podstatou smlouvy bude pacht objektů ve prospěch Koncesionáře, kterému bude umožněno na vlastní riziko využívat objekty v souladu se záměrem projektu, jak je popsán v úvodním shrnutí záměru;</w:t>
      </w:r>
    </w:p>
    <w:p w:rsidR="00C77C7C" w:rsidRPr="00C77C7C" w:rsidRDefault="00C77C7C" w:rsidP="00C77C7C">
      <w:pPr>
        <w:numPr>
          <w:ilvl w:val="0"/>
          <w:numId w:val="12"/>
        </w:numPr>
        <w:spacing w:after="120" w:line="360" w:lineRule="auto"/>
        <w:contextualSpacing/>
        <w:jc w:val="both"/>
        <w:rPr>
          <w:rFonts w:ascii="Arial" w:eastAsia="Calibri" w:hAnsi="Arial" w:cs="Times New Roman"/>
          <w:sz w:val="20"/>
        </w:rPr>
      </w:pPr>
      <w:r w:rsidRPr="00C77C7C">
        <w:rPr>
          <w:rFonts w:ascii="Arial" w:eastAsia="Calibri" w:hAnsi="Arial" w:cs="Times New Roman"/>
          <w:sz w:val="20"/>
        </w:rPr>
        <w:lastRenderedPageBreak/>
        <w:t>Smlouva by měla Koncesionáři ponechat maximální volnost k využití potenciálu a jeho zkušeností v oblasti poskytování sociálních služeb. Bude tak na Koncesionáři, aby doporučil v průběhu dialogu, jakým způsobem hodlá objekty využít;</w:t>
      </w:r>
    </w:p>
    <w:p w:rsidR="00C77C7C" w:rsidRPr="00C77C7C" w:rsidRDefault="00C77C7C" w:rsidP="00C77C7C">
      <w:pPr>
        <w:numPr>
          <w:ilvl w:val="0"/>
          <w:numId w:val="12"/>
        </w:numPr>
        <w:spacing w:after="120" w:line="360" w:lineRule="auto"/>
        <w:contextualSpacing/>
        <w:jc w:val="both"/>
        <w:rPr>
          <w:rFonts w:ascii="Arial" w:eastAsia="Calibri" w:hAnsi="Arial" w:cs="Times New Roman"/>
          <w:color w:val="FF0000"/>
          <w:sz w:val="20"/>
        </w:rPr>
      </w:pPr>
      <w:r w:rsidRPr="00C77C7C">
        <w:rPr>
          <w:rFonts w:ascii="Arial" w:eastAsia="Calibri" w:hAnsi="Arial" w:cs="Times New Roman"/>
          <w:sz w:val="20"/>
        </w:rPr>
        <w:t>Záměr provozování objektů, navržený Koncesionářem, se však stane pro smluvní vztah závazným, zejména co do parametrů, které budou předmětem hodnocení. Závazné podmínky provozování objektů budou odpovídajícím způsobem zajištěny tak, aby bylo chráněno dobré jméno MČ a jí svěřený majetek.</w:t>
      </w:r>
    </w:p>
    <w:p w:rsidR="00C77C7C" w:rsidRPr="00C77C7C" w:rsidRDefault="00C77C7C" w:rsidP="00C77C7C">
      <w:pPr>
        <w:spacing w:after="120" w:line="360" w:lineRule="auto"/>
        <w:jc w:val="both"/>
        <w:rPr>
          <w:rFonts w:ascii="Arial" w:eastAsia="Calibri" w:hAnsi="Arial" w:cs="Times New Roman"/>
          <w:sz w:val="20"/>
        </w:rPr>
      </w:pPr>
    </w:p>
    <w:p w:rsidR="00C77C7C" w:rsidRPr="00C77C7C" w:rsidRDefault="00C77C7C" w:rsidP="00C77C7C">
      <w:pPr>
        <w:keepNext/>
        <w:keepLines/>
        <w:spacing w:after="0" w:line="360" w:lineRule="auto"/>
        <w:jc w:val="both"/>
        <w:outlineLvl w:val="1"/>
        <w:rPr>
          <w:rFonts w:ascii="Arial" w:eastAsia="Times New Roman" w:hAnsi="Arial" w:cs="Times New Roman"/>
          <w:b/>
          <w:bCs/>
          <w:color w:val="244061"/>
          <w:sz w:val="24"/>
          <w:szCs w:val="26"/>
        </w:rPr>
      </w:pPr>
      <w:r w:rsidRPr="00C77C7C">
        <w:rPr>
          <w:rFonts w:ascii="Arial" w:eastAsia="Times New Roman" w:hAnsi="Arial" w:cs="Times New Roman"/>
          <w:b/>
          <w:bCs/>
          <w:color w:val="244061"/>
          <w:sz w:val="24"/>
          <w:szCs w:val="26"/>
        </w:rPr>
        <w:t xml:space="preserve">Shrnutí projektového záměru </w:t>
      </w:r>
    </w:p>
    <w:tbl>
      <w:tblPr>
        <w:tblStyle w:val="TableGrid1"/>
        <w:tblpPr w:leftFromText="180" w:rightFromText="180" w:vertAnchor="text" w:tblpX="38" w:tblpY="1"/>
        <w:tblOverlap w:val="never"/>
        <w:tblW w:w="10158" w:type="dxa"/>
        <w:tblBorders>
          <w:top w:val="single" w:sz="18" w:space="0" w:color="8DB3E2"/>
          <w:left w:val="single" w:sz="18" w:space="0" w:color="8DB3E2"/>
          <w:bottom w:val="single" w:sz="18" w:space="0" w:color="8DB3E2"/>
          <w:right w:val="single" w:sz="18" w:space="0" w:color="8DB3E2"/>
          <w:insideH w:val="none" w:sz="0" w:space="0" w:color="auto"/>
          <w:insideV w:val="none" w:sz="0" w:space="0" w:color="auto"/>
        </w:tblBorders>
        <w:tblLook w:val="04A0" w:firstRow="1" w:lastRow="0" w:firstColumn="1" w:lastColumn="0" w:noHBand="0" w:noVBand="1"/>
      </w:tblPr>
      <w:tblGrid>
        <w:gridCol w:w="2984"/>
        <w:gridCol w:w="2140"/>
        <w:gridCol w:w="1445"/>
        <w:gridCol w:w="3589"/>
      </w:tblGrid>
      <w:tr w:rsidR="00C77C7C" w:rsidRPr="00C77C7C" w:rsidTr="00C77C7C">
        <w:trPr>
          <w:trHeight w:val="467"/>
        </w:trPr>
        <w:tc>
          <w:tcPr>
            <w:tcW w:w="10158" w:type="dxa"/>
            <w:gridSpan w:val="4"/>
            <w:tcBorders>
              <w:top w:val="single" w:sz="18" w:space="0" w:color="8DB3E2"/>
              <w:left w:val="single" w:sz="18" w:space="0" w:color="8DB3E2"/>
              <w:bottom w:val="nil"/>
              <w:right w:val="single" w:sz="18" w:space="0" w:color="8DB3E2"/>
            </w:tcBorders>
            <w:shd w:val="clear" w:color="auto" w:fill="8DB3E2"/>
            <w:vAlign w:val="bottom"/>
          </w:tcPr>
          <w:p w:rsidR="00C77C7C" w:rsidRPr="00C77C7C" w:rsidRDefault="00C77C7C" w:rsidP="00C77C7C">
            <w:pPr>
              <w:spacing w:line="360" w:lineRule="auto"/>
              <w:jc w:val="center"/>
              <w:rPr>
                <w:rFonts w:cs="Times New Roman"/>
                <w:b/>
                <w:sz w:val="20"/>
                <w:lang w:eastAsia="ar-SA"/>
              </w:rPr>
            </w:pPr>
            <w:r w:rsidRPr="00C77C7C">
              <w:rPr>
                <w:rFonts w:cs="Times New Roman"/>
                <w:b/>
                <w:lang w:eastAsia="ar-SA"/>
              </w:rPr>
              <w:t>Shrnutí projektového záměru</w:t>
            </w:r>
          </w:p>
        </w:tc>
      </w:tr>
      <w:tr w:rsidR="00C77C7C" w:rsidRPr="00C77C7C" w:rsidTr="00C77C7C">
        <w:trPr>
          <w:trHeight w:val="648"/>
        </w:trPr>
        <w:tc>
          <w:tcPr>
            <w:tcW w:w="2984" w:type="dxa"/>
            <w:tcBorders>
              <w:top w:val="nil"/>
              <w:left w:val="single" w:sz="18" w:space="0" w:color="8DB3E2"/>
              <w:bottom w:val="single" w:sz="2" w:space="0" w:color="8DB3E2"/>
              <w:right w:val="single" w:sz="2" w:space="0" w:color="8DB3E2"/>
            </w:tcBorders>
            <w:shd w:val="clear" w:color="auto" w:fill="C6D9F1"/>
            <w:vAlign w:val="center"/>
          </w:tcPr>
          <w:p w:rsidR="00C77C7C" w:rsidRPr="00C77C7C" w:rsidRDefault="00C77C7C" w:rsidP="00C77C7C">
            <w:pPr>
              <w:spacing w:line="360" w:lineRule="auto"/>
              <w:rPr>
                <w:sz w:val="20"/>
                <w:lang w:eastAsia="ar-SA"/>
              </w:rPr>
            </w:pPr>
            <w:r w:rsidRPr="00C77C7C">
              <w:rPr>
                <w:sz w:val="20"/>
                <w:lang w:eastAsia="ar-SA"/>
              </w:rPr>
              <w:t>Vlastník objektů</w:t>
            </w:r>
          </w:p>
        </w:tc>
        <w:tc>
          <w:tcPr>
            <w:tcW w:w="7174" w:type="dxa"/>
            <w:gridSpan w:val="3"/>
            <w:tcBorders>
              <w:top w:val="nil"/>
              <w:left w:val="single" w:sz="2" w:space="0" w:color="8DB3E2"/>
              <w:bottom w:val="single" w:sz="2" w:space="0" w:color="8DB3E2"/>
              <w:right w:val="single" w:sz="18" w:space="0" w:color="8DB3E2"/>
            </w:tcBorders>
            <w:vAlign w:val="center"/>
          </w:tcPr>
          <w:p w:rsidR="00C77C7C" w:rsidRPr="00C77C7C" w:rsidRDefault="00C77C7C" w:rsidP="00C77C7C">
            <w:pPr>
              <w:spacing w:line="360" w:lineRule="auto"/>
              <w:rPr>
                <w:sz w:val="20"/>
              </w:rPr>
            </w:pPr>
            <w:r w:rsidRPr="00C77C7C">
              <w:rPr>
                <w:sz w:val="20"/>
              </w:rPr>
              <w:t>Městská část Praha 3</w:t>
            </w:r>
          </w:p>
        </w:tc>
      </w:tr>
      <w:tr w:rsidR="00C77C7C" w:rsidRPr="00C77C7C" w:rsidTr="00C77C7C">
        <w:trPr>
          <w:trHeight w:val="648"/>
        </w:trPr>
        <w:tc>
          <w:tcPr>
            <w:tcW w:w="2984" w:type="dxa"/>
            <w:tcBorders>
              <w:top w:val="single" w:sz="2" w:space="0" w:color="8DB3E2"/>
              <w:left w:val="single" w:sz="18" w:space="0" w:color="8DB3E2"/>
              <w:bottom w:val="single" w:sz="2" w:space="0" w:color="8DB3E2"/>
              <w:right w:val="single" w:sz="2" w:space="0" w:color="8DB3E2"/>
            </w:tcBorders>
            <w:shd w:val="clear" w:color="auto" w:fill="C6D9F1"/>
            <w:vAlign w:val="center"/>
          </w:tcPr>
          <w:p w:rsidR="00C77C7C" w:rsidRPr="00C77C7C" w:rsidRDefault="00C77C7C" w:rsidP="00C77C7C">
            <w:pPr>
              <w:spacing w:line="360" w:lineRule="auto"/>
              <w:rPr>
                <w:sz w:val="20"/>
                <w:lang w:eastAsia="ar-SA"/>
              </w:rPr>
            </w:pPr>
            <w:r w:rsidRPr="00C77C7C">
              <w:rPr>
                <w:sz w:val="20"/>
                <w:lang w:eastAsia="ar-SA"/>
              </w:rPr>
              <w:t>Provozovatel</w:t>
            </w:r>
          </w:p>
        </w:tc>
        <w:tc>
          <w:tcPr>
            <w:tcW w:w="7174" w:type="dxa"/>
            <w:gridSpan w:val="3"/>
            <w:tcBorders>
              <w:top w:val="single" w:sz="2" w:space="0" w:color="8DB3E2"/>
              <w:left w:val="single" w:sz="2" w:space="0" w:color="8DB3E2"/>
              <w:bottom w:val="single" w:sz="2" w:space="0" w:color="8DB3E2"/>
              <w:right w:val="single" w:sz="18" w:space="0" w:color="8DB3E2"/>
            </w:tcBorders>
            <w:vAlign w:val="center"/>
          </w:tcPr>
          <w:p w:rsidR="00C77C7C" w:rsidRPr="00C77C7C" w:rsidRDefault="00C77C7C" w:rsidP="00C77C7C">
            <w:pPr>
              <w:spacing w:line="360" w:lineRule="auto"/>
              <w:rPr>
                <w:sz w:val="20"/>
                <w:lang w:eastAsia="ar-SA"/>
              </w:rPr>
            </w:pPr>
            <w:r w:rsidRPr="00C77C7C">
              <w:rPr>
                <w:sz w:val="20"/>
                <w:lang w:eastAsia="ar-SA"/>
              </w:rPr>
              <w:t xml:space="preserve">Smluvní partner provozující funkční síť podobných zařízení v ČR, disponující dostatečnými lidskými i finančními kapacitami projekt realizovat </w:t>
            </w:r>
          </w:p>
        </w:tc>
      </w:tr>
      <w:tr w:rsidR="00C77C7C" w:rsidRPr="00C77C7C" w:rsidTr="00C77C7C">
        <w:trPr>
          <w:trHeight w:val="648"/>
        </w:trPr>
        <w:tc>
          <w:tcPr>
            <w:tcW w:w="2984" w:type="dxa"/>
            <w:tcBorders>
              <w:top w:val="single" w:sz="2" w:space="0" w:color="8DB3E2"/>
              <w:left w:val="single" w:sz="18" w:space="0" w:color="8DB3E2"/>
              <w:bottom w:val="single" w:sz="2" w:space="0" w:color="8DB3E2"/>
              <w:right w:val="single" w:sz="2" w:space="0" w:color="8DB3E2"/>
            </w:tcBorders>
            <w:shd w:val="clear" w:color="auto" w:fill="C6D9F1"/>
            <w:vAlign w:val="center"/>
          </w:tcPr>
          <w:p w:rsidR="00C77C7C" w:rsidRPr="00C77C7C" w:rsidRDefault="00C77C7C" w:rsidP="00C77C7C">
            <w:pPr>
              <w:spacing w:line="360" w:lineRule="auto"/>
              <w:rPr>
                <w:sz w:val="20"/>
                <w:lang w:eastAsia="ar-SA"/>
              </w:rPr>
            </w:pPr>
            <w:r w:rsidRPr="00C77C7C">
              <w:rPr>
                <w:sz w:val="20"/>
                <w:lang w:eastAsia="ar-SA"/>
              </w:rPr>
              <w:t>Délka smluvního vztahu</w:t>
            </w:r>
          </w:p>
        </w:tc>
        <w:tc>
          <w:tcPr>
            <w:tcW w:w="7174" w:type="dxa"/>
            <w:gridSpan w:val="3"/>
            <w:tcBorders>
              <w:top w:val="single" w:sz="2" w:space="0" w:color="8DB3E2"/>
              <w:left w:val="single" w:sz="2" w:space="0" w:color="8DB3E2"/>
              <w:bottom w:val="single" w:sz="2" w:space="0" w:color="8DB3E2"/>
              <w:right w:val="single" w:sz="18" w:space="0" w:color="8DB3E2"/>
            </w:tcBorders>
            <w:vAlign w:val="center"/>
          </w:tcPr>
          <w:p w:rsidR="00C77C7C" w:rsidRPr="00C77C7C" w:rsidRDefault="00C77C7C" w:rsidP="00C77C7C">
            <w:pPr>
              <w:spacing w:line="360" w:lineRule="auto"/>
              <w:rPr>
                <w:sz w:val="20"/>
                <w:lang w:eastAsia="ar-SA"/>
              </w:rPr>
            </w:pPr>
            <w:r w:rsidRPr="00C77C7C">
              <w:rPr>
                <w:sz w:val="20"/>
                <w:lang w:eastAsia="ar-SA"/>
              </w:rPr>
              <w:t>15 – 20 let</w:t>
            </w:r>
          </w:p>
        </w:tc>
      </w:tr>
      <w:tr w:rsidR="00C77C7C" w:rsidRPr="00C77C7C" w:rsidTr="00C77C7C">
        <w:trPr>
          <w:trHeight w:val="648"/>
        </w:trPr>
        <w:tc>
          <w:tcPr>
            <w:tcW w:w="2984" w:type="dxa"/>
            <w:tcBorders>
              <w:top w:val="single" w:sz="2" w:space="0" w:color="8DB3E2"/>
              <w:left w:val="single" w:sz="18" w:space="0" w:color="8DB3E2"/>
              <w:bottom w:val="single" w:sz="2" w:space="0" w:color="8DB3E2"/>
              <w:right w:val="single" w:sz="2" w:space="0" w:color="8DB3E2"/>
            </w:tcBorders>
            <w:shd w:val="clear" w:color="auto" w:fill="C6D9F1"/>
            <w:vAlign w:val="center"/>
          </w:tcPr>
          <w:p w:rsidR="00C77C7C" w:rsidRPr="00C77C7C" w:rsidRDefault="00C77C7C" w:rsidP="00C77C7C">
            <w:pPr>
              <w:spacing w:line="360" w:lineRule="auto"/>
              <w:rPr>
                <w:sz w:val="20"/>
                <w:lang w:eastAsia="ar-SA"/>
              </w:rPr>
            </w:pPr>
            <w:r w:rsidRPr="00C77C7C">
              <w:rPr>
                <w:sz w:val="20"/>
                <w:lang w:eastAsia="ar-SA"/>
              </w:rPr>
              <w:t xml:space="preserve">Nový objekt </w:t>
            </w:r>
          </w:p>
        </w:tc>
        <w:tc>
          <w:tcPr>
            <w:tcW w:w="3585" w:type="dxa"/>
            <w:gridSpan w:val="2"/>
            <w:tcBorders>
              <w:top w:val="single" w:sz="2" w:space="0" w:color="8DB3E2"/>
              <w:left w:val="single" w:sz="2" w:space="0" w:color="8DB3E2"/>
              <w:bottom w:val="single" w:sz="2" w:space="0" w:color="8DB3E2"/>
              <w:right w:val="single" w:sz="2" w:space="0" w:color="8DB3E2"/>
            </w:tcBorders>
            <w:vAlign w:val="center"/>
          </w:tcPr>
          <w:p w:rsidR="00C77C7C" w:rsidRPr="00C77C7C" w:rsidRDefault="00C77C7C" w:rsidP="00C77C7C">
            <w:pPr>
              <w:spacing w:line="360" w:lineRule="auto"/>
              <w:rPr>
                <w:sz w:val="20"/>
                <w:lang w:eastAsia="ar-SA"/>
              </w:rPr>
            </w:pPr>
            <w:r w:rsidRPr="00C77C7C">
              <w:rPr>
                <w:sz w:val="20"/>
              </w:rPr>
              <w:t>K Lučinám 2591/23, Praha 3</w:t>
            </w:r>
          </w:p>
        </w:tc>
        <w:tc>
          <w:tcPr>
            <w:tcW w:w="3589" w:type="dxa"/>
            <w:tcBorders>
              <w:top w:val="single" w:sz="2" w:space="0" w:color="8DB3E2"/>
              <w:left w:val="single" w:sz="2" w:space="0" w:color="8DB3E2"/>
              <w:bottom w:val="single" w:sz="2" w:space="0" w:color="8DB3E2"/>
              <w:right w:val="single" w:sz="18" w:space="0" w:color="8DB3E2"/>
            </w:tcBorders>
            <w:vAlign w:val="center"/>
          </w:tcPr>
          <w:p w:rsidR="00C77C7C" w:rsidRPr="00C77C7C" w:rsidRDefault="00C77C7C" w:rsidP="00C77C7C">
            <w:pPr>
              <w:spacing w:line="360" w:lineRule="auto"/>
              <w:rPr>
                <w:sz w:val="20"/>
                <w:lang w:eastAsia="ar-SA"/>
              </w:rPr>
            </w:pPr>
            <w:r w:rsidRPr="00C77C7C">
              <w:rPr>
                <w:sz w:val="20"/>
                <w:lang w:eastAsia="ar-SA"/>
              </w:rPr>
              <w:t>Kapacita 115 lůžek + 10 lůžek denní stacionář</w:t>
            </w:r>
          </w:p>
        </w:tc>
      </w:tr>
      <w:tr w:rsidR="00C77C7C" w:rsidRPr="00C77C7C" w:rsidTr="00C77C7C">
        <w:trPr>
          <w:trHeight w:val="648"/>
        </w:trPr>
        <w:tc>
          <w:tcPr>
            <w:tcW w:w="2984" w:type="dxa"/>
            <w:vMerge w:val="restart"/>
            <w:tcBorders>
              <w:top w:val="single" w:sz="2" w:space="0" w:color="8DB3E2"/>
              <w:left w:val="single" w:sz="18" w:space="0" w:color="8DB3E2"/>
              <w:right w:val="single" w:sz="2" w:space="0" w:color="8DB3E2"/>
            </w:tcBorders>
            <w:shd w:val="clear" w:color="auto" w:fill="C6D9F1"/>
            <w:vAlign w:val="center"/>
          </w:tcPr>
          <w:p w:rsidR="00C77C7C" w:rsidRPr="00C77C7C" w:rsidRDefault="00C77C7C" w:rsidP="00C77C7C">
            <w:pPr>
              <w:spacing w:line="360" w:lineRule="auto"/>
              <w:rPr>
                <w:sz w:val="20"/>
                <w:lang w:eastAsia="ar-SA"/>
              </w:rPr>
            </w:pPr>
            <w:r w:rsidRPr="00C77C7C">
              <w:rPr>
                <w:sz w:val="20"/>
                <w:lang w:eastAsia="ar-SA"/>
              </w:rPr>
              <w:t>Stávající objekty</w:t>
            </w:r>
          </w:p>
        </w:tc>
        <w:tc>
          <w:tcPr>
            <w:tcW w:w="3585" w:type="dxa"/>
            <w:gridSpan w:val="2"/>
            <w:tcBorders>
              <w:top w:val="single" w:sz="2" w:space="0" w:color="8DB3E2"/>
              <w:left w:val="single" w:sz="2" w:space="0" w:color="8DB3E2"/>
              <w:bottom w:val="single" w:sz="2" w:space="0" w:color="8DB3E2"/>
              <w:right w:val="single" w:sz="2" w:space="0" w:color="8DB3E2"/>
            </w:tcBorders>
            <w:vAlign w:val="center"/>
          </w:tcPr>
          <w:p w:rsidR="00C77C7C" w:rsidRPr="00C77C7C" w:rsidRDefault="00C77C7C" w:rsidP="00C77C7C">
            <w:pPr>
              <w:spacing w:line="360" w:lineRule="auto"/>
              <w:rPr>
                <w:sz w:val="20"/>
              </w:rPr>
            </w:pPr>
            <w:r w:rsidRPr="00C77C7C">
              <w:rPr>
                <w:sz w:val="20"/>
              </w:rPr>
              <w:t>Habrová 2654/2, Praha 3</w:t>
            </w:r>
          </w:p>
        </w:tc>
        <w:tc>
          <w:tcPr>
            <w:tcW w:w="3589" w:type="dxa"/>
            <w:tcBorders>
              <w:top w:val="single" w:sz="2" w:space="0" w:color="8DB3E2"/>
              <w:left w:val="single" w:sz="2" w:space="0" w:color="8DB3E2"/>
              <w:bottom w:val="single" w:sz="2" w:space="0" w:color="8DB3E2"/>
              <w:right w:val="single" w:sz="18" w:space="0" w:color="8DB3E2"/>
            </w:tcBorders>
            <w:vAlign w:val="center"/>
          </w:tcPr>
          <w:p w:rsidR="00C77C7C" w:rsidRPr="00C77C7C" w:rsidRDefault="00C77C7C" w:rsidP="00C77C7C">
            <w:pPr>
              <w:spacing w:line="360" w:lineRule="auto"/>
              <w:rPr>
                <w:sz w:val="20"/>
                <w:lang w:eastAsia="ar-SA"/>
              </w:rPr>
            </w:pPr>
            <w:r w:rsidRPr="00C77C7C">
              <w:rPr>
                <w:sz w:val="20"/>
                <w:lang w:eastAsia="ar-SA"/>
              </w:rPr>
              <w:t>Kapacita 72 lůžek</w:t>
            </w:r>
          </w:p>
        </w:tc>
      </w:tr>
      <w:tr w:rsidR="00C77C7C" w:rsidRPr="00C77C7C" w:rsidTr="00C77C7C">
        <w:trPr>
          <w:trHeight w:val="648"/>
        </w:trPr>
        <w:tc>
          <w:tcPr>
            <w:tcW w:w="2984" w:type="dxa"/>
            <w:vMerge/>
            <w:tcBorders>
              <w:left w:val="single" w:sz="18" w:space="0" w:color="8DB3E2"/>
              <w:bottom w:val="single" w:sz="2" w:space="0" w:color="8DB3E2"/>
              <w:right w:val="single" w:sz="2" w:space="0" w:color="8DB3E2"/>
            </w:tcBorders>
            <w:shd w:val="clear" w:color="auto" w:fill="C6D9F1"/>
            <w:vAlign w:val="center"/>
          </w:tcPr>
          <w:p w:rsidR="00C77C7C" w:rsidRPr="00C77C7C" w:rsidRDefault="00C77C7C" w:rsidP="00C77C7C">
            <w:pPr>
              <w:spacing w:line="360" w:lineRule="auto"/>
              <w:rPr>
                <w:sz w:val="20"/>
                <w:lang w:eastAsia="ar-SA"/>
              </w:rPr>
            </w:pPr>
          </w:p>
        </w:tc>
        <w:tc>
          <w:tcPr>
            <w:tcW w:w="3585" w:type="dxa"/>
            <w:gridSpan w:val="2"/>
            <w:tcBorders>
              <w:top w:val="single" w:sz="2" w:space="0" w:color="8DB3E2"/>
              <w:left w:val="single" w:sz="2" w:space="0" w:color="8DB3E2"/>
              <w:bottom w:val="single" w:sz="2" w:space="0" w:color="8DB3E2"/>
              <w:right w:val="single" w:sz="2" w:space="0" w:color="8DB3E2"/>
            </w:tcBorders>
            <w:vAlign w:val="center"/>
          </w:tcPr>
          <w:p w:rsidR="00C77C7C" w:rsidRPr="00C77C7C" w:rsidRDefault="00C77C7C" w:rsidP="00C77C7C">
            <w:pPr>
              <w:spacing w:line="360" w:lineRule="auto"/>
              <w:rPr>
                <w:sz w:val="20"/>
              </w:rPr>
            </w:pPr>
            <w:r w:rsidRPr="00C77C7C">
              <w:rPr>
                <w:sz w:val="20"/>
              </w:rPr>
              <w:t xml:space="preserve">Pod lipami 2570/44, Praha 3 </w:t>
            </w:r>
          </w:p>
        </w:tc>
        <w:tc>
          <w:tcPr>
            <w:tcW w:w="3589" w:type="dxa"/>
            <w:tcBorders>
              <w:top w:val="single" w:sz="2" w:space="0" w:color="8DB3E2"/>
              <w:left w:val="single" w:sz="2" w:space="0" w:color="8DB3E2"/>
              <w:bottom w:val="single" w:sz="2" w:space="0" w:color="8DB3E2"/>
              <w:right w:val="single" w:sz="18" w:space="0" w:color="8DB3E2"/>
            </w:tcBorders>
            <w:vAlign w:val="center"/>
          </w:tcPr>
          <w:p w:rsidR="00C77C7C" w:rsidRPr="00C77C7C" w:rsidRDefault="00C77C7C" w:rsidP="00C77C7C">
            <w:pPr>
              <w:spacing w:line="360" w:lineRule="auto"/>
              <w:rPr>
                <w:sz w:val="20"/>
                <w:lang w:eastAsia="ar-SA"/>
              </w:rPr>
            </w:pPr>
            <w:r w:rsidRPr="00C77C7C">
              <w:rPr>
                <w:sz w:val="20"/>
                <w:lang w:eastAsia="ar-SA"/>
              </w:rPr>
              <w:t>Kapacita 17 + 7 lůžek odlehčovací služby</w:t>
            </w:r>
          </w:p>
        </w:tc>
      </w:tr>
      <w:tr w:rsidR="00C77C7C" w:rsidRPr="00C77C7C" w:rsidTr="00C77C7C">
        <w:trPr>
          <w:trHeight w:val="648"/>
        </w:trPr>
        <w:tc>
          <w:tcPr>
            <w:tcW w:w="2984" w:type="dxa"/>
            <w:tcBorders>
              <w:left w:val="single" w:sz="18" w:space="0" w:color="8DB3E2"/>
              <w:bottom w:val="single" w:sz="2" w:space="0" w:color="8DB3E2"/>
              <w:right w:val="single" w:sz="2" w:space="0" w:color="8DB3E2"/>
            </w:tcBorders>
            <w:shd w:val="clear" w:color="auto" w:fill="C6D9F1"/>
            <w:vAlign w:val="center"/>
          </w:tcPr>
          <w:p w:rsidR="00C77C7C" w:rsidRPr="00C77C7C" w:rsidRDefault="00C77C7C" w:rsidP="00C77C7C">
            <w:pPr>
              <w:spacing w:line="360" w:lineRule="auto"/>
              <w:rPr>
                <w:sz w:val="20"/>
                <w:lang w:eastAsia="ar-SA"/>
              </w:rPr>
            </w:pPr>
            <w:r w:rsidRPr="00C77C7C">
              <w:rPr>
                <w:sz w:val="20"/>
                <w:lang w:eastAsia="ar-SA"/>
              </w:rPr>
              <w:t>Očekávané provozní náklady</w:t>
            </w:r>
          </w:p>
        </w:tc>
        <w:tc>
          <w:tcPr>
            <w:tcW w:w="7174" w:type="dxa"/>
            <w:gridSpan w:val="3"/>
            <w:tcBorders>
              <w:top w:val="single" w:sz="2" w:space="0" w:color="8DB3E2"/>
              <w:left w:val="single" w:sz="2" w:space="0" w:color="8DB3E2"/>
              <w:bottom w:val="single" w:sz="2" w:space="0" w:color="8DB3E2"/>
              <w:right w:val="single" w:sz="18" w:space="0" w:color="8DB3E2"/>
            </w:tcBorders>
            <w:vAlign w:val="center"/>
          </w:tcPr>
          <w:p w:rsidR="00C77C7C" w:rsidRPr="00C77C7C" w:rsidRDefault="00C77C7C" w:rsidP="00C77C7C">
            <w:pPr>
              <w:spacing w:line="360" w:lineRule="auto"/>
              <w:rPr>
                <w:sz w:val="20"/>
                <w:lang w:eastAsia="ar-SA"/>
              </w:rPr>
            </w:pPr>
            <w:r w:rsidRPr="00C77C7C">
              <w:rPr>
                <w:sz w:val="20"/>
                <w:lang w:eastAsia="ar-SA"/>
              </w:rPr>
              <w:t>20 – 25 tis. Kč / měsíc / lůžko</w:t>
            </w:r>
          </w:p>
        </w:tc>
      </w:tr>
      <w:tr w:rsidR="00C77C7C" w:rsidRPr="00C77C7C" w:rsidTr="00C77C7C">
        <w:trPr>
          <w:trHeight w:val="648"/>
        </w:trPr>
        <w:tc>
          <w:tcPr>
            <w:tcW w:w="2984" w:type="dxa"/>
            <w:vMerge w:val="restart"/>
            <w:tcBorders>
              <w:top w:val="single" w:sz="2" w:space="0" w:color="8DB3E2"/>
              <w:left w:val="single" w:sz="18" w:space="0" w:color="8DB3E2"/>
              <w:right w:val="single" w:sz="2" w:space="0" w:color="8DB3E2"/>
            </w:tcBorders>
            <w:shd w:val="clear" w:color="auto" w:fill="C6D9F1"/>
            <w:vAlign w:val="center"/>
          </w:tcPr>
          <w:p w:rsidR="00C77C7C" w:rsidRPr="00C77C7C" w:rsidRDefault="00C77C7C" w:rsidP="00C77C7C">
            <w:pPr>
              <w:spacing w:line="360" w:lineRule="auto"/>
              <w:rPr>
                <w:sz w:val="20"/>
                <w:lang w:eastAsia="ar-SA"/>
              </w:rPr>
            </w:pPr>
            <w:r w:rsidRPr="00C77C7C">
              <w:rPr>
                <w:sz w:val="20"/>
                <w:lang w:eastAsia="ar-SA"/>
              </w:rPr>
              <w:t>Činnosti provozovatele</w:t>
            </w:r>
          </w:p>
        </w:tc>
        <w:tc>
          <w:tcPr>
            <w:tcW w:w="7174" w:type="dxa"/>
            <w:gridSpan w:val="3"/>
            <w:tcBorders>
              <w:top w:val="single" w:sz="2" w:space="0" w:color="8DB3E2"/>
              <w:left w:val="single" w:sz="2" w:space="0" w:color="8DB3E2"/>
              <w:bottom w:val="nil"/>
              <w:right w:val="single" w:sz="18" w:space="0" w:color="8DB3E2"/>
            </w:tcBorders>
            <w:vAlign w:val="center"/>
          </w:tcPr>
          <w:p w:rsidR="00C77C7C" w:rsidRPr="00C77C7C" w:rsidRDefault="00C77C7C" w:rsidP="00C77C7C">
            <w:pPr>
              <w:spacing w:line="360" w:lineRule="auto"/>
              <w:rPr>
                <w:sz w:val="20"/>
              </w:rPr>
            </w:pPr>
            <w:r w:rsidRPr="00C77C7C">
              <w:rPr>
                <w:sz w:val="20"/>
                <w:lang w:eastAsia="ar-SA"/>
              </w:rPr>
              <w:t>Asistence MČ s projektovou dokumentací nového objektu a s definováním rozsahu potřebné komplexní opravy stávajících objektů</w:t>
            </w:r>
          </w:p>
        </w:tc>
      </w:tr>
      <w:tr w:rsidR="00C77C7C" w:rsidRPr="00C77C7C" w:rsidTr="00C77C7C">
        <w:trPr>
          <w:trHeight w:val="648"/>
        </w:trPr>
        <w:tc>
          <w:tcPr>
            <w:tcW w:w="2984" w:type="dxa"/>
            <w:vMerge/>
            <w:tcBorders>
              <w:left w:val="single" w:sz="18" w:space="0" w:color="8DB3E2"/>
              <w:right w:val="single" w:sz="2" w:space="0" w:color="8DB3E2"/>
            </w:tcBorders>
            <w:shd w:val="clear" w:color="auto" w:fill="C6D9F1"/>
            <w:vAlign w:val="center"/>
          </w:tcPr>
          <w:p w:rsidR="00C77C7C" w:rsidRPr="00C77C7C" w:rsidRDefault="00C77C7C" w:rsidP="00C77C7C">
            <w:pPr>
              <w:spacing w:line="360" w:lineRule="auto"/>
              <w:rPr>
                <w:sz w:val="20"/>
                <w:lang w:eastAsia="ar-SA"/>
              </w:rPr>
            </w:pPr>
          </w:p>
        </w:tc>
        <w:tc>
          <w:tcPr>
            <w:tcW w:w="7174" w:type="dxa"/>
            <w:gridSpan w:val="3"/>
            <w:tcBorders>
              <w:top w:val="nil"/>
              <w:left w:val="single" w:sz="2" w:space="0" w:color="8DB3E2"/>
              <w:bottom w:val="nil"/>
              <w:right w:val="single" w:sz="18" w:space="0" w:color="8DB3E2"/>
            </w:tcBorders>
            <w:vAlign w:val="center"/>
          </w:tcPr>
          <w:p w:rsidR="00C77C7C" w:rsidRPr="00C77C7C" w:rsidRDefault="00C77C7C" w:rsidP="00C77C7C">
            <w:pPr>
              <w:spacing w:line="360" w:lineRule="auto"/>
              <w:rPr>
                <w:sz w:val="20"/>
                <w:lang w:eastAsia="ar-SA"/>
              </w:rPr>
            </w:pPr>
            <w:r w:rsidRPr="00C77C7C">
              <w:rPr>
                <w:sz w:val="20"/>
                <w:lang w:eastAsia="ar-SA"/>
              </w:rPr>
              <w:t>Komplexní provoz a údržba tří výše uvedených objektů MČ</w:t>
            </w:r>
          </w:p>
        </w:tc>
      </w:tr>
      <w:tr w:rsidR="00C77C7C" w:rsidRPr="00C77C7C" w:rsidTr="00C77C7C">
        <w:trPr>
          <w:trHeight w:val="648"/>
        </w:trPr>
        <w:tc>
          <w:tcPr>
            <w:tcW w:w="2984" w:type="dxa"/>
            <w:vMerge/>
            <w:tcBorders>
              <w:left w:val="single" w:sz="18" w:space="0" w:color="8DB3E2"/>
              <w:right w:val="single" w:sz="2" w:space="0" w:color="8DB3E2"/>
            </w:tcBorders>
            <w:shd w:val="clear" w:color="auto" w:fill="C6D9F1"/>
            <w:vAlign w:val="center"/>
          </w:tcPr>
          <w:p w:rsidR="00C77C7C" w:rsidRPr="00C77C7C" w:rsidRDefault="00C77C7C" w:rsidP="00C77C7C">
            <w:pPr>
              <w:spacing w:line="360" w:lineRule="auto"/>
              <w:rPr>
                <w:sz w:val="20"/>
                <w:lang w:eastAsia="ar-SA"/>
              </w:rPr>
            </w:pPr>
          </w:p>
        </w:tc>
        <w:tc>
          <w:tcPr>
            <w:tcW w:w="7174" w:type="dxa"/>
            <w:gridSpan w:val="3"/>
            <w:tcBorders>
              <w:top w:val="nil"/>
              <w:left w:val="single" w:sz="2" w:space="0" w:color="8DB3E2"/>
              <w:bottom w:val="nil"/>
              <w:right w:val="single" w:sz="18" w:space="0" w:color="8DB3E2"/>
            </w:tcBorders>
            <w:vAlign w:val="center"/>
          </w:tcPr>
          <w:p w:rsidR="00C77C7C" w:rsidRPr="00C77C7C" w:rsidRDefault="00C77C7C" w:rsidP="00C77C7C">
            <w:pPr>
              <w:spacing w:line="360" w:lineRule="auto"/>
              <w:rPr>
                <w:sz w:val="20"/>
                <w:lang w:eastAsia="ar-SA"/>
              </w:rPr>
            </w:pPr>
            <w:r w:rsidRPr="00C77C7C">
              <w:rPr>
                <w:sz w:val="20"/>
                <w:lang w:eastAsia="ar-SA"/>
              </w:rPr>
              <w:t>Organizace případného přesunu stávající klientely do nového objektu</w:t>
            </w:r>
          </w:p>
        </w:tc>
      </w:tr>
      <w:tr w:rsidR="00C77C7C" w:rsidRPr="00C77C7C" w:rsidTr="00C77C7C">
        <w:trPr>
          <w:trHeight w:val="648"/>
        </w:trPr>
        <w:tc>
          <w:tcPr>
            <w:tcW w:w="2984" w:type="dxa"/>
            <w:vMerge w:val="restart"/>
            <w:tcBorders>
              <w:top w:val="single" w:sz="2" w:space="0" w:color="8DB3E2"/>
              <w:left w:val="single" w:sz="18" w:space="0" w:color="8DB3E2"/>
              <w:right w:val="single" w:sz="2" w:space="0" w:color="8DB3E2"/>
            </w:tcBorders>
            <w:shd w:val="clear" w:color="auto" w:fill="C6D9F1"/>
            <w:vAlign w:val="center"/>
          </w:tcPr>
          <w:p w:rsidR="00C77C7C" w:rsidRPr="00C77C7C" w:rsidRDefault="00C77C7C" w:rsidP="00C77C7C">
            <w:pPr>
              <w:spacing w:line="360" w:lineRule="auto"/>
              <w:rPr>
                <w:sz w:val="20"/>
                <w:lang w:eastAsia="ar-SA"/>
              </w:rPr>
            </w:pPr>
            <w:r w:rsidRPr="00C77C7C">
              <w:rPr>
                <w:sz w:val="20"/>
                <w:lang w:eastAsia="ar-SA"/>
              </w:rPr>
              <w:t>Struktura klientů</w:t>
            </w:r>
          </w:p>
        </w:tc>
        <w:tc>
          <w:tcPr>
            <w:tcW w:w="7174" w:type="dxa"/>
            <w:gridSpan w:val="3"/>
            <w:tcBorders>
              <w:top w:val="single" w:sz="2" w:space="0" w:color="8DB3E2"/>
              <w:left w:val="single" w:sz="2" w:space="0" w:color="8DB3E2"/>
              <w:bottom w:val="nil"/>
              <w:right w:val="single" w:sz="18" w:space="0" w:color="8DB3E2"/>
            </w:tcBorders>
            <w:vAlign w:val="center"/>
          </w:tcPr>
          <w:p w:rsidR="00C77C7C" w:rsidRPr="00C77C7C" w:rsidRDefault="00C77C7C" w:rsidP="00C77C7C">
            <w:pPr>
              <w:spacing w:line="360" w:lineRule="auto"/>
              <w:rPr>
                <w:sz w:val="20"/>
                <w:lang w:eastAsia="ar-SA"/>
              </w:rPr>
            </w:pPr>
            <w:r w:rsidRPr="00C77C7C">
              <w:rPr>
                <w:sz w:val="20"/>
                <w:lang w:eastAsia="ar-SA"/>
              </w:rPr>
              <w:t>Zaměření na osoby ve III. a IV. stupni závislosti vyžadující celodenní dlouhodobou péči v pobytovém zařízení</w:t>
            </w:r>
          </w:p>
        </w:tc>
      </w:tr>
      <w:tr w:rsidR="00C77C7C" w:rsidRPr="00C77C7C" w:rsidTr="00C77C7C">
        <w:trPr>
          <w:trHeight w:val="648"/>
        </w:trPr>
        <w:tc>
          <w:tcPr>
            <w:tcW w:w="2984" w:type="dxa"/>
            <w:vMerge/>
            <w:tcBorders>
              <w:left w:val="single" w:sz="18" w:space="0" w:color="8DB3E2"/>
              <w:right w:val="single" w:sz="2" w:space="0" w:color="8DB3E2"/>
            </w:tcBorders>
            <w:shd w:val="clear" w:color="auto" w:fill="C6D9F1"/>
            <w:vAlign w:val="center"/>
          </w:tcPr>
          <w:p w:rsidR="00C77C7C" w:rsidRPr="00C77C7C" w:rsidRDefault="00C77C7C" w:rsidP="00C77C7C">
            <w:pPr>
              <w:spacing w:line="360" w:lineRule="auto"/>
              <w:rPr>
                <w:sz w:val="20"/>
                <w:lang w:eastAsia="ar-SA"/>
              </w:rPr>
            </w:pPr>
          </w:p>
        </w:tc>
        <w:tc>
          <w:tcPr>
            <w:tcW w:w="7174" w:type="dxa"/>
            <w:gridSpan w:val="3"/>
            <w:tcBorders>
              <w:top w:val="nil"/>
              <w:left w:val="single" w:sz="2" w:space="0" w:color="8DB3E2"/>
              <w:bottom w:val="nil"/>
              <w:right w:val="single" w:sz="18" w:space="0" w:color="8DB3E2"/>
            </w:tcBorders>
            <w:vAlign w:val="center"/>
          </w:tcPr>
          <w:p w:rsidR="00C77C7C" w:rsidRPr="00C77C7C" w:rsidRDefault="00C77C7C" w:rsidP="00C77C7C">
            <w:pPr>
              <w:spacing w:line="360" w:lineRule="auto"/>
              <w:rPr>
                <w:sz w:val="20"/>
                <w:lang w:eastAsia="ar-SA"/>
              </w:rPr>
            </w:pPr>
            <w:r w:rsidRPr="00C77C7C">
              <w:rPr>
                <w:sz w:val="20"/>
                <w:lang w:eastAsia="ar-SA"/>
              </w:rPr>
              <w:t>Rozdělení klientů dle náročnosti na rozsah poskytovaných služeb do několika menších skupin po cca 10-15 osobách / komunitách.</w:t>
            </w:r>
          </w:p>
        </w:tc>
      </w:tr>
      <w:tr w:rsidR="00C77C7C" w:rsidRPr="00C77C7C" w:rsidTr="00C77C7C">
        <w:trPr>
          <w:trHeight w:val="648"/>
        </w:trPr>
        <w:tc>
          <w:tcPr>
            <w:tcW w:w="2984" w:type="dxa"/>
            <w:vMerge/>
            <w:tcBorders>
              <w:left w:val="single" w:sz="18" w:space="0" w:color="8DB3E2"/>
              <w:bottom w:val="single" w:sz="2" w:space="0" w:color="8DB3E2"/>
              <w:right w:val="single" w:sz="2" w:space="0" w:color="8DB3E2"/>
            </w:tcBorders>
            <w:shd w:val="clear" w:color="auto" w:fill="C6D9F1"/>
            <w:vAlign w:val="center"/>
          </w:tcPr>
          <w:p w:rsidR="00C77C7C" w:rsidRPr="00C77C7C" w:rsidRDefault="00C77C7C" w:rsidP="00C77C7C">
            <w:pPr>
              <w:spacing w:line="360" w:lineRule="auto"/>
              <w:rPr>
                <w:sz w:val="20"/>
                <w:lang w:eastAsia="ar-SA"/>
              </w:rPr>
            </w:pPr>
          </w:p>
        </w:tc>
        <w:tc>
          <w:tcPr>
            <w:tcW w:w="7174" w:type="dxa"/>
            <w:gridSpan w:val="3"/>
            <w:tcBorders>
              <w:top w:val="nil"/>
              <w:left w:val="single" w:sz="2" w:space="0" w:color="8DB3E2"/>
              <w:bottom w:val="single" w:sz="2" w:space="0" w:color="8DB3E2"/>
              <w:right w:val="single" w:sz="18" w:space="0" w:color="8DB3E2"/>
            </w:tcBorders>
            <w:vAlign w:val="center"/>
          </w:tcPr>
          <w:p w:rsidR="00C77C7C" w:rsidRPr="00C77C7C" w:rsidRDefault="00C77C7C" w:rsidP="00C77C7C">
            <w:pPr>
              <w:spacing w:line="360" w:lineRule="auto"/>
              <w:rPr>
                <w:sz w:val="20"/>
                <w:lang w:eastAsia="ar-SA"/>
              </w:rPr>
            </w:pPr>
            <w:r w:rsidRPr="00C77C7C">
              <w:rPr>
                <w:sz w:val="20"/>
                <w:lang w:eastAsia="ar-SA"/>
              </w:rPr>
              <w:t>Citlivé propojení klientů z domova pro seniory s částí objektu zaměřeného na klienty se zvláštním režimem</w:t>
            </w:r>
          </w:p>
        </w:tc>
      </w:tr>
      <w:tr w:rsidR="00C77C7C" w:rsidRPr="00C77C7C" w:rsidTr="00C77C7C">
        <w:trPr>
          <w:trHeight w:val="648"/>
        </w:trPr>
        <w:tc>
          <w:tcPr>
            <w:tcW w:w="2984" w:type="dxa"/>
            <w:tcBorders>
              <w:top w:val="single" w:sz="2" w:space="0" w:color="8DB3E2"/>
              <w:left w:val="single" w:sz="18" w:space="0" w:color="8DB3E2"/>
              <w:bottom w:val="single" w:sz="2" w:space="0" w:color="8DB3E2"/>
              <w:right w:val="single" w:sz="2" w:space="0" w:color="8DB3E2"/>
            </w:tcBorders>
            <w:shd w:val="clear" w:color="auto" w:fill="C6D9F1"/>
            <w:vAlign w:val="center"/>
          </w:tcPr>
          <w:p w:rsidR="00C77C7C" w:rsidRPr="00C77C7C" w:rsidRDefault="00C77C7C" w:rsidP="00C77C7C">
            <w:pPr>
              <w:spacing w:line="360" w:lineRule="auto"/>
              <w:rPr>
                <w:sz w:val="20"/>
                <w:lang w:eastAsia="ar-SA"/>
              </w:rPr>
            </w:pPr>
            <w:r w:rsidRPr="00C77C7C">
              <w:rPr>
                <w:sz w:val="20"/>
                <w:lang w:eastAsia="ar-SA"/>
              </w:rPr>
              <w:t xml:space="preserve">Hlavní rizika </w:t>
            </w:r>
          </w:p>
        </w:tc>
        <w:tc>
          <w:tcPr>
            <w:tcW w:w="7174" w:type="dxa"/>
            <w:gridSpan w:val="3"/>
            <w:tcBorders>
              <w:top w:val="single" w:sz="2" w:space="0" w:color="8DB3E2"/>
              <w:left w:val="single" w:sz="2" w:space="0" w:color="8DB3E2"/>
              <w:bottom w:val="single" w:sz="2" w:space="0" w:color="8DB3E2"/>
              <w:right w:val="single" w:sz="18" w:space="0" w:color="8DB3E2"/>
            </w:tcBorders>
            <w:vAlign w:val="center"/>
          </w:tcPr>
          <w:p w:rsidR="00C77C7C" w:rsidRPr="00C77C7C" w:rsidRDefault="00C77C7C" w:rsidP="00C77C7C">
            <w:pPr>
              <w:spacing w:line="360" w:lineRule="auto"/>
              <w:rPr>
                <w:sz w:val="20"/>
                <w:lang w:eastAsia="ar-SA"/>
              </w:rPr>
            </w:pPr>
          </w:p>
          <w:p w:rsidR="00C77C7C" w:rsidRPr="00C77C7C" w:rsidRDefault="00C77C7C" w:rsidP="00C77C7C">
            <w:pPr>
              <w:spacing w:line="360" w:lineRule="auto"/>
              <w:rPr>
                <w:sz w:val="20"/>
                <w:lang w:eastAsia="ar-SA"/>
              </w:rPr>
            </w:pPr>
            <w:r w:rsidRPr="00C77C7C">
              <w:rPr>
                <w:sz w:val="20"/>
                <w:lang w:eastAsia="ar-SA"/>
              </w:rPr>
              <w:t>Riziko vícenákladů a časového zpoždění plánovaného harmonogramu</w:t>
            </w:r>
          </w:p>
          <w:p w:rsidR="00C77C7C" w:rsidRPr="00C77C7C" w:rsidRDefault="00C77C7C" w:rsidP="00C77C7C">
            <w:pPr>
              <w:spacing w:line="360" w:lineRule="auto"/>
              <w:rPr>
                <w:sz w:val="20"/>
                <w:lang w:eastAsia="ar-SA"/>
              </w:rPr>
            </w:pPr>
          </w:p>
          <w:p w:rsidR="00C77C7C" w:rsidRPr="00C77C7C" w:rsidRDefault="00C77C7C" w:rsidP="00C77C7C">
            <w:pPr>
              <w:spacing w:line="360" w:lineRule="auto"/>
              <w:rPr>
                <w:sz w:val="20"/>
                <w:lang w:eastAsia="ar-SA"/>
              </w:rPr>
            </w:pPr>
            <w:r w:rsidRPr="00C77C7C">
              <w:rPr>
                <w:sz w:val="20"/>
                <w:lang w:eastAsia="ar-SA"/>
              </w:rPr>
              <w:lastRenderedPageBreak/>
              <w:t>Riziko, že celkový počet lůžek nebude plně zařazen do „Krajské sítě“ a tudíž provozovatel přijde o provozní dotace</w:t>
            </w:r>
          </w:p>
          <w:p w:rsidR="00C77C7C" w:rsidRPr="00C77C7C" w:rsidRDefault="00C77C7C" w:rsidP="00C77C7C">
            <w:pPr>
              <w:spacing w:line="360" w:lineRule="auto"/>
              <w:rPr>
                <w:sz w:val="20"/>
                <w:lang w:eastAsia="ar-SA"/>
              </w:rPr>
            </w:pPr>
          </w:p>
          <w:p w:rsidR="00C77C7C" w:rsidRPr="00C77C7C" w:rsidRDefault="00C77C7C" w:rsidP="00C77C7C">
            <w:pPr>
              <w:spacing w:line="360" w:lineRule="auto"/>
              <w:rPr>
                <w:sz w:val="20"/>
                <w:lang w:eastAsia="ar-SA"/>
              </w:rPr>
            </w:pPr>
            <w:r w:rsidRPr="00C77C7C">
              <w:rPr>
                <w:sz w:val="20"/>
                <w:lang w:eastAsia="ar-SA"/>
              </w:rPr>
              <w:t>Riziko nedostatečných celkových výnosů</w:t>
            </w:r>
          </w:p>
          <w:p w:rsidR="00C77C7C" w:rsidRPr="00C77C7C" w:rsidRDefault="00C77C7C" w:rsidP="00C77C7C">
            <w:pPr>
              <w:spacing w:line="360" w:lineRule="auto"/>
              <w:rPr>
                <w:sz w:val="20"/>
                <w:lang w:eastAsia="ar-SA"/>
              </w:rPr>
            </w:pPr>
          </w:p>
          <w:p w:rsidR="00C77C7C" w:rsidRPr="00C77C7C" w:rsidRDefault="00C77C7C" w:rsidP="00C77C7C">
            <w:pPr>
              <w:spacing w:line="360" w:lineRule="auto"/>
              <w:rPr>
                <w:sz w:val="20"/>
                <w:lang w:eastAsia="ar-SA"/>
              </w:rPr>
            </w:pPr>
            <w:r w:rsidRPr="00C77C7C">
              <w:rPr>
                <w:sz w:val="20"/>
                <w:lang w:eastAsia="ar-SA"/>
              </w:rPr>
              <w:t>Legislativní změny v systému financování (příspěvek na péči, možné odvody z důchodu, atd.)</w:t>
            </w:r>
          </w:p>
          <w:p w:rsidR="00C77C7C" w:rsidRPr="00C77C7C" w:rsidRDefault="00C77C7C" w:rsidP="00C77C7C">
            <w:pPr>
              <w:spacing w:line="360" w:lineRule="auto"/>
              <w:rPr>
                <w:sz w:val="20"/>
                <w:lang w:eastAsia="ar-SA"/>
              </w:rPr>
            </w:pPr>
          </w:p>
        </w:tc>
      </w:tr>
      <w:tr w:rsidR="00C77C7C" w:rsidRPr="00C77C7C" w:rsidTr="00C77C7C">
        <w:trPr>
          <w:trHeight w:val="648"/>
        </w:trPr>
        <w:tc>
          <w:tcPr>
            <w:tcW w:w="2984" w:type="dxa"/>
            <w:tcBorders>
              <w:top w:val="single" w:sz="2" w:space="0" w:color="8DB3E2"/>
              <w:left w:val="single" w:sz="18" w:space="0" w:color="8DB3E2"/>
              <w:bottom w:val="single" w:sz="2" w:space="0" w:color="8DB3E2"/>
              <w:right w:val="single" w:sz="2" w:space="0" w:color="8DB3E2"/>
            </w:tcBorders>
            <w:shd w:val="clear" w:color="auto" w:fill="C6D9F1"/>
            <w:vAlign w:val="center"/>
          </w:tcPr>
          <w:p w:rsidR="00C77C7C" w:rsidRPr="00C77C7C" w:rsidRDefault="00C77C7C" w:rsidP="00C77C7C">
            <w:pPr>
              <w:spacing w:line="360" w:lineRule="auto"/>
              <w:rPr>
                <w:sz w:val="20"/>
                <w:lang w:eastAsia="ar-SA"/>
              </w:rPr>
            </w:pPr>
            <w:r w:rsidRPr="00C77C7C">
              <w:rPr>
                <w:sz w:val="20"/>
                <w:lang w:eastAsia="ar-SA"/>
              </w:rPr>
              <w:t>Stravovací služby</w:t>
            </w:r>
          </w:p>
        </w:tc>
        <w:tc>
          <w:tcPr>
            <w:tcW w:w="7174" w:type="dxa"/>
            <w:gridSpan w:val="3"/>
            <w:tcBorders>
              <w:top w:val="single" w:sz="2" w:space="0" w:color="8DB3E2"/>
              <w:left w:val="single" w:sz="2" w:space="0" w:color="8DB3E2"/>
              <w:bottom w:val="single" w:sz="2" w:space="0" w:color="8DB3E2"/>
              <w:right w:val="single" w:sz="18" w:space="0" w:color="8DB3E2"/>
            </w:tcBorders>
            <w:vAlign w:val="center"/>
          </w:tcPr>
          <w:p w:rsidR="00C77C7C" w:rsidRPr="00C77C7C" w:rsidRDefault="00C77C7C" w:rsidP="00C77C7C">
            <w:pPr>
              <w:spacing w:line="360" w:lineRule="auto"/>
              <w:rPr>
                <w:sz w:val="20"/>
                <w:lang w:eastAsia="ar-SA"/>
              </w:rPr>
            </w:pPr>
            <w:r w:rsidRPr="00C77C7C">
              <w:rPr>
                <w:sz w:val="20"/>
                <w:lang w:eastAsia="ar-SA"/>
              </w:rPr>
              <w:t>Možnost vlastní i externí kuchyně v závislosti na výsledném smluvním řešení a výsledcích analýzy vlastních kapacit MČ</w:t>
            </w:r>
          </w:p>
        </w:tc>
      </w:tr>
      <w:tr w:rsidR="00C77C7C" w:rsidRPr="00C77C7C" w:rsidTr="00C77C7C">
        <w:trPr>
          <w:trHeight w:val="648"/>
        </w:trPr>
        <w:tc>
          <w:tcPr>
            <w:tcW w:w="2984" w:type="dxa"/>
            <w:tcBorders>
              <w:top w:val="single" w:sz="2" w:space="0" w:color="8DB3E2"/>
              <w:left w:val="single" w:sz="18" w:space="0" w:color="8DB3E2"/>
              <w:bottom w:val="single" w:sz="2" w:space="0" w:color="8DB3E2"/>
              <w:right w:val="single" w:sz="2" w:space="0" w:color="8DB3E2"/>
            </w:tcBorders>
            <w:shd w:val="clear" w:color="auto" w:fill="C6D9F1"/>
            <w:vAlign w:val="center"/>
          </w:tcPr>
          <w:p w:rsidR="00C77C7C" w:rsidRPr="00C77C7C" w:rsidRDefault="00C77C7C" w:rsidP="00C77C7C">
            <w:pPr>
              <w:spacing w:line="360" w:lineRule="auto"/>
              <w:rPr>
                <w:sz w:val="20"/>
                <w:lang w:eastAsia="ar-SA"/>
              </w:rPr>
            </w:pPr>
            <w:r w:rsidRPr="00C77C7C">
              <w:rPr>
                <w:sz w:val="20"/>
                <w:lang w:eastAsia="ar-SA"/>
              </w:rPr>
              <w:t>Prádelna</w:t>
            </w:r>
          </w:p>
        </w:tc>
        <w:tc>
          <w:tcPr>
            <w:tcW w:w="7174" w:type="dxa"/>
            <w:gridSpan w:val="3"/>
            <w:tcBorders>
              <w:top w:val="single" w:sz="2" w:space="0" w:color="8DB3E2"/>
              <w:left w:val="single" w:sz="2" w:space="0" w:color="8DB3E2"/>
              <w:bottom w:val="single" w:sz="2" w:space="0" w:color="8DB3E2"/>
              <w:right w:val="single" w:sz="18" w:space="0" w:color="8DB3E2"/>
            </w:tcBorders>
            <w:vAlign w:val="center"/>
          </w:tcPr>
          <w:p w:rsidR="00C77C7C" w:rsidRPr="00C77C7C" w:rsidRDefault="00C77C7C" w:rsidP="00C77C7C">
            <w:pPr>
              <w:spacing w:line="360" w:lineRule="auto"/>
              <w:rPr>
                <w:sz w:val="20"/>
                <w:lang w:eastAsia="ar-SA"/>
              </w:rPr>
            </w:pPr>
            <w:r w:rsidRPr="00C77C7C">
              <w:rPr>
                <w:sz w:val="20"/>
                <w:lang w:eastAsia="ar-SA"/>
              </w:rPr>
              <w:t>Využití služeb externího smluvního partnera</w:t>
            </w:r>
          </w:p>
        </w:tc>
      </w:tr>
      <w:tr w:rsidR="00C77C7C" w:rsidRPr="00C77C7C" w:rsidTr="00C77C7C">
        <w:trPr>
          <w:trHeight w:val="648"/>
        </w:trPr>
        <w:tc>
          <w:tcPr>
            <w:tcW w:w="2984" w:type="dxa"/>
            <w:vMerge w:val="restart"/>
            <w:tcBorders>
              <w:top w:val="single" w:sz="2" w:space="0" w:color="8DB3E2"/>
              <w:left w:val="single" w:sz="18" w:space="0" w:color="8DB3E2"/>
              <w:right w:val="single" w:sz="2" w:space="0" w:color="8DB3E2"/>
            </w:tcBorders>
            <w:shd w:val="clear" w:color="auto" w:fill="C6D9F1"/>
            <w:vAlign w:val="center"/>
          </w:tcPr>
          <w:p w:rsidR="00C77C7C" w:rsidRPr="00C77C7C" w:rsidRDefault="00C77C7C" w:rsidP="00C77C7C">
            <w:pPr>
              <w:spacing w:line="360" w:lineRule="auto"/>
              <w:rPr>
                <w:sz w:val="20"/>
                <w:lang w:eastAsia="ar-SA"/>
              </w:rPr>
            </w:pPr>
            <w:r w:rsidRPr="00C77C7C">
              <w:rPr>
                <w:color w:val="000000"/>
                <w:sz w:val="20"/>
              </w:rPr>
              <w:t>Očekávaný provozní výsledek hospodaření</w:t>
            </w:r>
          </w:p>
        </w:tc>
        <w:tc>
          <w:tcPr>
            <w:tcW w:w="7174" w:type="dxa"/>
            <w:gridSpan w:val="3"/>
            <w:tcBorders>
              <w:top w:val="single" w:sz="2" w:space="0" w:color="8DB3E2"/>
              <w:left w:val="single" w:sz="2" w:space="0" w:color="8DB3E2"/>
              <w:bottom w:val="single" w:sz="2" w:space="0" w:color="8DB3E2"/>
              <w:right w:val="single" w:sz="18" w:space="0" w:color="8DB3E2"/>
            </w:tcBorders>
            <w:vAlign w:val="center"/>
          </w:tcPr>
          <w:p w:rsidR="00C77C7C" w:rsidRPr="00C77C7C" w:rsidRDefault="00C77C7C" w:rsidP="00C77C7C">
            <w:pPr>
              <w:spacing w:line="360" w:lineRule="auto"/>
              <w:rPr>
                <w:sz w:val="20"/>
                <w:lang w:eastAsia="ar-SA"/>
              </w:rPr>
            </w:pPr>
            <w:r w:rsidRPr="00C77C7C">
              <w:rPr>
                <w:sz w:val="20"/>
                <w:lang w:eastAsia="ar-SA"/>
              </w:rPr>
              <w:t>Výše dotace / nájemného bude předmětem výběrového řízení na provozovatele</w:t>
            </w:r>
          </w:p>
        </w:tc>
      </w:tr>
      <w:tr w:rsidR="00C77C7C" w:rsidRPr="00C77C7C" w:rsidTr="00C77C7C">
        <w:trPr>
          <w:trHeight w:val="648"/>
        </w:trPr>
        <w:tc>
          <w:tcPr>
            <w:tcW w:w="2984" w:type="dxa"/>
            <w:vMerge/>
            <w:tcBorders>
              <w:left w:val="single" w:sz="18" w:space="0" w:color="8DB3E2"/>
              <w:right w:val="single" w:sz="2" w:space="0" w:color="8DB3E2"/>
            </w:tcBorders>
            <w:shd w:val="clear" w:color="auto" w:fill="C6D9F1"/>
            <w:vAlign w:val="center"/>
          </w:tcPr>
          <w:p w:rsidR="00C77C7C" w:rsidRPr="00C77C7C" w:rsidRDefault="00C77C7C" w:rsidP="00C77C7C">
            <w:pPr>
              <w:spacing w:line="360" w:lineRule="auto"/>
              <w:rPr>
                <w:sz w:val="20"/>
                <w:lang w:eastAsia="ar-SA"/>
              </w:rPr>
            </w:pPr>
          </w:p>
        </w:tc>
        <w:tc>
          <w:tcPr>
            <w:tcW w:w="2140" w:type="dxa"/>
            <w:tcBorders>
              <w:top w:val="single" w:sz="2" w:space="0" w:color="8DB3E2"/>
              <w:left w:val="single" w:sz="2" w:space="0" w:color="8DB3E2"/>
              <w:bottom w:val="single" w:sz="2" w:space="0" w:color="8DB3E2"/>
              <w:right w:val="single" w:sz="2" w:space="0" w:color="8DB3E2"/>
            </w:tcBorders>
            <w:vAlign w:val="center"/>
          </w:tcPr>
          <w:p w:rsidR="00C77C7C" w:rsidRPr="00C77C7C" w:rsidRDefault="00C77C7C" w:rsidP="00C77C7C">
            <w:pPr>
              <w:spacing w:line="360" w:lineRule="auto"/>
              <w:rPr>
                <w:sz w:val="20"/>
                <w:lang w:eastAsia="ar-SA"/>
              </w:rPr>
            </w:pPr>
            <w:r w:rsidRPr="00C77C7C">
              <w:rPr>
                <w:sz w:val="20"/>
                <w:lang w:eastAsia="ar-SA"/>
              </w:rPr>
              <w:t>Nový objekt</w:t>
            </w:r>
          </w:p>
        </w:tc>
        <w:tc>
          <w:tcPr>
            <w:tcW w:w="5034" w:type="dxa"/>
            <w:gridSpan w:val="2"/>
            <w:tcBorders>
              <w:top w:val="single" w:sz="2" w:space="0" w:color="8DB3E2"/>
              <w:left w:val="single" w:sz="2" w:space="0" w:color="8DB3E2"/>
              <w:bottom w:val="single" w:sz="2" w:space="0" w:color="8DB3E2"/>
              <w:right w:val="single" w:sz="18" w:space="0" w:color="8DB3E2"/>
            </w:tcBorders>
            <w:vAlign w:val="center"/>
          </w:tcPr>
          <w:p w:rsidR="00C77C7C" w:rsidRPr="00C77C7C" w:rsidRDefault="00C77C7C" w:rsidP="00C77C7C">
            <w:pPr>
              <w:spacing w:line="360" w:lineRule="auto"/>
              <w:rPr>
                <w:sz w:val="20"/>
                <w:vertAlign w:val="superscript"/>
                <w:lang w:eastAsia="ar-SA"/>
              </w:rPr>
            </w:pPr>
            <w:r w:rsidRPr="00C77C7C">
              <w:rPr>
                <w:sz w:val="20"/>
                <w:lang w:eastAsia="ar-SA"/>
              </w:rPr>
              <w:t>Výsledek hospodaření se bude pohybovat kolem 0,- Kč při splnění smluvně definovaných podmínek</w:t>
            </w:r>
          </w:p>
        </w:tc>
      </w:tr>
      <w:tr w:rsidR="00C77C7C" w:rsidRPr="00C77C7C" w:rsidTr="00C77C7C">
        <w:trPr>
          <w:trHeight w:val="648"/>
        </w:trPr>
        <w:tc>
          <w:tcPr>
            <w:tcW w:w="2984" w:type="dxa"/>
            <w:vMerge/>
            <w:tcBorders>
              <w:left w:val="single" w:sz="18" w:space="0" w:color="8DB3E2"/>
              <w:bottom w:val="single" w:sz="2" w:space="0" w:color="8DB3E2"/>
              <w:right w:val="single" w:sz="2" w:space="0" w:color="8DB3E2"/>
            </w:tcBorders>
            <w:shd w:val="clear" w:color="auto" w:fill="C6D9F1"/>
            <w:vAlign w:val="center"/>
          </w:tcPr>
          <w:p w:rsidR="00C77C7C" w:rsidRPr="00C77C7C" w:rsidRDefault="00C77C7C" w:rsidP="00C77C7C">
            <w:pPr>
              <w:spacing w:line="360" w:lineRule="auto"/>
              <w:rPr>
                <w:sz w:val="20"/>
                <w:lang w:eastAsia="ar-SA"/>
              </w:rPr>
            </w:pPr>
          </w:p>
        </w:tc>
        <w:tc>
          <w:tcPr>
            <w:tcW w:w="2140" w:type="dxa"/>
            <w:tcBorders>
              <w:top w:val="single" w:sz="2" w:space="0" w:color="8DB3E2"/>
              <w:left w:val="single" w:sz="2" w:space="0" w:color="8DB3E2"/>
              <w:bottom w:val="single" w:sz="2" w:space="0" w:color="8DB3E2"/>
              <w:right w:val="single" w:sz="2" w:space="0" w:color="8DB3E2"/>
            </w:tcBorders>
            <w:vAlign w:val="center"/>
          </w:tcPr>
          <w:p w:rsidR="00C77C7C" w:rsidRPr="00C77C7C" w:rsidRDefault="00C77C7C" w:rsidP="00C77C7C">
            <w:pPr>
              <w:spacing w:line="360" w:lineRule="auto"/>
              <w:rPr>
                <w:sz w:val="20"/>
                <w:lang w:eastAsia="ar-SA"/>
              </w:rPr>
            </w:pPr>
            <w:r w:rsidRPr="00C77C7C">
              <w:rPr>
                <w:sz w:val="20"/>
                <w:lang w:eastAsia="ar-SA"/>
              </w:rPr>
              <w:t>Stávající objekty</w:t>
            </w:r>
          </w:p>
        </w:tc>
        <w:tc>
          <w:tcPr>
            <w:tcW w:w="5034" w:type="dxa"/>
            <w:gridSpan w:val="2"/>
            <w:tcBorders>
              <w:top w:val="single" w:sz="2" w:space="0" w:color="8DB3E2"/>
              <w:left w:val="single" w:sz="2" w:space="0" w:color="8DB3E2"/>
              <w:bottom w:val="single" w:sz="2" w:space="0" w:color="8DB3E2"/>
              <w:right w:val="single" w:sz="18" w:space="0" w:color="8DB3E2"/>
            </w:tcBorders>
            <w:vAlign w:val="center"/>
          </w:tcPr>
          <w:p w:rsidR="00C77C7C" w:rsidRPr="00C77C7C" w:rsidRDefault="00C77C7C" w:rsidP="00C77C7C">
            <w:pPr>
              <w:spacing w:line="360" w:lineRule="auto"/>
              <w:rPr>
                <w:sz w:val="20"/>
                <w:lang w:eastAsia="ar-SA"/>
              </w:rPr>
            </w:pPr>
            <w:r w:rsidRPr="00C77C7C">
              <w:rPr>
                <w:sz w:val="20"/>
                <w:lang w:eastAsia="ar-SA"/>
              </w:rPr>
              <w:t xml:space="preserve">Po rekonstrukci cca 30 – 50 % stávající dotace MČ </w:t>
            </w:r>
          </w:p>
        </w:tc>
      </w:tr>
    </w:tbl>
    <w:p w:rsidR="00C77C7C" w:rsidRPr="00C77C7C" w:rsidRDefault="00C77C7C" w:rsidP="00C77C7C">
      <w:pPr>
        <w:spacing w:after="120" w:line="360" w:lineRule="auto"/>
        <w:jc w:val="both"/>
        <w:rPr>
          <w:rFonts w:ascii="Arial" w:eastAsia="Calibri" w:hAnsi="Arial" w:cs="Times New Roman"/>
          <w:sz w:val="20"/>
        </w:rPr>
      </w:pPr>
    </w:p>
    <w:p w:rsidR="00C77C7C" w:rsidRPr="00C77C7C" w:rsidRDefault="00C77C7C" w:rsidP="00C77C7C">
      <w:pPr>
        <w:spacing w:after="120" w:line="360" w:lineRule="auto"/>
        <w:jc w:val="both"/>
        <w:rPr>
          <w:rFonts w:ascii="Arial" w:eastAsia="Calibri" w:hAnsi="Arial" w:cs="Times New Roman"/>
          <w:sz w:val="20"/>
        </w:rPr>
      </w:pPr>
    </w:p>
    <w:p w:rsidR="00284299" w:rsidRPr="007A2FDF" w:rsidRDefault="00284299" w:rsidP="000F5DB2">
      <w:pPr>
        <w:spacing w:line="240" w:lineRule="auto"/>
        <w:ind w:left="4245"/>
        <w:rPr>
          <w:rFonts w:ascii="Times New Roman" w:hAnsi="Times New Roman" w:cs="Times New Roman"/>
          <w:sz w:val="24"/>
          <w:szCs w:val="24"/>
        </w:rPr>
      </w:pPr>
    </w:p>
    <w:sectPr w:rsidR="00284299" w:rsidRPr="007A2F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53F5"/>
    <w:multiLevelType w:val="hybridMultilevel"/>
    <w:tmpl w:val="9C2CB4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95444B"/>
    <w:multiLevelType w:val="hybridMultilevel"/>
    <w:tmpl w:val="7944C20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D95182"/>
    <w:multiLevelType w:val="hybridMultilevel"/>
    <w:tmpl w:val="3D9843EA"/>
    <w:lvl w:ilvl="0" w:tplc="04090005">
      <w:start w:val="1"/>
      <w:numFmt w:val="bullet"/>
      <w:lvlText w:val=""/>
      <w:lvlJc w:val="left"/>
      <w:pPr>
        <w:ind w:left="720" w:hanging="360"/>
      </w:pPr>
      <w:rPr>
        <w:rFonts w:ascii="Wingdings" w:hAnsi="Wingdings" w:hint="default"/>
      </w:rPr>
    </w:lvl>
    <w:lvl w:ilvl="1" w:tplc="5E545780">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72014"/>
    <w:multiLevelType w:val="hybridMultilevel"/>
    <w:tmpl w:val="EA8C8002"/>
    <w:lvl w:ilvl="0" w:tplc="5A746718">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2B20F6"/>
    <w:multiLevelType w:val="hybridMultilevel"/>
    <w:tmpl w:val="6A326C0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8D32319"/>
    <w:multiLevelType w:val="hybridMultilevel"/>
    <w:tmpl w:val="3FEE170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8F1ECC"/>
    <w:multiLevelType w:val="hybridMultilevel"/>
    <w:tmpl w:val="80524CD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CC22737"/>
    <w:multiLevelType w:val="hybridMultilevel"/>
    <w:tmpl w:val="5B8EA8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DBD070D"/>
    <w:multiLevelType w:val="hybridMultilevel"/>
    <w:tmpl w:val="5EF4527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0C56951"/>
    <w:multiLevelType w:val="hybridMultilevel"/>
    <w:tmpl w:val="47BA386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2996CBA"/>
    <w:multiLevelType w:val="hybridMultilevel"/>
    <w:tmpl w:val="F2A8B3C4"/>
    <w:lvl w:ilvl="0" w:tplc="5E545780">
      <w:start w:val="1"/>
      <w:numFmt w:val="bullet"/>
      <w:lvlText w:val="-"/>
      <w:lvlJc w:val="left"/>
      <w:pPr>
        <w:ind w:left="1080" w:hanging="360"/>
      </w:pPr>
      <w:rPr>
        <w:rFonts w:ascii="Courier New" w:hAnsi="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60FE2EC3"/>
    <w:multiLevelType w:val="hybridMultilevel"/>
    <w:tmpl w:val="6E9235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1"/>
  </w:num>
  <w:num w:numId="3">
    <w:abstractNumId w:val="0"/>
  </w:num>
  <w:num w:numId="4">
    <w:abstractNumId w:val="5"/>
  </w:num>
  <w:num w:numId="5">
    <w:abstractNumId w:val="4"/>
  </w:num>
  <w:num w:numId="6">
    <w:abstractNumId w:val="2"/>
  </w:num>
  <w:num w:numId="7">
    <w:abstractNumId w:val="8"/>
  </w:num>
  <w:num w:numId="8">
    <w:abstractNumId w:val="9"/>
  </w:num>
  <w:num w:numId="9">
    <w:abstractNumId w:val="1"/>
  </w:num>
  <w:num w:numId="10">
    <w:abstractNumId w:val="6"/>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FDF"/>
    <w:rsid w:val="000B15A4"/>
    <w:rsid w:val="000F5DB2"/>
    <w:rsid w:val="00284299"/>
    <w:rsid w:val="002A019D"/>
    <w:rsid w:val="002A7532"/>
    <w:rsid w:val="002D45B9"/>
    <w:rsid w:val="003A7E00"/>
    <w:rsid w:val="003E6271"/>
    <w:rsid w:val="004C06C2"/>
    <w:rsid w:val="005A30C3"/>
    <w:rsid w:val="005B2BBF"/>
    <w:rsid w:val="00640C39"/>
    <w:rsid w:val="007A2FDF"/>
    <w:rsid w:val="007B0076"/>
    <w:rsid w:val="008C02D9"/>
    <w:rsid w:val="00A01AE1"/>
    <w:rsid w:val="00A1552C"/>
    <w:rsid w:val="00B05084"/>
    <w:rsid w:val="00B83692"/>
    <w:rsid w:val="00C77C7C"/>
    <w:rsid w:val="00C87C9F"/>
    <w:rsid w:val="00D32600"/>
    <w:rsid w:val="00F272A3"/>
    <w:rsid w:val="00F40240"/>
    <w:rsid w:val="00FA47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4F266"/>
  <w15:docId w15:val="{F459A98B-BD30-4283-870C-E4BDD8CF0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A2FDF"/>
    <w:pPr>
      <w:ind w:left="720"/>
      <w:contextualSpacing/>
    </w:pPr>
  </w:style>
  <w:style w:type="paragraph" w:styleId="Textbubliny">
    <w:name w:val="Balloon Text"/>
    <w:basedOn w:val="Normln"/>
    <w:link w:val="TextbublinyChar"/>
    <w:uiPriority w:val="99"/>
    <w:semiHidden/>
    <w:unhideWhenUsed/>
    <w:rsid w:val="005B2BB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B2BBF"/>
    <w:rPr>
      <w:rFonts w:ascii="Tahoma" w:hAnsi="Tahoma" w:cs="Tahoma"/>
      <w:sz w:val="16"/>
      <w:szCs w:val="16"/>
    </w:rPr>
  </w:style>
  <w:style w:type="table" w:customStyle="1" w:styleId="TableGrid1">
    <w:name w:val="Table Grid1"/>
    <w:basedOn w:val="Normlntabulka"/>
    <w:next w:val="Mkatabulky"/>
    <w:uiPriority w:val="39"/>
    <w:rsid w:val="00C77C7C"/>
    <w:pPr>
      <w:spacing w:after="0" w:line="280" w:lineRule="atLeast"/>
      <w:jc w:val="both"/>
    </w:pPr>
    <w:rPr>
      <w:rFonts w:ascii="Arial" w:eastAsia="Times New Roman" w:hAnsi="Arial" w:cs="Arial"/>
      <w:sz w:val="18"/>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C77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4220</Words>
  <Characters>24898</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Stejskalová</dc:creator>
  <cp:lastModifiedBy>Parobková Ivana Bc. (ÚMČ Praha 3)</cp:lastModifiedBy>
  <cp:revision>2</cp:revision>
  <cp:lastPrinted>2017-07-31T08:23:00Z</cp:lastPrinted>
  <dcterms:created xsi:type="dcterms:W3CDTF">2017-08-30T11:31:00Z</dcterms:created>
  <dcterms:modified xsi:type="dcterms:W3CDTF">2017-08-30T11:31:00Z</dcterms:modified>
</cp:coreProperties>
</file>